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1" w:rsidRPr="005D1A06" w:rsidRDefault="004161A1" w:rsidP="004161A1">
      <w:pPr>
        <w:jc w:val="center"/>
      </w:pPr>
      <w:r w:rsidRPr="005D1A06">
        <w:rPr>
          <w:b/>
          <w:bCs/>
          <w:sz w:val="28"/>
          <w:szCs w:val="28"/>
        </w:rPr>
        <w:t>Vplyvy na rozpočet verejnej správy,</w:t>
      </w:r>
    </w:p>
    <w:p w:rsidR="004161A1" w:rsidRPr="005D1A06" w:rsidRDefault="004161A1" w:rsidP="004161A1">
      <w:pPr>
        <w:jc w:val="center"/>
      </w:pPr>
      <w:r w:rsidRPr="005D1A06">
        <w:rPr>
          <w:b/>
          <w:bCs/>
          <w:sz w:val="28"/>
          <w:szCs w:val="28"/>
        </w:rPr>
        <w:t>na zamestnanosť vo verejnej správe a financovanie návrhu</w:t>
      </w:r>
    </w:p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r w:rsidRPr="005D1A06">
        <w:rPr>
          <w:b/>
          <w:bCs/>
        </w:rPr>
        <w:t>2.1. Zhrnutie vplyvov na rozpočet verejnej správy v návrhu</w:t>
      </w:r>
    </w:p>
    <w:p w:rsidR="004161A1" w:rsidRPr="005D1A06" w:rsidRDefault="004161A1" w:rsidP="004161A1">
      <w:pPr>
        <w:jc w:val="right"/>
      </w:pPr>
      <w:r w:rsidRPr="005D1A06">
        <w:rPr>
          <w:sz w:val="20"/>
          <w:szCs w:val="20"/>
        </w:rPr>
        <w:t xml:space="preserve">Tabuľka č. 1 </w:t>
      </w:r>
    </w:p>
    <w:tbl>
      <w:tblPr>
        <w:tblW w:w="10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372"/>
        <w:gridCol w:w="1417"/>
        <w:gridCol w:w="1559"/>
      </w:tblGrid>
      <w:tr w:rsidR="00C9331B" w:rsidRPr="005D1A06" w:rsidTr="005107C0"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94" w:lineRule="atLeast"/>
              <w:jc w:val="center"/>
            </w:pPr>
            <w:bookmarkStart w:id="0" w:name="OLE_LINK1"/>
            <w:bookmarkEnd w:id="0"/>
            <w:r w:rsidRPr="005D1A06">
              <w:rPr>
                <w:b/>
                <w:bCs/>
              </w:rPr>
              <w:t>Vplyvy na rozpočet verejnej správy</w:t>
            </w: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94" w:lineRule="atLeast"/>
              <w:jc w:val="center"/>
            </w:pPr>
            <w:r w:rsidRPr="005D1A06">
              <w:rPr>
                <w:b/>
                <w:bCs/>
              </w:rPr>
              <w:t>Vplyv na rozpočet verejnej správy (v eurách)</w:t>
            </w:r>
          </w:p>
        </w:tc>
      </w:tr>
      <w:tr w:rsidR="00C9331B" w:rsidRPr="005D1A06" w:rsidTr="005107C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1A1" w:rsidRPr="005D1A06" w:rsidRDefault="004161A1" w:rsidP="004161A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AC1E8E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AC1E8E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AC1E8E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AC1E8E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2015</w:t>
            </w:r>
          </w:p>
        </w:tc>
      </w:tr>
      <w:tr w:rsidR="00C9331B" w:rsidRPr="005D1A06" w:rsidTr="005107C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</w:pPr>
            <w:r w:rsidRPr="005D1A06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</w:tr>
      <w:tr w:rsidR="00C9331B" w:rsidRPr="005D1A06" w:rsidTr="005107C0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32" w:lineRule="atLeast"/>
            </w:pPr>
            <w:r w:rsidRPr="005D1A06"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32" w:lineRule="atLeast"/>
              <w:jc w:val="right"/>
            </w:pPr>
            <w:r w:rsidRPr="005D1A06"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32" w:lineRule="atLeast"/>
              <w:jc w:val="right"/>
            </w:pPr>
            <w:r w:rsidRPr="005D1A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32" w:lineRule="atLeast"/>
              <w:jc w:val="right"/>
            </w:pPr>
            <w:r w:rsidRPr="005D1A0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32" w:lineRule="atLeast"/>
              <w:jc w:val="right"/>
            </w:pPr>
            <w:r w:rsidRPr="005D1A06">
              <w:t>0</w:t>
            </w:r>
          </w:p>
        </w:tc>
      </w:tr>
      <w:tr w:rsidR="00C9331B" w:rsidRPr="005D1A06" w:rsidTr="005107C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</w:pPr>
            <w:r w:rsidRPr="005D1A06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  <w:i/>
                <w:iCs/>
              </w:rPr>
              <w:t> </w:t>
            </w:r>
          </w:p>
        </w:tc>
      </w:tr>
      <w:tr w:rsidR="00C9331B" w:rsidRPr="005D1A06" w:rsidTr="005107C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</w:pPr>
            <w:r w:rsidRPr="005D1A06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</w:tr>
      <w:tr w:rsidR="00C9331B" w:rsidRPr="005D1A06" w:rsidTr="005107C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</w:pPr>
            <w:r w:rsidRPr="005D1A06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</w:tr>
      <w:tr w:rsidR="00C9331B" w:rsidRPr="005D1A06" w:rsidTr="005107C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125" w:lineRule="atLeast"/>
            </w:pPr>
            <w:r w:rsidRPr="005D1A06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585" w:rsidRPr="005D1A06" w:rsidRDefault="00AE2585" w:rsidP="00AE2585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585" w:rsidRPr="005D1A06" w:rsidRDefault="00AE2585" w:rsidP="00BC3C1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  <w:r w:rsidR="004F16FC" w:rsidRPr="005D1A06">
              <w:rPr>
                <w:b/>
                <w:bCs/>
              </w:rPr>
              <w:t>12</w:t>
            </w:r>
            <w:r w:rsidR="001A5699" w:rsidRPr="005D1A06">
              <w:rPr>
                <w:b/>
                <w:bCs/>
              </w:rPr>
              <w:t> </w:t>
            </w:r>
            <w:r w:rsidR="00BC3C19" w:rsidRPr="005D1A06">
              <w:rPr>
                <w:b/>
                <w:bCs/>
              </w:rPr>
              <w:t>07</w:t>
            </w:r>
            <w:r w:rsidR="001A5699"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585" w:rsidRPr="005D1A06" w:rsidRDefault="004F16FC" w:rsidP="00B20985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B20985" w:rsidRPr="005D1A06">
              <w:rPr>
                <w:b/>
                <w:bCs/>
              </w:rPr>
              <w:t> 200 0</w:t>
            </w:r>
            <w:r w:rsidR="001A5699" w:rsidRPr="005D1A06">
              <w:rPr>
                <w:b/>
                <w:bCs/>
              </w:rPr>
              <w:t>00</w:t>
            </w:r>
          </w:p>
        </w:tc>
      </w:tr>
      <w:tr w:rsidR="00C9331B" w:rsidRPr="005D1A06" w:rsidTr="005107C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2018D">
            <w:pPr>
              <w:spacing w:line="70" w:lineRule="atLeast"/>
            </w:pPr>
            <w:r w:rsidRPr="005D1A06">
              <w:t xml:space="preserve">v tom: za </w:t>
            </w:r>
            <w:r w:rsidR="0042018D" w:rsidRPr="005D1A06">
              <w:t>MDVRR SR</w:t>
            </w:r>
            <w:r w:rsidR="001A5699" w:rsidRPr="005D1A06">
              <w:t>/053 Cestná infraštruktúra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70" w:lineRule="atLeast"/>
              <w:jc w:val="right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7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1A5699">
            <w:pPr>
              <w:spacing w:line="70" w:lineRule="atLeast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1A5699">
            <w:pPr>
              <w:spacing w:line="70" w:lineRule="atLeast"/>
              <w:jc w:val="right"/>
            </w:pPr>
          </w:p>
        </w:tc>
      </w:tr>
      <w:tr w:rsidR="00C9331B" w:rsidRPr="005D1A06" w:rsidTr="00AE2585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70" w:lineRule="atLeast"/>
            </w:pPr>
            <w:r w:rsidRPr="005D1A06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585" w:rsidRPr="005D1A06" w:rsidRDefault="00AE2585" w:rsidP="004161A1">
            <w:pPr>
              <w:spacing w:line="7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585" w:rsidRPr="005D1A06" w:rsidRDefault="00AE2585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585" w:rsidRPr="005D1A06" w:rsidRDefault="00AE2585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</w:tr>
      <w:tr w:rsidR="00C9331B" w:rsidRPr="005D1A06" w:rsidTr="005107C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42018D">
            <w:pPr>
              <w:spacing w:line="70" w:lineRule="atLeast"/>
              <w:jc w:val="right"/>
              <w:rPr>
                <w:b/>
                <w:bCs/>
                <w:iCs/>
              </w:rPr>
            </w:pPr>
            <w:r w:rsidRPr="005D1A06">
              <w:rPr>
                <w:b/>
                <w:bCs/>
                <w:iCs/>
              </w:rPr>
              <w:t>0 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BC3C1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  <w:r w:rsidR="004F16FC" w:rsidRPr="005D1A06">
              <w:rPr>
                <w:b/>
                <w:bCs/>
              </w:rPr>
              <w:t>12</w:t>
            </w:r>
            <w:r w:rsidR="001A5699" w:rsidRPr="005D1A06">
              <w:rPr>
                <w:b/>
                <w:bCs/>
              </w:rPr>
              <w:t> </w:t>
            </w:r>
            <w:r w:rsidR="00BC3C19" w:rsidRPr="005D1A06">
              <w:rPr>
                <w:b/>
                <w:bCs/>
              </w:rPr>
              <w:t>07</w:t>
            </w:r>
            <w:r w:rsidR="001A5699"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B20985" w:rsidRPr="005D1A06">
              <w:rPr>
                <w:b/>
                <w:bCs/>
              </w:rPr>
              <w:t> 200 0</w:t>
            </w:r>
            <w:r w:rsidR="001A5699" w:rsidRPr="005D1A06">
              <w:rPr>
                <w:b/>
                <w:bCs/>
              </w:rPr>
              <w:t>00</w:t>
            </w:r>
          </w:p>
        </w:tc>
      </w:tr>
      <w:tr w:rsidR="00C9331B" w:rsidRPr="005D1A06" w:rsidTr="005107C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25" w:lineRule="atLeast"/>
            </w:pPr>
            <w:r w:rsidRPr="005D1A06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spacing w:line="125" w:lineRule="atLeast"/>
              <w:jc w:val="right"/>
            </w:pPr>
            <w:r w:rsidRPr="005D1A06">
              <w:rPr>
                <w:b/>
                <w:bCs/>
                <w:iCs/>
              </w:rPr>
              <w:t>0</w:t>
            </w:r>
          </w:p>
        </w:tc>
      </w:tr>
      <w:tr w:rsidR="00C9331B" w:rsidRPr="005D1A06" w:rsidTr="005107C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541D03" w:rsidP="001A5699">
            <w:pPr>
              <w:spacing w:line="70" w:lineRule="atLeast"/>
              <w:jc w:val="right"/>
            </w:pPr>
            <w:r w:rsidRPr="005D1A06">
              <w:t>0</w:t>
            </w:r>
          </w:p>
        </w:tc>
      </w:tr>
      <w:tr w:rsidR="00C9331B" w:rsidRPr="005D1A06" w:rsidTr="005107C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rPr>
                <w:b/>
                <w:bCs/>
                <w:i/>
                <w:iCs/>
              </w:rPr>
              <w:t>- z toho vplyv na ŠR</w:t>
            </w:r>
            <w:r w:rsidRPr="005D1A06"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spacing w:line="70" w:lineRule="atLeast"/>
              <w:jc w:val="right"/>
            </w:pPr>
            <w:r w:rsidRPr="005D1A0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541D03" w:rsidP="001A5699">
            <w:pPr>
              <w:spacing w:line="70" w:lineRule="atLeast"/>
              <w:jc w:val="right"/>
            </w:pPr>
            <w:r w:rsidRPr="005D1A06">
              <w:t>0</w:t>
            </w:r>
          </w:p>
        </w:tc>
      </w:tr>
      <w:tr w:rsidR="00C9331B" w:rsidRPr="005D1A06" w:rsidTr="00AE2585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BC3C1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  <w:r w:rsidR="004F16FC" w:rsidRPr="005D1A06">
              <w:rPr>
                <w:b/>
                <w:bCs/>
              </w:rPr>
              <w:t>12</w:t>
            </w:r>
            <w:r w:rsidR="001A5699" w:rsidRPr="005D1A06">
              <w:rPr>
                <w:b/>
                <w:bCs/>
              </w:rPr>
              <w:t> </w:t>
            </w:r>
            <w:r w:rsidR="00BC3C19" w:rsidRPr="005D1A06">
              <w:rPr>
                <w:b/>
                <w:bCs/>
              </w:rPr>
              <w:t>07</w:t>
            </w:r>
            <w:r w:rsidR="001A5699"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1A5699" w:rsidRPr="005D1A06">
              <w:rPr>
                <w:b/>
                <w:bCs/>
              </w:rPr>
              <w:t> 200 000</w:t>
            </w:r>
          </w:p>
        </w:tc>
      </w:tr>
      <w:tr w:rsidR="00C9331B" w:rsidRPr="005D1A06" w:rsidTr="00AE2585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699" w:rsidRPr="005D1A06" w:rsidRDefault="001A5699" w:rsidP="001A5699">
            <w:pPr>
              <w:spacing w:line="125" w:lineRule="atLeast"/>
              <w:rPr>
                <w:b/>
                <w:bCs/>
                <w:i/>
                <w:iCs/>
              </w:rPr>
            </w:pPr>
            <w:r w:rsidRPr="005D1A06">
              <w:rPr>
                <w:b/>
                <w:bCs/>
                <w:i/>
                <w:iCs/>
              </w:rPr>
              <w:t>v tom: MDVRR SR/053 Cestná infraštruktúra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699" w:rsidRPr="005D1A06" w:rsidRDefault="001A5699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699" w:rsidRPr="005D1A06" w:rsidRDefault="001A5699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699" w:rsidRPr="005D1A06" w:rsidRDefault="001A5699" w:rsidP="00BC3C1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12 </w:t>
            </w:r>
            <w:r w:rsidR="00BC3C19" w:rsidRPr="005D1A06">
              <w:rPr>
                <w:b/>
                <w:bCs/>
              </w:rPr>
              <w:t>07</w:t>
            </w:r>
            <w:r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699" w:rsidRPr="005D1A06" w:rsidRDefault="001A5699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35 200 000</w:t>
            </w:r>
          </w:p>
        </w:tc>
      </w:tr>
      <w:tr w:rsidR="00C9331B" w:rsidRPr="005D1A06" w:rsidTr="00AE2585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rPr>
                <w:b/>
                <w:bCs/>
                <w:i/>
                <w:iCs/>
              </w:rPr>
            </w:pPr>
            <w:r w:rsidRPr="005D1A06">
              <w:rPr>
                <w:b/>
                <w:bCs/>
                <w:i/>
                <w:iCs/>
              </w:rPr>
              <w:t>EÚ prostriedky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B20985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10 </w:t>
            </w:r>
            <w:r w:rsidR="00B20985" w:rsidRPr="005D1A06">
              <w:rPr>
                <w:b/>
                <w:bCs/>
              </w:rPr>
              <w:t>20</w:t>
            </w:r>
            <w:r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29 750 000</w:t>
            </w:r>
          </w:p>
        </w:tc>
      </w:tr>
      <w:tr w:rsidR="00C9331B" w:rsidRPr="005D1A06" w:rsidTr="00AE2585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rPr>
                <w:b/>
                <w:bCs/>
                <w:i/>
                <w:iCs/>
              </w:rPr>
            </w:pPr>
            <w:r w:rsidRPr="005D1A06">
              <w:rPr>
                <w:b/>
                <w:bCs/>
                <w:i/>
                <w:iCs/>
              </w:rPr>
              <w:t>spolufinancovanie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1 800 000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5  250 000</w:t>
            </w:r>
          </w:p>
        </w:tc>
      </w:tr>
      <w:tr w:rsidR="00C9331B" w:rsidRPr="005D1A06" w:rsidTr="0042018D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rPr>
                <w:b/>
                <w:bCs/>
                <w:i/>
                <w:iCs/>
              </w:rPr>
            </w:pPr>
            <w:r w:rsidRPr="005D1A06">
              <w:rPr>
                <w:b/>
                <w:bCs/>
                <w:i/>
                <w:iCs/>
              </w:rPr>
              <w:t>Prostriedky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AE2585">
            <w:pPr>
              <w:spacing w:line="125" w:lineRule="atLeast"/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BC3C19" w:rsidP="00BC3C1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7</w:t>
            </w:r>
            <w:r w:rsidR="001A5699" w:rsidRPr="005D1A06">
              <w:rPr>
                <w:b/>
                <w:bCs/>
              </w:rPr>
              <w:t>0</w:t>
            </w:r>
            <w:r w:rsidR="004F16FC" w:rsidRPr="005D1A06">
              <w:rPr>
                <w:b/>
                <w:bCs/>
              </w:rPr>
              <w:t xml:space="preserve"> </w:t>
            </w:r>
            <w:r w:rsidR="001A5699" w:rsidRPr="005D1A06">
              <w:rPr>
                <w:b/>
                <w:bCs/>
              </w:rPr>
              <w:t>000</w:t>
            </w:r>
            <w:r w:rsidR="004F16FC" w:rsidRPr="005D1A0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1A5699" w:rsidP="001A569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200 000</w:t>
            </w:r>
          </w:p>
        </w:tc>
      </w:tr>
      <w:tr w:rsidR="00C9331B" w:rsidRPr="005D1A06" w:rsidTr="005107C0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</w:tr>
    </w:tbl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r w:rsidRPr="005D1A06">
        <w:rPr>
          <w:b/>
          <w:bCs/>
        </w:rPr>
        <w:t>2.2. Financovanie návrhu</w:t>
      </w:r>
    </w:p>
    <w:p w:rsidR="004161A1" w:rsidRPr="005D1A06" w:rsidRDefault="004161A1" w:rsidP="004161A1">
      <w:pPr>
        <w:jc w:val="right"/>
      </w:pPr>
      <w:r w:rsidRPr="005D1A06">
        <w:rPr>
          <w:sz w:val="20"/>
          <w:szCs w:val="20"/>
        </w:rPr>
        <w:t>Tabuľka č. 2</w:t>
      </w:r>
    </w:p>
    <w:tbl>
      <w:tblPr>
        <w:tblW w:w="10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1264"/>
        <w:gridCol w:w="1728"/>
        <w:gridCol w:w="1421"/>
        <w:gridCol w:w="1559"/>
      </w:tblGrid>
      <w:tr w:rsidR="00C9331B" w:rsidRPr="005D1A06" w:rsidTr="005107C0"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Financovanie</w:t>
            </w:r>
          </w:p>
        </w:tc>
        <w:tc>
          <w:tcPr>
            <w:tcW w:w="5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Vplyv na rozpočet verejnej správy (v eurách)</w:t>
            </w:r>
          </w:p>
        </w:tc>
      </w:tr>
      <w:tr w:rsidR="00C9331B" w:rsidRPr="005D1A06" w:rsidTr="005107C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 w:rsidP="004161A1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2015</w:t>
            </w:r>
          </w:p>
        </w:tc>
      </w:tr>
      <w:tr w:rsidR="00C9331B" w:rsidRPr="005D1A06" w:rsidTr="005107C0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7C0A55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12</w:t>
            </w:r>
            <w:r w:rsidR="001A5699" w:rsidRPr="005D1A06">
              <w:rPr>
                <w:b/>
                <w:bCs/>
              </w:rPr>
              <w:t> </w:t>
            </w:r>
            <w:r w:rsidR="00BC3C19" w:rsidRPr="005D1A06">
              <w:rPr>
                <w:b/>
                <w:bCs/>
              </w:rPr>
              <w:t>07</w:t>
            </w:r>
            <w:r w:rsidR="001A5699"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541D03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541D03" w:rsidRPr="005D1A06">
              <w:rPr>
                <w:b/>
                <w:bCs/>
              </w:rPr>
              <w:t> 200 0</w:t>
            </w:r>
            <w:r w:rsidR="001A5699" w:rsidRPr="005D1A06">
              <w:rPr>
                <w:b/>
                <w:bCs/>
              </w:rPr>
              <w:t>00</w:t>
            </w:r>
          </w:p>
        </w:tc>
      </w:tr>
      <w:tr w:rsidR="00C9331B" w:rsidRPr="005D1A06" w:rsidTr="001A5699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12</w:t>
            </w:r>
            <w:r w:rsidR="00BC3C19" w:rsidRPr="005D1A06">
              <w:rPr>
                <w:b/>
                <w:bCs/>
              </w:rPr>
              <w:t> 07</w:t>
            </w:r>
            <w:r w:rsidR="001A5699" w:rsidRPr="005D1A06">
              <w:rPr>
                <w:b/>
                <w:bCs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541D03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541D03" w:rsidRPr="005D1A06">
              <w:rPr>
                <w:b/>
                <w:bCs/>
              </w:rPr>
              <w:t> 200 0</w:t>
            </w:r>
            <w:r w:rsidR="001A5699" w:rsidRPr="005D1A06">
              <w:rPr>
                <w:b/>
                <w:bCs/>
              </w:rPr>
              <w:t>00</w:t>
            </w:r>
          </w:p>
        </w:tc>
      </w:tr>
      <w:tr w:rsidR="00C9331B" w:rsidRPr="005D1A06" w:rsidTr="001A5699"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51" w:lineRule="atLeast"/>
            </w:pPr>
            <w:r w:rsidRPr="005D1A06"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51" w:lineRule="atLeast"/>
              <w:jc w:val="right"/>
            </w:pPr>
            <w:r w:rsidRPr="005D1A06"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51" w:lineRule="atLeast"/>
              <w:jc w:val="right"/>
            </w:pPr>
            <w:r w:rsidRPr="005D1A06"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1A5699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 xml:space="preserve">12 </w:t>
            </w:r>
            <w:r w:rsidR="00BC3C19" w:rsidRPr="005D1A06">
              <w:rPr>
                <w:b/>
                <w:bCs/>
              </w:rPr>
              <w:t>07</w:t>
            </w:r>
            <w:r w:rsidRPr="005D1A06">
              <w:rPr>
                <w:b/>
                <w:bCs/>
              </w:rPr>
              <w:t>0</w:t>
            </w:r>
            <w:r w:rsidR="004F16FC" w:rsidRPr="005D1A06">
              <w:rPr>
                <w:b/>
                <w:bCs/>
              </w:rPr>
              <w:t xml:space="preserve"> </w:t>
            </w:r>
            <w:r w:rsidRPr="005D1A0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F16FC" w:rsidP="00BC3C1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1A5699" w:rsidRPr="005D1A06">
              <w:rPr>
                <w:b/>
                <w:bCs/>
              </w:rPr>
              <w:t> 200 000</w:t>
            </w:r>
          </w:p>
        </w:tc>
      </w:tr>
      <w:tr w:rsidR="00C9331B" w:rsidRPr="005D1A06" w:rsidTr="005107C0"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35" w:lineRule="atLeast"/>
            </w:pPr>
            <w:r w:rsidRPr="005D1A06"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35" w:lineRule="atLeast"/>
              <w:jc w:val="right"/>
            </w:pPr>
            <w:r w:rsidRPr="005D1A06"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35" w:lineRule="atLeast"/>
              <w:jc w:val="right"/>
            </w:pPr>
            <w:r w:rsidRPr="005D1A06"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135" w:lineRule="atLeast"/>
              <w:jc w:val="right"/>
            </w:pPr>
            <w:r w:rsidRPr="005D1A0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BC3C19">
            <w:pPr>
              <w:spacing w:line="135" w:lineRule="atLeast"/>
              <w:jc w:val="right"/>
            </w:pPr>
            <w:r w:rsidRPr="005D1A06">
              <w:t>0</w:t>
            </w:r>
          </w:p>
        </w:tc>
      </w:tr>
      <w:tr w:rsidR="00C9331B" w:rsidRPr="005D1A06" w:rsidTr="005107C0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</w:pPr>
            <w:r w:rsidRPr="005D1A06">
              <w:rPr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1A5699" w:rsidP="001A5699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18D" w:rsidRPr="005D1A06" w:rsidRDefault="0042018D" w:rsidP="004161A1">
            <w:pPr>
              <w:spacing w:line="70" w:lineRule="atLeast"/>
              <w:jc w:val="right"/>
            </w:pPr>
            <w:r w:rsidRPr="005D1A06">
              <w:rPr>
                <w:b/>
                <w:bCs/>
              </w:rPr>
              <w:t>0</w:t>
            </w:r>
          </w:p>
        </w:tc>
      </w:tr>
      <w:tr w:rsidR="00C9331B" w:rsidRPr="005D1A06" w:rsidTr="005107C0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8D" w:rsidRPr="005D1A06" w:rsidRDefault="0042018D" w:rsidP="004161A1">
            <w:pPr>
              <w:rPr>
                <w:sz w:val="2"/>
              </w:rPr>
            </w:pPr>
          </w:p>
        </w:tc>
      </w:tr>
    </w:tbl>
    <w:p w:rsidR="004161A1" w:rsidRPr="005D1A06" w:rsidRDefault="004161A1" w:rsidP="004161A1">
      <w:r w:rsidRPr="005D1A06">
        <w:t> </w:t>
      </w:r>
    </w:p>
    <w:p w:rsidR="004161A1" w:rsidRPr="005D1A06" w:rsidRDefault="001D4C69" w:rsidP="001D4C69">
      <w:r w:rsidRPr="005D1A06">
        <w:rPr>
          <w:b/>
          <w:bCs/>
        </w:rPr>
        <w:t xml:space="preserve">                                        </w:t>
      </w:r>
    </w:p>
    <w:p w:rsidR="004161A1" w:rsidRPr="005D1A06" w:rsidRDefault="004161A1" w:rsidP="005107C0">
      <w:pPr>
        <w:rPr>
          <w:b/>
          <w:bCs/>
        </w:rPr>
      </w:pPr>
      <w:r w:rsidRPr="005D1A06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BC3C19" w:rsidRPr="005D1A06" w:rsidRDefault="00BC3C19" w:rsidP="00BC3C19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 xml:space="preserve">Navrhovaný materiál zakladá nároky na štátny rozpočet v rámci rozpočtovej kapitoly MDVRR SR. Prostriedky na prípravu a realizáciu konkrétnych agendových systémov a </w:t>
      </w:r>
      <w:proofErr w:type="spellStart"/>
      <w:r w:rsidRPr="005D1A06">
        <w:rPr>
          <w:rStyle w:val="Textzstupnhosymbolu"/>
          <w:rFonts w:eastAsiaTheme="minorEastAsia"/>
          <w:color w:val="auto"/>
        </w:rPr>
        <w:t>telematických</w:t>
      </w:r>
      <w:proofErr w:type="spellEnd"/>
      <w:r w:rsidRPr="005D1A06">
        <w:rPr>
          <w:rStyle w:val="Textzstupnhosymbolu"/>
          <w:rFonts w:eastAsiaTheme="minorEastAsia"/>
          <w:color w:val="auto"/>
        </w:rPr>
        <w:t xml:space="preserve"> aplikácií budú zabezpečené prostredníctvom rozpočtovej kapitoly MDVRR SR schválenej vo väzbe na schválené limity na príslušný rozpočtový rok, a to: </w:t>
      </w:r>
    </w:p>
    <w:p w:rsidR="00BC3C19" w:rsidRPr="005D1A06" w:rsidRDefault="00BC3C19" w:rsidP="00BC3C19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lastRenderedPageBreak/>
        <w:t>- z Operačného programu Doprava na roky 2014 – 2020 vo výške 150 mil. €, vrátane prostriedkov na spolufinancovanie,</w:t>
      </w:r>
    </w:p>
    <w:p w:rsidR="00BC3C19" w:rsidRPr="005D1A06" w:rsidRDefault="00BC3C19" w:rsidP="00BC3C19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 xml:space="preserve">- z prostriedkov štátneho rozpočtu na roky 2014 vo výške 70 000.- € a ostatné roky vo výške 200 tis. € (výdavky na tovary a služby – prevádzkové náklady). </w:t>
      </w:r>
    </w:p>
    <w:p w:rsidR="00BC3C19" w:rsidRPr="005D1A06" w:rsidRDefault="0078059D" w:rsidP="00BC3C19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 xml:space="preserve">Celkové </w:t>
      </w:r>
      <w:r w:rsidR="00A96582" w:rsidRPr="005D1A06">
        <w:rPr>
          <w:rStyle w:val="Textzstupnhosymbolu"/>
          <w:rFonts w:eastAsiaTheme="minorEastAsia"/>
          <w:color w:val="auto"/>
        </w:rPr>
        <w:t xml:space="preserve">maximálne predpokladané </w:t>
      </w:r>
      <w:r w:rsidRPr="005D1A06">
        <w:rPr>
          <w:rStyle w:val="Textzstupnhosymbolu"/>
          <w:rFonts w:eastAsiaTheme="minorEastAsia"/>
          <w:color w:val="auto"/>
        </w:rPr>
        <w:t>náklady na realizáciu „</w:t>
      </w:r>
      <w:r w:rsidR="00BC3C19" w:rsidRPr="005D1A06">
        <w:rPr>
          <w:rStyle w:val="Textzstupnhosymbolu"/>
          <w:rFonts w:eastAsiaTheme="minorEastAsia"/>
          <w:color w:val="auto"/>
        </w:rPr>
        <w:t xml:space="preserve">Národného </w:t>
      </w:r>
      <w:r w:rsidR="00541D03" w:rsidRPr="005D1A06">
        <w:rPr>
          <w:rStyle w:val="Textzstupnhosymbolu"/>
          <w:rFonts w:eastAsiaTheme="minorEastAsia"/>
          <w:color w:val="auto"/>
        </w:rPr>
        <w:t xml:space="preserve">systému </w:t>
      </w:r>
      <w:r w:rsidR="00BC3C19" w:rsidRPr="005D1A06">
        <w:rPr>
          <w:rStyle w:val="Textzstupnhosymbolu"/>
          <w:rFonts w:eastAsiaTheme="minorEastAsia"/>
          <w:color w:val="auto"/>
        </w:rPr>
        <w:t>dopravn</w:t>
      </w:r>
      <w:r w:rsidR="00541D03" w:rsidRPr="005D1A06">
        <w:rPr>
          <w:rStyle w:val="Textzstupnhosymbolu"/>
          <w:rFonts w:eastAsiaTheme="minorEastAsia"/>
          <w:color w:val="auto"/>
        </w:rPr>
        <w:t xml:space="preserve">ých </w:t>
      </w:r>
      <w:r w:rsidR="00BC3C19" w:rsidRPr="005D1A06">
        <w:rPr>
          <w:rStyle w:val="Textzstupnhosymbolu"/>
          <w:rFonts w:eastAsiaTheme="minorEastAsia"/>
          <w:color w:val="auto"/>
        </w:rPr>
        <w:t xml:space="preserve"> inform</w:t>
      </w:r>
      <w:r w:rsidR="00541D03" w:rsidRPr="005D1A06">
        <w:rPr>
          <w:rStyle w:val="Textzstupnhosymbolu"/>
          <w:rFonts w:eastAsiaTheme="minorEastAsia"/>
          <w:color w:val="auto"/>
        </w:rPr>
        <w:t>ácií</w:t>
      </w:r>
      <w:r w:rsidR="00BC3C19" w:rsidRPr="005D1A06">
        <w:rPr>
          <w:rStyle w:val="Textzstupnhosymbolu"/>
          <w:rFonts w:eastAsiaTheme="minorEastAsia"/>
          <w:color w:val="auto"/>
        </w:rPr>
        <w:t>“</w:t>
      </w:r>
      <w:r w:rsidR="00A96582" w:rsidRPr="005D1A06">
        <w:rPr>
          <w:rStyle w:val="Textzstupnhosymbolu"/>
          <w:rFonts w:eastAsiaTheme="minorEastAsia"/>
          <w:color w:val="auto"/>
        </w:rPr>
        <w:t>, ktorého súčasťou bude Národné dopravné informačné centrum,</w:t>
      </w:r>
      <w:r w:rsidR="00BC3C19" w:rsidRPr="005D1A06">
        <w:rPr>
          <w:rStyle w:val="Textzstupnhosymbolu"/>
          <w:rFonts w:eastAsiaTheme="minorEastAsia"/>
          <w:color w:val="auto"/>
        </w:rPr>
        <w:t xml:space="preserve"> sú vo výške 150 mil. €. Z toho sa môžu prostriedky EÚ podieľať na financovaní programu vo výške cca 120 mil. €, ŠR vo výške 30  mil. €. Náklady na prevádzku centra predstavujú každoročne </w:t>
      </w:r>
      <w:r w:rsidRPr="005D1A06">
        <w:rPr>
          <w:rStyle w:val="Textzstupnhosymbolu"/>
          <w:rFonts w:eastAsiaTheme="minorEastAsia"/>
          <w:color w:val="auto"/>
        </w:rPr>
        <w:t xml:space="preserve"> od roku 2015 200 000.- €.</w:t>
      </w:r>
    </w:p>
    <w:p w:rsidR="00541D03" w:rsidRPr="005D1A06" w:rsidRDefault="00DA0A38" w:rsidP="001935CE">
      <w:pPr>
        <w:ind w:firstLine="426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 xml:space="preserve">Zvýšené výdavky budú </w:t>
      </w:r>
      <w:r w:rsidR="00BC3C19" w:rsidRPr="005D1A06">
        <w:rPr>
          <w:rStyle w:val="Textzstupnhosymbolu"/>
          <w:rFonts w:eastAsiaTheme="minorEastAsia"/>
          <w:color w:val="auto"/>
        </w:rPr>
        <w:t xml:space="preserve">zabezpečené v rámci schváleného limitu výdavkov kapitoly Ministerstva dopravy, výstavby a regionálneho rozvoja SR na príslušný rozpočtový rok. </w:t>
      </w:r>
    </w:p>
    <w:p w:rsidR="00A96582" w:rsidRPr="005D1A06" w:rsidRDefault="00A96582" w:rsidP="00A96582">
      <w:pPr>
        <w:ind w:firstLine="709"/>
        <w:jc w:val="both"/>
      </w:pPr>
      <w:r w:rsidRPr="005D1A06">
        <w:t xml:space="preserve">Národný systém dopravných informácií </w:t>
      </w:r>
      <w:r w:rsidRPr="005D1A06">
        <w:rPr>
          <w:lang w:val="en-US"/>
        </w:rPr>
        <w:t>(</w:t>
      </w:r>
      <w:r w:rsidRPr="005D1A06">
        <w:t>NSDI) je navrhnutý ako komplexný systém, ktorý bude</w:t>
      </w:r>
      <w:r w:rsidR="00AA687C" w:rsidRPr="005D1A06">
        <w:t xml:space="preserve"> obsahovať</w:t>
      </w:r>
      <w:r w:rsidR="00AA687C" w:rsidRPr="005D1A06">
        <w:rPr>
          <w:lang w:val="en-US"/>
        </w:rPr>
        <w:t>:</w:t>
      </w:r>
      <w:r w:rsidRPr="005D1A06">
        <w:t xml:space="preserve"> </w:t>
      </w:r>
    </w:p>
    <w:p w:rsidR="00A96582" w:rsidRPr="005D1A06" w:rsidRDefault="00A96582" w:rsidP="00A96582">
      <w:pPr>
        <w:jc w:val="both"/>
      </w:pPr>
      <w:r w:rsidRPr="005D1A06">
        <w:t>1. Základné systémy – ide o informačné systémy, ktoré tvoria „jadro“ systémového prostredia NSDI a bez ktorých nie je možná prevádzka NSDI ako takého. Sem patria:</w:t>
      </w:r>
    </w:p>
    <w:p w:rsidR="00A96582" w:rsidRPr="005D1A06" w:rsidRDefault="00A96582" w:rsidP="00A96582">
      <w:pPr>
        <w:pStyle w:val="Odsekzoznamu"/>
        <w:numPr>
          <w:ilvl w:val="1"/>
          <w:numId w:val="8"/>
        </w:numPr>
        <w:autoSpaceDN w:val="0"/>
        <w:ind w:left="1066" w:hanging="74"/>
        <w:contextualSpacing w:val="0"/>
        <w:jc w:val="both"/>
      </w:pPr>
      <w:r w:rsidRPr="005D1A06">
        <w:t xml:space="preserve">IS Národného dopravného informačného centra </w:t>
      </w:r>
    </w:p>
    <w:p w:rsidR="00A96582" w:rsidRPr="005D1A06" w:rsidRDefault="00A96582" w:rsidP="00A96582">
      <w:pPr>
        <w:pStyle w:val="Odsekzoznamu"/>
        <w:numPr>
          <w:ilvl w:val="1"/>
          <w:numId w:val="8"/>
        </w:numPr>
        <w:autoSpaceDN w:val="0"/>
        <w:ind w:left="1066" w:hanging="74"/>
        <w:contextualSpacing w:val="0"/>
        <w:jc w:val="both"/>
      </w:pPr>
      <w:r w:rsidRPr="005D1A06">
        <w:t xml:space="preserve">Lokalizačné služby NSDI </w:t>
      </w:r>
    </w:p>
    <w:p w:rsidR="00A96582" w:rsidRPr="005D1A06" w:rsidRDefault="00A96582" w:rsidP="00A96582">
      <w:pPr>
        <w:pStyle w:val="Odsekzoznamu"/>
        <w:numPr>
          <w:ilvl w:val="1"/>
          <w:numId w:val="8"/>
        </w:numPr>
        <w:autoSpaceDN w:val="0"/>
        <w:ind w:left="1066" w:hanging="74"/>
        <w:contextualSpacing w:val="0"/>
        <w:jc w:val="both"/>
      </w:pPr>
      <w:r w:rsidRPr="005D1A06">
        <w:t xml:space="preserve">Služby základnej infraštruktúry NSDI </w:t>
      </w:r>
    </w:p>
    <w:p w:rsidR="00A96582" w:rsidRPr="005D1A06" w:rsidRDefault="00A96582" w:rsidP="00A96582">
      <w:pPr>
        <w:pStyle w:val="Odsekzoznamu"/>
        <w:numPr>
          <w:ilvl w:val="1"/>
          <w:numId w:val="8"/>
        </w:numPr>
        <w:autoSpaceDN w:val="0"/>
        <w:ind w:left="1066" w:hanging="74"/>
        <w:contextualSpacing w:val="0"/>
        <w:jc w:val="both"/>
      </w:pPr>
      <w:r w:rsidRPr="005D1A06">
        <w:t xml:space="preserve">Univerzálna aplikácia pre zber dopravných informácií </w:t>
      </w:r>
    </w:p>
    <w:p w:rsidR="00A96582" w:rsidRPr="005D1A06" w:rsidRDefault="00A96582" w:rsidP="00A96582">
      <w:pPr>
        <w:pStyle w:val="Odsekzoznamu"/>
        <w:numPr>
          <w:ilvl w:val="1"/>
          <w:numId w:val="8"/>
        </w:numPr>
        <w:autoSpaceDN w:val="0"/>
        <w:ind w:left="1066" w:hanging="74"/>
        <w:contextualSpacing w:val="0"/>
        <w:jc w:val="both"/>
      </w:pPr>
      <w:r w:rsidRPr="005D1A06">
        <w:t xml:space="preserve">Informačný systém </w:t>
      </w:r>
      <w:proofErr w:type="spellStart"/>
      <w:r w:rsidRPr="005D1A06">
        <w:t>Call</w:t>
      </w:r>
      <w:proofErr w:type="spellEnd"/>
      <w:r w:rsidRPr="005D1A06">
        <w:t xml:space="preserve"> Centra </w:t>
      </w:r>
    </w:p>
    <w:p w:rsidR="00A96582" w:rsidRPr="005D1A06" w:rsidRDefault="00A96582" w:rsidP="00A96582">
      <w:pPr>
        <w:pStyle w:val="Odsekzoznamu"/>
        <w:numPr>
          <w:ilvl w:val="1"/>
          <w:numId w:val="8"/>
        </w:numPr>
        <w:autoSpaceDN w:val="0"/>
        <w:ind w:left="1066" w:hanging="74"/>
        <w:contextualSpacing w:val="0"/>
        <w:jc w:val="both"/>
      </w:pPr>
      <w:r w:rsidRPr="005D1A06">
        <w:t xml:space="preserve">Verejný dopravný portál </w:t>
      </w:r>
    </w:p>
    <w:p w:rsidR="00A96582" w:rsidRPr="005D1A06" w:rsidRDefault="00A96582" w:rsidP="00A96582">
      <w:pPr>
        <w:jc w:val="both"/>
      </w:pPr>
      <w:r w:rsidRPr="005D1A06">
        <w:t xml:space="preserve">2. Agendové systémy </w:t>
      </w:r>
    </w:p>
    <w:p w:rsidR="00A96582" w:rsidRPr="005D1A06" w:rsidRDefault="00A96582" w:rsidP="00A96582">
      <w:pPr>
        <w:jc w:val="both"/>
      </w:pPr>
      <w:r w:rsidRPr="005D1A06">
        <w:t xml:space="preserve">3. Inteligentné dopravné systémy </w:t>
      </w:r>
    </w:p>
    <w:p w:rsidR="00A96582" w:rsidRPr="005D1A06" w:rsidRDefault="00A96582" w:rsidP="00A96582">
      <w:pPr>
        <w:jc w:val="both"/>
      </w:pPr>
      <w:r w:rsidRPr="005D1A06">
        <w:t xml:space="preserve">4. Mestské riadiace systémy dopravy </w:t>
      </w:r>
    </w:p>
    <w:p w:rsidR="00A96582" w:rsidRPr="005D1A06" w:rsidRDefault="00A96582" w:rsidP="00A96582">
      <w:pPr>
        <w:jc w:val="both"/>
      </w:pPr>
      <w:r w:rsidRPr="005D1A06">
        <w:t>5. Komponenty na archiváciu a </w:t>
      </w:r>
      <w:proofErr w:type="spellStart"/>
      <w:r w:rsidRPr="005D1A06">
        <w:t>post-processing</w:t>
      </w:r>
      <w:proofErr w:type="spellEnd"/>
      <w:r w:rsidRPr="005D1A06">
        <w:t xml:space="preserve"> dopravných informácií.  </w:t>
      </w:r>
    </w:p>
    <w:p w:rsidR="00F16D6A" w:rsidRPr="005D1A06" w:rsidRDefault="00EC2DDF" w:rsidP="00F16D6A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>V súčasnosti nevieme jednoznačne povedať, kto bude prevádzkovať Národné dopravné informačné centrum</w:t>
      </w:r>
      <w:r w:rsidR="00473076" w:rsidRPr="005D1A06">
        <w:rPr>
          <w:rStyle w:val="Textzstupnhosymbolu"/>
          <w:rFonts w:eastAsiaTheme="minorEastAsia"/>
          <w:color w:val="auto"/>
        </w:rPr>
        <w:t xml:space="preserve">. </w:t>
      </w:r>
      <w:r w:rsidRPr="005D1A06">
        <w:rPr>
          <w:rStyle w:val="Textzstupnhosymbolu"/>
          <w:rFonts w:eastAsiaTheme="minorEastAsia"/>
          <w:color w:val="auto"/>
        </w:rPr>
        <w:t xml:space="preserve"> V prípade uplatnenia § </w:t>
      </w:r>
      <w:r w:rsidR="00DD0C42">
        <w:rPr>
          <w:rStyle w:val="Textzstupnhosymbolu"/>
          <w:rFonts w:eastAsiaTheme="minorEastAsia"/>
          <w:color w:val="auto"/>
        </w:rPr>
        <w:t>8</w:t>
      </w:r>
      <w:r w:rsidRPr="005D1A06">
        <w:rPr>
          <w:rStyle w:val="Textzstupnhosymbolu"/>
          <w:rFonts w:eastAsiaTheme="minorEastAsia"/>
          <w:color w:val="auto"/>
        </w:rPr>
        <w:t xml:space="preserve"> písm. b) a teda v prípade, že ministerstvo poverí výkonom   Národného dopravného informačného centra Národnú diaľničnú spoločnosť, a.s. budú výdavky na osobné náklady nulové. Rovnako </w:t>
      </w:r>
      <w:r w:rsidR="00473076" w:rsidRPr="005D1A06">
        <w:rPr>
          <w:rStyle w:val="Textzstupnhosymbolu"/>
          <w:rFonts w:eastAsiaTheme="minorEastAsia"/>
          <w:color w:val="auto"/>
        </w:rPr>
        <w:t>je možné v budúcnosti uvažovať nad možnosťou spoplatnenia poskytovania určitého rozsahu dopravných informácií fyzickým a právnickým osobám na zmluvnom princípe. V takom prípade by v</w:t>
      </w:r>
      <w:r w:rsidR="00F16D6A" w:rsidRPr="005D1A06">
        <w:rPr>
          <w:rStyle w:val="Textzstupnhosymbolu"/>
          <w:rFonts w:eastAsiaTheme="minorEastAsia"/>
          <w:color w:val="auto"/>
        </w:rPr>
        <w:t xml:space="preserve">ýdavky na osobné náklady boli </w:t>
      </w:r>
      <w:r w:rsidR="00473076" w:rsidRPr="005D1A06">
        <w:rPr>
          <w:rStyle w:val="Textzstupnhosymbolu"/>
          <w:rFonts w:eastAsiaTheme="minorEastAsia"/>
          <w:color w:val="auto"/>
        </w:rPr>
        <w:t>kryté príjmami z poskytovania spoplatnených dopravných informácií, bez ohľadu  na prevádzkovateľa Národného dopravného informačného centra</w:t>
      </w:r>
      <w:r w:rsidR="00F16D6A" w:rsidRPr="005D1A06">
        <w:rPr>
          <w:rStyle w:val="Textzstupnhosymbolu"/>
          <w:rFonts w:eastAsiaTheme="minorEastAsia"/>
          <w:color w:val="auto"/>
        </w:rPr>
        <w:t>.</w:t>
      </w:r>
      <w:r w:rsidR="00473076" w:rsidRPr="005D1A06">
        <w:rPr>
          <w:rStyle w:val="Textzstupnhosymbolu"/>
          <w:rFonts w:eastAsiaTheme="minorEastAsia"/>
          <w:color w:val="auto"/>
        </w:rPr>
        <w:t xml:space="preserve">    </w:t>
      </w:r>
    </w:p>
    <w:p w:rsidR="0078059D" w:rsidRPr="005D1A06" w:rsidRDefault="0078059D" w:rsidP="00F16D6A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 xml:space="preserve">Príjmy </w:t>
      </w:r>
      <w:r w:rsidR="00EA607E" w:rsidRPr="005D1A06">
        <w:rPr>
          <w:rStyle w:val="Textzstupnhosymbolu"/>
          <w:rFonts w:eastAsiaTheme="minorEastAsia"/>
          <w:color w:val="auto"/>
        </w:rPr>
        <w:t>z</w:t>
      </w:r>
      <w:r w:rsidRPr="005D1A06">
        <w:rPr>
          <w:rStyle w:val="Textzstupnhosymbolu"/>
          <w:rFonts w:eastAsiaTheme="minorEastAsia"/>
          <w:color w:val="auto"/>
        </w:rPr>
        <w:t xml:space="preserve"> pokút za porušenie ustanovení návrhu zákona nie je možné vyčísliť  a rovnako </w:t>
      </w:r>
      <w:r w:rsidR="00EA607E" w:rsidRPr="005D1A06">
        <w:rPr>
          <w:rStyle w:val="Textzstupnhosymbolu"/>
          <w:rFonts w:eastAsiaTheme="minorEastAsia"/>
          <w:color w:val="auto"/>
        </w:rPr>
        <w:t>v</w:t>
      </w:r>
      <w:r w:rsidRPr="005D1A06">
        <w:rPr>
          <w:rStyle w:val="Textzstupnhosymbolu"/>
          <w:rFonts w:eastAsiaTheme="minorEastAsia"/>
          <w:color w:val="auto"/>
        </w:rPr>
        <w:t> rokoch 2012 až 2015 je predpoklad, že príjmy z pokút budú nulové</w:t>
      </w:r>
      <w:r w:rsidR="00EC67BE" w:rsidRPr="005D1A06">
        <w:rPr>
          <w:rStyle w:val="Textzstupnhosymbolu"/>
          <w:rFonts w:eastAsiaTheme="minorEastAsia"/>
          <w:color w:val="auto"/>
        </w:rPr>
        <w:t>,</w:t>
      </w:r>
      <w:r w:rsidRPr="005D1A06">
        <w:rPr>
          <w:rStyle w:val="Textzstupnhosymbolu"/>
          <w:rFonts w:eastAsiaTheme="minorEastAsia"/>
          <w:color w:val="auto"/>
        </w:rPr>
        <w:t xml:space="preserve"> vzhľadom na začatie budovania Národného dopravného informačného centra</w:t>
      </w:r>
      <w:r w:rsidR="00EC67BE" w:rsidRPr="005D1A06">
        <w:rPr>
          <w:rStyle w:val="Textzstupnhosymbolu"/>
          <w:rFonts w:eastAsiaTheme="minorEastAsia"/>
          <w:color w:val="auto"/>
        </w:rPr>
        <w:t xml:space="preserve"> od roku 2014</w:t>
      </w:r>
      <w:r w:rsidRPr="005D1A06">
        <w:rPr>
          <w:rStyle w:val="Textzstupnhosymbolu"/>
          <w:rFonts w:eastAsiaTheme="minorEastAsia"/>
          <w:color w:val="auto"/>
        </w:rPr>
        <w:t xml:space="preserve"> a  čerpanie finančných prostriedkov </w:t>
      </w:r>
      <w:r w:rsidR="00EC67BE" w:rsidRPr="005D1A06">
        <w:rPr>
          <w:rStyle w:val="Textzstupnhosymbolu"/>
          <w:rFonts w:eastAsiaTheme="minorEastAsia"/>
          <w:color w:val="auto"/>
        </w:rPr>
        <w:t>až z Operačného programu Doprava na roky 2014 – 2020.</w:t>
      </w:r>
      <w:r w:rsidRPr="005D1A06">
        <w:rPr>
          <w:rStyle w:val="Textzstupnhosymbolu"/>
          <w:rFonts w:eastAsiaTheme="minorEastAsia"/>
          <w:color w:val="auto"/>
        </w:rPr>
        <w:t xml:space="preserve">    </w:t>
      </w:r>
    </w:p>
    <w:p w:rsidR="005107C0" w:rsidRPr="005D1A06" w:rsidRDefault="005107C0" w:rsidP="005107C0">
      <w:pPr>
        <w:ind w:firstLine="360"/>
        <w:jc w:val="both"/>
        <w:rPr>
          <w:rStyle w:val="Textzstupnhosymbolu"/>
          <w:rFonts w:eastAsiaTheme="minorEastAsia"/>
          <w:color w:val="auto"/>
        </w:rPr>
      </w:pPr>
      <w:r w:rsidRPr="005D1A06">
        <w:rPr>
          <w:rStyle w:val="Textzstupnhosymbolu"/>
          <w:rFonts w:eastAsiaTheme="minorEastAsia"/>
          <w:color w:val="auto"/>
        </w:rPr>
        <w:t>Investičné náklady na realizáciu konkrétnych projektov</w:t>
      </w:r>
      <w:r w:rsidR="004D3350" w:rsidRPr="005D1A06">
        <w:rPr>
          <w:rStyle w:val="Textzstupnhosymbolu"/>
          <w:rFonts w:eastAsiaTheme="minorEastAsia"/>
          <w:color w:val="auto"/>
        </w:rPr>
        <w:t xml:space="preserve"> inteligentných dopravných systémov (ďalej len</w:t>
      </w:r>
      <w:r w:rsidRPr="005D1A06">
        <w:rPr>
          <w:rStyle w:val="Textzstupnhosymbolu"/>
          <w:rFonts w:eastAsiaTheme="minorEastAsia"/>
          <w:color w:val="auto"/>
        </w:rPr>
        <w:t xml:space="preserve"> </w:t>
      </w:r>
      <w:r w:rsidR="004D3350" w:rsidRPr="005D1A06">
        <w:rPr>
          <w:rStyle w:val="Textzstupnhosymbolu"/>
          <w:rFonts w:eastAsiaTheme="minorEastAsia"/>
          <w:color w:val="auto"/>
        </w:rPr>
        <w:t>„</w:t>
      </w:r>
      <w:r w:rsidRPr="005D1A06">
        <w:rPr>
          <w:rStyle w:val="Textzstupnhosymbolu"/>
          <w:rFonts w:eastAsiaTheme="minorEastAsia"/>
          <w:color w:val="auto"/>
        </w:rPr>
        <w:t>IDS</w:t>
      </w:r>
      <w:r w:rsidR="004D3350" w:rsidRPr="005D1A06">
        <w:rPr>
          <w:rStyle w:val="Textzstupnhosymbolu"/>
          <w:rFonts w:eastAsiaTheme="minorEastAsia"/>
          <w:color w:val="auto"/>
        </w:rPr>
        <w:t>“)</w:t>
      </w:r>
      <w:r w:rsidRPr="005D1A06">
        <w:rPr>
          <w:rStyle w:val="Textzstupnhosymbolu"/>
          <w:rFonts w:eastAsiaTheme="minorEastAsia"/>
          <w:color w:val="auto"/>
        </w:rPr>
        <w:t xml:space="preserve"> budú hradené prevádzkovateľom Národného dopravného informačného centra. Prevádzkové náklady na zabezpečenie zberu, spracovania a distribúcie údajov budú zabezpečované v rámci bežného výkonu služby príslušných inštitúci</w:t>
      </w:r>
      <w:r w:rsidR="00EA607E" w:rsidRPr="005D1A06">
        <w:rPr>
          <w:rStyle w:val="Textzstupnhosymbolu"/>
          <w:rFonts w:eastAsiaTheme="minorEastAsia"/>
          <w:color w:val="auto"/>
        </w:rPr>
        <w:t>í</w:t>
      </w:r>
      <w:r w:rsidR="004D3350" w:rsidRPr="005D1A06">
        <w:rPr>
          <w:rStyle w:val="Textzstupnhosymbolu"/>
          <w:rFonts w:eastAsiaTheme="minorEastAsia"/>
          <w:color w:val="auto"/>
        </w:rPr>
        <w:t>, ktoré budú</w:t>
      </w:r>
      <w:r w:rsidRPr="005D1A06">
        <w:rPr>
          <w:rStyle w:val="Textzstupnhosymbolu"/>
          <w:rFonts w:eastAsiaTheme="minorEastAsia"/>
          <w:color w:val="auto"/>
        </w:rPr>
        <w:t xml:space="preserve"> zapojen</w:t>
      </w:r>
      <w:r w:rsidR="004D3350" w:rsidRPr="005D1A06">
        <w:rPr>
          <w:rStyle w:val="Textzstupnhosymbolu"/>
          <w:rFonts w:eastAsiaTheme="minorEastAsia"/>
          <w:color w:val="auto"/>
        </w:rPr>
        <w:t>é</w:t>
      </w:r>
      <w:r w:rsidRPr="005D1A06">
        <w:rPr>
          <w:rStyle w:val="Textzstupnhosymbolu"/>
          <w:rFonts w:eastAsiaTheme="minorEastAsia"/>
          <w:color w:val="auto"/>
        </w:rPr>
        <w:t xml:space="preserve"> do Národného dopravného informačného centra. Prevádzkové náklady na </w:t>
      </w:r>
      <w:proofErr w:type="spellStart"/>
      <w:r w:rsidRPr="005D1A06">
        <w:rPr>
          <w:rStyle w:val="Textzstupnhosymbolu"/>
          <w:rFonts w:eastAsiaTheme="minorEastAsia"/>
          <w:color w:val="auto"/>
        </w:rPr>
        <w:t>telematické</w:t>
      </w:r>
      <w:proofErr w:type="spellEnd"/>
      <w:r w:rsidRPr="005D1A06">
        <w:rPr>
          <w:rStyle w:val="Textzstupnhosymbolu"/>
          <w:rFonts w:eastAsiaTheme="minorEastAsia"/>
          <w:color w:val="auto"/>
        </w:rPr>
        <w:t xml:space="preserve"> aplikácie vyplynú z  konkrétnych projektov a budú zabezpečované z finančných zdrojov konkrétnych realizátorov týchto systémov vo väzbe na schválené limity rozpočtových kapitol na príslušný rok. Vo fáze realizácie Národného </w:t>
      </w:r>
      <w:r w:rsidR="004D3350" w:rsidRPr="005D1A06">
        <w:rPr>
          <w:rStyle w:val="Textzstupnhosymbolu"/>
          <w:rFonts w:eastAsiaTheme="minorEastAsia"/>
          <w:color w:val="auto"/>
        </w:rPr>
        <w:t>systému dopravných informácií</w:t>
      </w:r>
      <w:r w:rsidRPr="005D1A06">
        <w:rPr>
          <w:rStyle w:val="Textzstupnhosymbolu"/>
          <w:rFonts w:eastAsiaTheme="minorEastAsia"/>
          <w:color w:val="auto"/>
        </w:rPr>
        <w:t xml:space="preserve"> návrh nezakladá zvýšené nároky na rozpočty obcí a vyšších územných celkov. </w:t>
      </w:r>
    </w:p>
    <w:p w:rsidR="00762EA7" w:rsidRPr="005D1A06" w:rsidRDefault="005107C0" w:rsidP="005107C0">
      <w:pPr>
        <w:ind w:firstLine="360"/>
        <w:jc w:val="both"/>
        <w:rPr>
          <w:b/>
          <w:bCs/>
        </w:rPr>
      </w:pPr>
      <w:r w:rsidRPr="005D1A06">
        <w:rPr>
          <w:b/>
          <w:bCs/>
        </w:rPr>
        <w:t xml:space="preserve"> </w:t>
      </w:r>
    </w:p>
    <w:p w:rsidR="004161A1" w:rsidRPr="005D1A06" w:rsidRDefault="004161A1" w:rsidP="004161A1">
      <w:r w:rsidRPr="005D1A06">
        <w:rPr>
          <w:b/>
          <w:bCs/>
        </w:rPr>
        <w:lastRenderedPageBreak/>
        <w:t>2.3. Popis a charakteristika návrhu</w:t>
      </w:r>
    </w:p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pPr>
        <w:jc w:val="both"/>
      </w:pPr>
      <w:r w:rsidRPr="005D1A06">
        <w:rPr>
          <w:b/>
          <w:bCs/>
        </w:rPr>
        <w:t>2.3.1. Popis návrhu:</w:t>
      </w:r>
    </w:p>
    <w:p w:rsidR="004161A1" w:rsidRPr="005D1A06" w:rsidRDefault="004161A1" w:rsidP="004161A1">
      <w:pPr>
        <w:jc w:val="both"/>
      </w:pPr>
      <w:r w:rsidRPr="005D1A06">
        <w:rPr>
          <w:b/>
          <w:bCs/>
        </w:rPr>
        <w:t> </w:t>
      </w:r>
    </w:p>
    <w:p w:rsidR="005107C0" w:rsidRPr="005D1A06" w:rsidRDefault="005107C0" w:rsidP="005107C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5D1A06">
        <w:rPr>
          <w:rFonts w:ascii="TimesNewRomanPSMT" w:hAnsi="TimesNewRomanPSMT" w:cs="TimesNewRomanPSMT"/>
        </w:rPr>
        <w:t xml:space="preserve">Zefektívnenie systémov osobnej a nákladnej dopravy v celom dopravno-prepravnom procese využívaním informačných a komunikačných systémov a technológií  umožňuje veľmi významne obmedziť negatívne dopady vyplývajúce z prevádzky dopravných systémov, pozitívne ovplyvňuje ekonomiku dopravných organizácií a služieb, znižuje nároky nielen na verejné zdroje, ale aj na zdroje ostatných subjektov dopravno-prepravného procesu a umožňuje </w:t>
      </w:r>
      <w:r w:rsidR="005D1A06" w:rsidRPr="005D1A06">
        <w:rPr>
          <w:rFonts w:ascii="TimesNewRomanPSMT" w:hAnsi="TimesNewRomanPSMT" w:cs="TimesNewRomanPSMT"/>
        </w:rPr>
        <w:t>o n</w:t>
      </w:r>
      <w:r w:rsidRPr="005D1A06">
        <w:rPr>
          <w:rFonts w:ascii="TimesNewRomanPSMT" w:hAnsi="TimesNewRomanPSMT" w:cs="TimesNewRomanPSMT"/>
        </w:rPr>
        <w:t>ich racionálne rozhodova</w:t>
      </w:r>
      <w:r w:rsidR="005D1A06" w:rsidRPr="005D1A06">
        <w:rPr>
          <w:rFonts w:ascii="TimesNewRomanPSMT" w:hAnsi="TimesNewRomanPSMT" w:cs="TimesNewRomanPSMT"/>
        </w:rPr>
        <w:t>ť</w:t>
      </w:r>
      <w:r w:rsidRPr="005D1A06">
        <w:rPr>
          <w:rFonts w:ascii="TimesNewRomanPSMT" w:hAnsi="TimesNewRomanPSMT" w:cs="TimesNewRomanPSMT"/>
        </w:rPr>
        <w:t xml:space="preserve">. Má aj priaznivý dopad na zvýšenie bezpečnosti a plynulosti dopravy. Nosným prvkom komplexných riešení sú </w:t>
      </w:r>
      <w:r w:rsidR="004D3350" w:rsidRPr="005D1A06">
        <w:rPr>
          <w:rFonts w:ascii="TimesNewRomanPSMT" w:hAnsi="TimesNewRomanPSMT" w:cs="TimesNewRomanPSMT"/>
        </w:rPr>
        <w:t>I</w:t>
      </w:r>
      <w:r w:rsidRPr="005D1A06">
        <w:rPr>
          <w:rFonts w:ascii="TimesNewRomanPSMT" w:hAnsi="TimesNewRomanPSMT" w:cs="TimesNewRomanPSMT"/>
        </w:rPr>
        <w:t>DS, ktorých cieľom je: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Arial" w:hAnsi="Arial" w:cs="Arial"/>
        </w:rPr>
        <w:t xml:space="preserve">- </w:t>
      </w:r>
      <w:r w:rsidRPr="005D1A06">
        <w:rPr>
          <w:rFonts w:ascii="TimesNewRomanPSMT" w:hAnsi="TimesNewRomanPSMT" w:cs="TimesNewRomanPSMT"/>
        </w:rPr>
        <w:t>zvyšovať bezpečnosť dopravno-prepravného procesu,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Arial" w:hAnsi="Arial" w:cs="Arial"/>
        </w:rPr>
        <w:t xml:space="preserve">- </w:t>
      </w:r>
      <w:r w:rsidRPr="005D1A06">
        <w:rPr>
          <w:rFonts w:ascii="TimesNewRomanPSMT" w:hAnsi="TimesNewRomanPSMT" w:cs="TimesNewRomanPSMT"/>
        </w:rPr>
        <w:t>zvyšovať efektívnosť a kvalitu prepravy vyjadrenú úsporou času na prepravu,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Arial" w:hAnsi="Arial" w:cs="Arial"/>
        </w:rPr>
        <w:t xml:space="preserve">- </w:t>
      </w:r>
      <w:r w:rsidRPr="005D1A06">
        <w:rPr>
          <w:rFonts w:ascii="TimesNewRomanPSMT" w:hAnsi="TimesNewRomanPSMT" w:cs="TimesNewRomanPSMT"/>
        </w:rPr>
        <w:t>znižovať negatívne vplyvy na životné prostredie a znižovať energetickú náročnosť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TimesNewRomanPSMT" w:hAnsi="TimesNewRomanPSMT" w:cs="TimesNewRomanPSMT"/>
        </w:rPr>
        <w:t>dopravy,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Arial" w:hAnsi="Arial" w:cs="Arial"/>
        </w:rPr>
        <w:t xml:space="preserve">- </w:t>
      </w:r>
      <w:r w:rsidRPr="005D1A06">
        <w:rPr>
          <w:rFonts w:ascii="TimesNewRomanPSMT" w:hAnsi="TimesNewRomanPSMT" w:cs="TimesNewRomanPSMT"/>
        </w:rPr>
        <w:t>zdokonaľovať produktivitu komerčných aktivít subjektov podieľajúcich sa na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TimesNewRomanPSMT" w:hAnsi="TimesNewRomanPSMT" w:cs="TimesNewRomanPSMT"/>
        </w:rPr>
        <w:t>dopravno-prepravnom procese,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Arial" w:hAnsi="Arial" w:cs="Arial"/>
        </w:rPr>
        <w:t xml:space="preserve">- </w:t>
      </w:r>
      <w:r w:rsidRPr="005D1A06">
        <w:rPr>
          <w:rFonts w:ascii="TimesNewRomanPSMT" w:hAnsi="TimesNewRomanPSMT" w:cs="TimesNewRomanPSMT"/>
        </w:rPr>
        <w:t>zvyšovať prístup k dopravným informáciám verejnosti ako aj subjektov dopravno-prepravného procesu pre ich racionálne rozhodovanie,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D1A06">
        <w:rPr>
          <w:rFonts w:ascii="Arial" w:hAnsi="Arial" w:cs="Arial"/>
        </w:rPr>
        <w:t xml:space="preserve">- </w:t>
      </w:r>
      <w:r w:rsidRPr="005D1A06">
        <w:rPr>
          <w:rFonts w:ascii="TimesNewRomanPSMT" w:hAnsi="TimesNewRomanPSMT" w:cs="TimesNewRomanPSMT"/>
        </w:rPr>
        <w:t>zvyšovať kvalitu dopravnej infraštruktúry a znižovať náklady vkladané do budovania novej dopravnej infraštruktúry (predovšetkým cestnej siete).</w:t>
      </w:r>
    </w:p>
    <w:p w:rsidR="005107C0" w:rsidRPr="005D1A06" w:rsidRDefault="005107C0" w:rsidP="005107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107C0" w:rsidRPr="005D1A06" w:rsidRDefault="005107C0" w:rsidP="005107C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5D1A06">
        <w:rPr>
          <w:rFonts w:ascii="TimesNewRomanPSMT" w:hAnsi="TimesNewRomanPSMT" w:cs="TimesNewRomanPSMT"/>
        </w:rPr>
        <w:t>Komplexné riešenie je možné zabezpečiť formou realizácie Národného dopravného informačného centra, ktoré je tvoren</w:t>
      </w:r>
      <w:r w:rsidR="00DD0C42">
        <w:rPr>
          <w:rFonts w:ascii="TimesNewRomanPSMT" w:hAnsi="TimesNewRomanPSMT" w:cs="TimesNewRomanPSMT"/>
        </w:rPr>
        <w:t>é</w:t>
      </w:r>
      <w:bookmarkStart w:id="1" w:name="_GoBack"/>
      <w:bookmarkEnd w:id="1"/>
      <w:r w:rsidRPr="005D1A06">
        <w:rPr>
          <w:rFonts w:ascii="TimesNewRomanPSMT" w:hAnsi="TimesNewRomanPSMT" w:cs="TimesNewRomanPSMT"/>
        </w:rPr>
        <w:t xml:space="preserve"> vzájomne kooperujúcimi informačnými, komunikačnými a riadiacimi systémami založenými na inteligentných dopravných systémoch, systémoch </w:t>
      </w:r>
      <w:proofErr w:type="spellStart"/>
      <w:r w:rsidRPr="005D1A06">
        <w:rPr>
          <w:rFonts w:ascii="TimesNewRomanPSMT" w:hAnsi="TimesNewRomanPSMT" w:cs="TimesNewRomanPSMT"/>
        </w:rPr>
        <w:t>telematických</w:t>
      </w:r>
      <w:proofErr w:type="spellEnd"/>
      <w:r w:rsidRPr="005D1A06">
        <w:rPr>
          <w:rFonts w:ascii="TimesNewRomanPSMT" w:hAnsi="TimesNewRomanPSMT" w:cs="TimesNewRomanPSMT"/>
        </w:rPr>
        <w:t xml:space="preserve"> aplikácií a informačných systémoch v doprave.</w:t>
      </w:r>
    </w:p>
    <w:p w:rsidR="005107C0" w:rsidRPr="005D1A06" w:rsidRDefault="004D3350" w:rsidP="005107C0">
      <w:pPr>
        <w:spacing w:before="120"/>
        <w:ind w:firstLine="708"/>
        <w:jc w:val="both"/>
        <w:rPr>
          <w:rFonts w:eastAsia="Calibri"/>
        </w:rPr>
      </w:pPr>
      <w:r w:rsidRPr="005D1A06">
        <w:rPr>
          <w:rFonts w:eastAsia="Calibri"/>
        </w:rPr>
        <w:t>Účelom</w:t>
      </w:r>
      <w:r w:rsidR="005107C0" w:rsidRPr="005D1A06">
        <w:rPr>
          <w:rFonts w:eastAsia="Calibri"/>
        </w:rPr>
        <w:t xml:space="preserve"> návrhu zákona  je vytvoriť podmienky a zaviesť potrebné mechanizmy na podporu </w:t>
      </w:r>
      <w:r w:rsidR="005107C0" w:rsidRPr="005D1A06">
        <w:t xml:space="preserve">rozvoja </w:t>
      </w:r>
      <w:r w:rsidR="005107C0" w:rsidRPr="005D1A06">
        <w:rPr>
          <w:rFonts w:eastAsia="Calibri"/>
        </w:rPr>
        <w:t xml:space="preserve">služieb a aplikácií IDS pre cestnú dopravu a ich prepojenie s inými druhmi dopravy s cieľom podporovať efektívnejšiu, ekologickejšiu, bezpečnejšiu a istejšiu mobilitu nákladu a cestujúcich </w:t>
      </w:r>
      <w:r w:rsidR="005107C0" w:rsidRPr="005D1A06">
        <w:t>nielen v</w:t>
      </w:r>
      <w:r w:rsidRPr="005D1A06">
        <w:t> </w:t>
      </w:r>
      <w:r w:rsidR="005107C0" w:rsidRPr="005D1A06">
        <w:t>SR</w:t>
      </w:r>
      <w:r w:rsidRPr="005D1A06">
        <w:t>,</w:t>
      </w:r>
      <w:r w:rsidR="005107C0" w:rsidRPr="005D1A06">
        <w:t xml:space="preserve"> ale na </w:t>
      </w:r>
      <w:r w:rsidRPr="005D1A06">
        <w:t xml:space="preserve">celom </w:t>
      </w:r>
      <w:r w:rsidR="005107C0" w:rsidRPr="005D1A06">
        <w:t xml:space="preserve">území </w:t>
      </w:r>
      <w:r w:rsidR="005107C0" w:rsidRPr="005D1A06">
        <w:rPr>
          <w:rFonts w:eastAsia="Calibri"/>
        </w:rPr>
        <w:t> EÚ. Na tento účel sa v návrhu stanovuje, že na spoločné a právne záväzné špecifikácie sa bude uplatňovať regulačný postup s</w:t>
      </w:r>
      <w:r w:rsidR="005107C0" w:rsidRPr="005D1A06">
        <w:t> </w:t>
      </w:r>
      <w:r w:rsidR="005107C0" w:rsidRPr="005D1A06">
        <w:rPr>
          <w:rFonts w:eastAsia="Calibri"/>
        </w:rPr>
        <w:t>kontrolou</w:t>
      </w:r>
      <w:r w:rsidR="005107C0" w:rsidRPr="005D1A06">
        <w:t xml:space="preserve">. </w:t>
      </w:r>
      <w:r w:rsidR="005107C0" w:rsidRPr="005D1A06">
        <w:rPr>
          <w:rFonts w:eastAsia="Calibri"/>
        </w:rPr>
        <w:t xml:space="preserve">Aplikácia riešení v cestnej doprave založených na využití informačných a komunikačných systémov a technológií je jedným zo spôsobov ako efektívnejšie využívať kapacitu cestnej infraštruktúry, odstraňovať </w:t>
      </w:r>
      <w:proofErr w:type="spellStart"/>
      <w:r w:rsidR="005107C0" w:rsidRPr="005D1A06">
        <w:rPr>
          <w:rFonts w:eastAsia="Calibri"/>
        </w:rPr>
        <w:t>kongescie</w:t>
      </w:r>
      <w:proofErr w:type="spellEnd"/>
      <w:r w:rsidR="005107C0" w:rsidRPr="005D1A06">
        <w:rPr>
          <w:rFonts w:eastAsia="Calibri"/>
        </w:rPr>
        <w:t>, znižovať nehodovosť a negatívne vplyvy n</w:t>
      </w:r>
      <w:r w:rsidRPr="005D1A06">
        <w:rPr>
          <w:rFonts w:eastAsia="Calibri"/>
        </w:rPr>
        <w:t xml:space="preserve">a životné prostredie a zvyšovať </w:t>
      </w:r>
      <w:r w:rsidR="005107C0" w:rsidRPr="005D1A06">
        <w:rPr>
          <w:rFonts w:eastAsia="Calibri"/>
        </w:rPr>
        <w:t>bezpečnos</w:t>
      </w:r>
      <w:r w:rsidRPr="005D1A06">
        <w:rPr>
          <w:rFonts w:eastAsia="Calibri"/>
        </w:rPr>
        <w:t>ť</w:t>
      </w:r>
      <w:r w:rsidR="005107C0" w:rsidRPr="005D1A06">
        <w:rPr>
          <w:rFonts w:eastAsia="Calibri"/>
        </w:rPr>
        <w:t xml:space="preserve"> dopravy.</w:t>
      </w:r>
    </w:p>
    <w:p w:rsidR="00CA525E" w:rsidRPr="005D1A06" w:rsidRDefault="00CA525E" w:rsidP="005107C0">
      <w:pPr>
        <w:spacing w:before="120"/>
        <w:ind w:firstLine="708"/>
        <w:jc w:val="both"/>
        <w:rPr>
          <w:rFonts w:eastAsia="Calibri"/>
        </w:rPr>
      </w:pPr>
    </w:p>
    <w:p w:rsidR="004161A1" w:rsidRPr="005D1A06" w:rsidRDefault="004161A1" w:rsidP="004161A1">
      <w:r w:rsidRPr="005D1A06">
        <w:rPr>
          <w:b/>
          <w:bCs/>
        </w:rPr>
        <w:t>2.3.2. Charakteristika návrhu podľa bodu  2.3.2. Metodiky :</w:t>
      </w:r>
    </w:p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r w:rsidRPr="005D1A06">
        <w:rPr>
          <w:b/>
          <w:bCs/>
          <w:bdr w:val="single" w:sz="4" w:space="0" w:color="000000" w:frame="1"/>
        </w:rPr>
        <w:t xml:space="preserve">     </w:t>
      </w:r>
      <w:r w:rsidRPr="005D1A06">
        <w:rPr>
          <w:b/>
          <w:bCs/>
        </w:rPr>
        <w:t xml:space="preserve">  </w:t>
      </w:r>
      <w:r w:rsidRPr="005D1A06">
        <w:t>zmena sadzby</w:t>
      </w:r>
    </w:p>
    <w:p w:rsidR="004161A1" w:rsidRPr="005D1A06" w:rsidRDefault="004161A1" w:rsidP="004161A1">
      <w:r w:rsidRPr="005D1A06">
        <w:rPr>
          <w:bdr w:val="single" w:sz="4" w:space="0" w:color="000000" w:frame="1"/>
        </w:rPr>
        <w:t xml:space="preserve">     </w:t>
      </w:r>
      <w:r w:rsidRPr="005D1A06">
        <w:t>  zmena v nároku</w:t>
      </w:r>
    </w:p>
    <w:p w:rsidR="004161A1" w:rsidRPr="005D1A06" w:rsidRDefault="005107C0" w:rsidP="004161A1">
      <w:r w:rsidRPr="005D1A06">
        <w:rPr>
          <w:bdr w:val="single" w:sz="4" w:space="0" w:color="000000" w:frame="1"/>
        </w:rPr>
        <w:t> X</w:t>
      </w:r>
      <w:r w:rsidR="004161A1" w:rsidRPr="005D1A06">
        <w:rPr>
          <w:bdr w:val="single" w:sz="4" w:space="0" w:color="000000" w:frame="1"/>
        </w:rPr>
        <w:t xml:space="preserve"> </w:t>
      </w:r>
      <w:r w:rsidR="004161A1" w:rsidRPr="005D1A06">
        <w:t>  nová služba alebo nariadenie (alebo ich zrušenie)</w:t>
      </w:r>
    </w:p>
    <w:p w:rsidR="004161A1" w:rsidRPr="005D1A06" w:rsidRDefault="004161A1" w:rsidP="004161A1">
      <w:r w:rsidRPr="005D1A06">
        <w:rPr>
          <w:bdr w:val="single" w:sz="4" w:space="0" w:color="000000" w:frame="1"/>
        </w:rPr>
        <w:t xml:space="preserve">     </w:t>
      </w:r>
      <w:r w:rsidRPr="005D1A06">
        <w:t>  kombinovaný návrh</w:t>
      </w:r>
    </w:p>
    <w:p w:rsidR="004161A1" w:rsidRPr="005D1A06" w:rsidRDefault="004161A1" w:rsidP="004161A1">
      <w:r w:rsidRPr="005D1A06">
        <w:rPr>
          <w:bdr w:val="single" w:sz="4" w:space="0" w:color="000000" w:frame="1"/>
        </w:rPr>
        <w:t xml:space="preserve">     </w:t>
      </w:r>
      <w:r w:rsidRPr="005D1A06">
        <w:t xml:space="preserve">  iné </w:t>
      </w:r>
    </w:p>
    <w:p w:rsidR="004161A1" w:rsidRPr="005D1A06" w:rsidRDefault="004161A1" w:rsidP="004161A1">
      <w:r w:rsidRPr="005D1A06">
        <w:t>  </w:t>
      </w:r>
    </w:p>
    <w:p w:rsidR="004161A1" w:rsidRPr="005D1A06" w:rsidRDefault="004161A1" w:rsidP="004161A1">
      <w:r w:rsidRPr="005D1A06">
        <w:rPr>
          <w:b/>
          <w:bCs/>
        </w:rPr>
        <w:t>2.3.3. Predpoklady vývoja objemu aktivít:</w:t>
      </w:r>
    </w:p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pPr>
        <w:ind w:firstLine="708"/>
        <w:jc w:val="both"/>
      </w:pPr>
      <w:r w:rsidRPr="005D1A06">
        <w:lastRenderedPageBreak/>
        <w:t>Jasne popíšte, v prípade potreby použite nižšie uvedenú tabuľku. Uveďte aj odhady základov daní a/alebo poplatkov, ak sa ich táto zmena týka.</w:t>
      </w:r>
    </w:p>
    <w:p w:rsidR="004161A1" w:rsidRPr="005D1A06" w:rsidRDefault="004161A1" w:rsidP="004161A1">
      <w:pPr>
        <w:jc w:val="right"/>
      </w:pPr>
      <w:r w:rsidRPr="005D1A06">
        <w:rPr>
          <w:sz w:val="20"/>
          <w:szCs w:val="20"/>
        </w:rPr>
        <w:t xml:space="preserve">Tabuľka č. 3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C9331B" w:rsidRPr="005D1A06" w:rsidTr="004161A1"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A1" w:rsidRPr="005D1A06" w:rsidRDefault="004161A1" w:rsidP="004161A1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Odhadované objemy</w:t>
            </w:r>
          </w:p>
        </w:tc>
      </w:tr>
      <w:tr w:rsidR="00C9331B" w:rsidRPr="005D1A06" w:rsidTr="004161A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 w:rsidP="004161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2015</w:t>
            </w:r>
          </w:p>
        </w:tc>
      </w:tr>
      <w:tr w:rsidR="00C9331B" w:rsidRPr="005D1A06" w:rsidTr="004161A1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</w:pPr>
            <w:r w:rsidRPr="005D1A06"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</w:tr>
      <w:tr w:rsidR="00C9331B" w:rsidRPr="005D1A06" w:rsidTr="004161A1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</w:pPr>
            <w:r w:rsidRPr="005D1A06"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</w:tr>
      <w:tr w:rsidR="00C9331B" w:rsidRPr="005D1A06" w:rsidTr="004161A1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</w:pPr>
            <w:r w:rsidRPr="005D1A06"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8E" w:rsidRPr="005D1A06" w:rsidRDefault="00AC1E8E" w:rsidP="004161A1">
            <w:pPr>
              <w:spacing w:line="70" w:lineRule="atLeast"/>
              <w:jc w:val="right"/>
            </w:pPr>
            <w:r w:rsidRPr="005D1A06">
              <w:t> </w:t>
            </w:r>
          </w:p>
        </w:tc>
      </w:tr>
      <w:tr w:rsidR="00C9331B" w:rsidRPr="005D1A06" w:rsidTr="004161A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 w:rsidP="004161A1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 w:rsidP="004161A1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 w:rsidP="004161A1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 w:rsidP="004161A1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 w:rsidP="004161A1">
            <w:pPr>
              <w:rPr>
                <w:sz w:val="2"/>
              </w:rPr>
            </w:pPr>
          </w:p>
        </w:tc>
      </w:tr>
    </w:tbl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r w:rsidRPr="005D1A06">
        <w:t> </w:t>
      </w:r>
      <w:r w:rsidRPr="005D1A06">
        <w:rPr>
          <w:b/>
          <w:bCs/>
        </w:rPr>
        <w:t>2.3.4. Výpočty vplyvov na verejné financie</w:t>
      </w:r>
    </w:p>
    <w:p w:rsidR="004161A1" w:rsidRPr="005D1A06" w:rsidRDefault="004161A1" w:rsidP="004161A1">
      <w:r w:rsidRPr="005D1A06">
        <w:t> </w:t>
      </w:r>
    </w:p>
    <w:p w:rsidR="004161A1" w:rsidRPr="005D1A06" w:rsidRDefault="004161A1" w:rsidP="004161A1">
      <w:pPr>
        <w:ind w:firstLine="708"/>
        <w:jc w:val="both"/>
      </w:pPr>
      <w:r w:rsidRPr="005D1A06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4161A1" w:rsidRPr="005D1A06" w:rsidRDefault="004161A1" w:rsidP="004161A1">
      <w:pPr>
        <w:jc w:val="both"/>
      </w:pPr>
      <w:r w:rsidRPr="005D1A06">
        <w:t> </w:t>
      </w:r>
    </w:p>
    <w:p w:rsidR="004161A1" w:rsidRPr="005D1A06" w:rsidRDefault="00943EB2" w:rsidP="004161A1">
      <w:pPr>
        <w:jc w:val="both"/>
        <w:sectPr w:rsidR="004161A1" w:rsidRPr="005D1A06">
          <w:headerReference w:type="default" r:id="rId9"/>
          <w:footerReference w:type="even" r:id="rId10"/>
          <w:footerReference w:type="default" r:id="rId11"/>
          <w:pgSz w:w="12240" w:h="15840"/>
          <w:pgMar w:top="1417" w:right="1417" w:bottom="1417" w:left="1417" w:header="708" w:footer="708" w:gutter="0"/>
          <w:cols w:space="708"/>
          <w:rtlGutter/>
        </w:sectPr>
      </w:pPr>
      <w:r w:rsidRPr="005D1A06">
        <w:t> </w:t>
      </w:r>
    </w:p>
    <w:p w:rsidR="00943EB2" w:rsidRPr="005D1A06" w:rsidRDefault="00943EB2" w:rsidP="00943EB2">
      <w:pPr>
        <w:pStyle w:val="Normlnywebov"/>
        <w:spacing w:before="0" w:beforeAutospacing="0" w:after="0" w:afterAutospacing="0"/>
        <w:jc w:val="right"/>
      </w:pPr>
      <w:r w:rsidRPr="005D1A06">
        <w:lastRenderedPageBreak/>
        <w:t xml:space="preserve">Tabuľka č. 4 </w:t>
      </w:r>
    </w:p>
    <w:tbl>
      <w:tblPr>
        <w:tblW w:w="139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C9331B" w:rsidRPr="005D1A06" w:rsidTr="00943EB2"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EB2" w:rsidRPr="005D1A06" w:rsidRDefault="00943EB2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t> </w:t>
            </w:r>
            <w:r w:rsidRPr="005D1A06">
              <w:rPr>
                <w:b/>
                <w:bCs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EB2" w:rsidRPr="005D1A06" w:rsidRDefault="00943EB2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EB2" w:rsidRPr="005D1A06" w:rsidRDefault="00943EB2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poznámka</w:t>
            </w:r>
          </w:p>
        </w:tc>
      </w:tr>
      <w:tr w:rsidR="00C9331B" w:rsidRPr="005D1A06" w:rsidTr="00675B7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/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2012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2013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2014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/>
        </w:tc>
      </w:tr>
      <w:tr w:rsidR="00C9331B" w:rsidRPr="005D1A06" w:rsidTr="00943EB2">
        <w:trPr>
          <w:trHeight w:val="25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Daňové príjmy (100)</w:t>
            </w:r>
            <w:r w:rsidRPr="005D1A06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943EB2">
        <w:trPr>
          <w:trHeight w:val="25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Nedaňové príjmy (200)</w:t>
            </w:r>
            <w:r w:rsidRPr="005D1A06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943EB2">
        <w:trPr>
          <w:trHeight w:val="25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Granty a transfery (300)</w:t>
            </w:r>
            <w:r w:rsidRPr="005D1A06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943EB2">
        <w:trPr>
          <w:trHeight w:val="25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943EB2">
        <w:trPr>
          <w:trHeight w:val="25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943EB2">
        <w:trPr>
          <w:trHeight w:val="25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943EB2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>
            <w:pPr>
              <w:rPr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>
            <w:pPr>
              <w:rPr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>
            <w:pPr>
              <w:rPr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>
            <w:pPr>
              <w:rPr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>
            <w:pPr>
              <w:rPr>
                <w:sz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8E" w:rsidRPr="005D1A06" w:rsidRDefault="00AC1E8E">
            <w:pPr>
              <w:rPr>
                <w:sz w:val="2"/>
              </w:rPr>
            </w:pPr>
          </w:p>
        </w:tc>
      </w:tr>
    </w:tbl>
    <w:p w:rsidR="00BB7494" w:rsidRPr="005D1A06" w:rsidRDefault="00943EB2" w:rsidP="00943EB2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5D1A06">
        <w:rPr>
          <w:sz w:val="20"/>
          <w:szCs w:val="20"/>
        </w:rPr>
        <w:t xml:space="preserve">1 –  príjmy rozpísať až do položiek platnej ekonomickej klasifikácie    </w:t>
      </w:r>
    </w:p>
    <w:p w:rsidR="00943EB2" w:rsidRPr="005D1A06" w:rsidRDefault="00943EB2" w:rsidP="00943EB2">
      <w:pPr>
        <w:pStyle w:val="Normlnywebov"/>
        <w:spacing w:before="0" w:beforeAutospacing="0" w:after="0" w:afterAutospacing="0"/>
        <w:jc w:val="both"/>
      </w:pPr>
      <w:r w:rsidRPr="005D1A06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BB7494" w:rsidRPr="005D1A06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5D1A06">
        <w:t xml:space="preserve">Tabuľka č. 5 </w:t>
      </w:r>
    </w:p>
    <w:tbl>
      <w:tblPr>
        <w:tblW w:w="15450" w:type="dxa"/>
        <w:tblInd w:w="-12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0"/>
        <w:gridCol w:w="1398"/>
        <w:gridCol w:w="1398"/>
        <w:gridCol w:w="1800"/>
        <w:gridCol w:w="1800"/>
        <w:gridCol w:w="2064"/>
      </w:tblGrid>
      <w:tr w:rsidR="00C9331B" w:rsidRPr="005D1A06" w:rsidTr="00BC3C19">
        <w:trPr>
          <w:trHeight w:val="255"/>
        </w:trPr>
        <w:tc>
          <w:tcPr>
            <w:tcW w:w="6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EB2" w:rsidRPr="005D1A06" w:rsidRDefault="00943EB2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EB2" w:rsidRPr="005D1A06" w:rsidRDefault="00943EB2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EB2" w:rsidRPr="005D1A06" w:rsidRDefault="00943EB2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poznámka</w:t>
            </w:r>
          </w:p>
        </w:tc>
      </w:tr>
      <w:tr w:rsidR="00C9331B" w:rsidRPr="005D1A06" w:rsidTr="00BC3C19"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/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2013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2014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/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BC3C19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70</w:t>
            </w:r>
            <w:r w:rsidR="001A5699" w:rsidRPr="005D1A06">
              <w:rPr>
                <w:b/>
                <w:bCs/>
              </w:rPr>
              <w:t xml:space="preserve"> 000</w:t>
            </w:r>
            <w:r w:rsidR="00AC1E8E"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8E" w:rsidRPr="005D1A06" w:rsidRDefault="00F81DE8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200 000</w:t>
            </w:r>
            <w:r w:rsidR="00AC1E8E"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1E8E" w:rsidRPr="005D1A06" w:rsidRDefault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2651FD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5D1A06">
              <w:rPr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F81DE8" w:rsidP="001A5699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0</w:t>
            </w:r>
            <w:r w:rsidR="0042018D"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1A5699" w:rsidP="001A5699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F81DE8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5D1A06">
              <w:rPr>
                <w:b/>
              </w:rPr>
              <w:t>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 Tovary a služby (630)</w:t>
            </w:r>
            <w:r w:rsidRPr="005D1A06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BC3C19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70</w:t>
            </w:r>
            <w:r w:rsidR="0042018D" w:rsidRPr="005D1A06">
              <w:rPr>
                <w:b/>
                <w:bCs/>
              </w:rPr>
              <w:t xml:space="preserve"> 000 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18D" w:rsidRPr="005D1A06" w:rsidRDefault="0042018D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200 000 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018D" w:rsidRPr="005D1A06" w:rsidRDefault="0042018D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C9331B" w:rsidRPr="005D1A06" w:rsidTr="006F4156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r w:rsidRPr="005D1A06">
                    <w:rPr>
                      <w:sz w:val="22"/>
                      <w:szCs w:val="22"/>
                    </w:rPr>
                    <w:t xml:space="preserve">                          632001 Energie</w:t>
                  </w:r>
                </w:p>
              </w:tc>
            </w:tr>
          </w:tbl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BC3C19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  <w:r w:rsidRPr="005D1A06">
              <w:rPr>
                <w:bCs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9331B" w:rsidRPr="005D1A06" w:rsidTr="001A569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jc w:val="center"/>
                  </w:pPr>
                  <w:r w:rsidRPr="005D1A06">
                    <w:rPr>
                      <w:sz w:val="22"/>
                      <w:szCs w:val="22"/>
                    </w:rPr>
                    <w:t>100 000</w:t>
                  </w:r>
                </w:p>
              </w:tc>
            </w:tr>
          </w:tbl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2"/>
                <w:szCs w:val="22"/>
              </w:rPr>
              <w:t xml:space="preserve">                            632003 Poštové služby a telekomunikačné služby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BC3C19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  <w:r w:rsidRPr="005D1A06">
              <w:rPr>
                <w:bCs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9331B" w:rsidRPr="005D1A06" w:rsidTr="001A569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jc w:val="center"/>
                  </w:pPr>
                  <w:r w:rsidRPr="005D1A06">
                    <w:rPr>
                      <w:sz w:val="22"/>
                      <w:szCs w:val="22"/>
                    </w:rPr>
                    <w:t>30 000</w:t>
                  </w:r>
                </w:p>
              </w:tc>
            </w:tr>
          </w:tbl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5D1A06">
              <w:rPr>
                <w:sz w:val="22"/>
                <w:szCs w:val="22"/>
              </w:rPr>
              <w:t xml:space="preserve">                            633001 Interiérové vybavenie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9331B" w:rsidRPr="005D1A06" w:rsidTr="001A569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jc w:val="center"/>
                  </w:pPr>
                  <w:r w:rsidRPr="005D1A06">
                    <w:rPr>
                      <w:sz w:val="22"/>
                      <w:szCs w:val="22"/>
                    </w:rPr>
                    <w:t>20 000</w:t>
                  </w:r>
                </w:p>
              </w:tc>
            </w:tr>
          </w:tbl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9331B" w:rsidRPr="005D1A06" w:rsidTr="001A569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jc w:val="center"/>
                  </w:pPr>
                  <w:r w:rsidRPr="005D1A06">
                    <w:rPr>
                      <w:sz w:val="22"/>
                      <w:szCs w:val="22"/>
                    </w:rPr>
                    <w:t>20 000</w:t>
                  </w:r>
                </w:p>
              </w:tc>
            </w:tr>
          </w:tbl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5D1A06">
              <w:rPr>
                <w:sz w:val="22"/>
                <w:szCs w:val="22"/>
              </w:rPr>
              <w:t xml:space="preserve">                            633006 Všeobecný materiál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  <w:r w:rsidRPr="005D1A06">
              <w:rPr>
                <w:sz w:val="22"/>
                <w:szCs w:val="22"/>
              </w:rPr>
              <w:t>20 000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  <w:r w:rsidRPr="005D1A06">
              <w:rPr>
                <w:sz w:val="22"/>
                <w:szCs w:val="22"/>
              </w:rPr>
              <w:t>20 000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C9331B" w:rsidRPr="005D1A06" w:rsidTr="001A5699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ind w:left="1295" w:hanging="1295"/>
                  </w:pPr>
                  <w:r w:rsidRPr="005D1A06">
                    <w:rPr>
                      <w:sz w:val="22"/>
                      <w:szCs w:val="22"/>
                    </w:rPr>
                    <w:t xml:space="preserve">                          635005 Špeciálnych strojov, prístrojov, zariadení, techniky a náradia</w:t>
                  </w:r>
                </w:p>
              </w:tc>
            </w:tr>
          </w:tbl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9331B" w:rsidRPr="005D1A06" w:rsidTr="001A569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jc w:val="center"/>
                  </w:pPr>
                  <w:r w:rsidRPr="005D1A06">
                    <w:rPr>
                      <w:sz w:val="22"/>
                      <w:szCs w:val="22"/>
                    </w:rPr>
                    <w:t>30 000</w:t>
                  </w:r>
                </w:p>
              </w:tc>
            </w:tr>
          </w:tbl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9331B" w:rsidRPr="005D1A06" w:rsidTr="001A569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156" w:rsidRPr="005D1A06" w:rsidRDefault="006F4156" w:rsidP="006F4156">
                  <w:pPr>
                    <w:jc w:val="center"/>
                  </w:pPr>
                  <w:r w:rsidRPr="005D1A06">
                    <w:rPr>
                      <w:sz w:val="22"/>
                      <w:szCs w:val="22"/>
                    </w:rPr>
                    <w:t>30 000</w:t>
                  </w:r>
                </w:p>
              </w:tc>
            </w:tr>
          </w:tbl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 Bežné transfery (640)</w:t>
            </w:r>
            <w:r w:rsidRPr="005D1A06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 Splácanie úrokov a ostatné platby súvisiace s úvermi, pôžičkami a NFV (650)</w:t>
            </w:r>
            <w:r w:rsidRPr="005D1A06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 xml:space="preserve">12 000 </w:t>
            </w:r>
            <w:proofErr w:type="spellStart"/>
            <w:r w:rsidRPr="005D1A06">
              <w:rPr>
                <w:b/>
                <w:bCs/>
              </w:rPr>
              <w:t>000</w:t>
            </w:r>
            <w:proofErr w:type="spellEnd"/>
            <w:r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35 000 </w:t>
            </w:r>
            <w:proofErr w:type="spellStart"/>
            <w:r w:rsidRPr="005D1A06">
              <w:rPr>
                <w:b/>
                <w:bCs/>
              </w:rPr>
              <w:t>000</w:t>
            </w:r>
            <w:proofErr w:type="spellEnd"/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>Obstarávanie kapitálových aktív (710)</w:t>
            </w:r>
            <w:r w:rsidRPr="005D1A06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27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 xml:space="preserve">                                711 200 ostatné                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1D4C69">
            <w:pPr>
              <w:pStyle w:val="Normlnywebov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>360 000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>1 050 000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27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 xml:space="preserve">                                713002 výpočtová technika            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1D4C69">
            <w:pPr>
              <w:pStyle w:val="Normlnywebov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>5 400 000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>15 750 000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27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 xml:space="preserve">                                711 003 softvér             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1D4C6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sz w:val="20"/>
                <w:szCs w:val="20"/>
              </w:rPr>
              <w:t>2 640 000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sz w:val="20"/>
                <w:szCs w:val="20"/>
              </w:rPr>
              <w:t>7 700 000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27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675B7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 xml:space="preserve">                                 717003 stavebné úpravy            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1D4C69">
            <w:pPr>
              <w:pStyle w:val="Normlnywebov"/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1D4C69">
            <w:pPr>
              <w:pStyle w:val="Normlnywebov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sz w:val="20"/>
                <w:szCs w:val="20"/>
              </w:rPr>
              <w:t>3 600 000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6F4156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sz w:val="20"/>
                <w:szCs w:val="20"/>
              </w:rPr>
              <w:t>10 500 000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  <w:sz w:val="20"/>
                <w:szCs w:val="20"/>
              </w:rPr>
              <w:lastRenderedPageBreak/>
              <w:t>Dopad na výdavky verejnej správy celkom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BC3C19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12 </w:t>
            </w:r>
            <w:r w:rsidR="001A5699" w:rsidRPr="005D1A06">
              <w:rPr>
                <w:b/>
                <w:bCs/>
              </w:rPr>
              <w:t>0</w:t>
            </w:r>
            <w:r w:rsidRPr="005D1A06">
              <w:rPr>
                <w:b/>
                <w:bCs/>
              </w:rPr>
              <w:t>7</w:t>
            </w:r>
            <w:r w:rsidR="001A5699" w:rsidRPr="005D1A06">
              <w:rPr>
                <w:b/>
                <w:bCs/>
              </w:rPr>
              <w:t>0</w:t>
            </w:r>
            <w:r w:rsidR="002651FD" w:rsidRPr="005D1A06">
              <w:rPr>
                <w:b/>
                <w:bCs/>
              </w:rPr>
              <w:t xml:space="preserve"> </w:t>
            </w:r>
            <w:r w:rsidR="001A5699" w:rsidRPr="005D1A06">
              <w:rPr>
                <w:b/>
                <w:bCs/>
              </w:rPr>
              <w:t>000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4F16FC" w:rsidP="00856C88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35</w:t>
            </w:r>
            <w:r w:rsidR="00856C88" w:rsidRPr="005D1A06">
              <w:rPr>
                <w:b/>
                <w:bCs/>
              </w:rPr>
              <w:t> 200 0</w:t>
            </w:r>
            <w:r w:rsidR="001A5699" w:rsidRPr="005D1A06">
              <w:rPr>
                <w:b/>
                <w:bCs/>
              </w:rPr>
              <w:t>00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  Bežné výdavky</w:t>
            </w:r>
            <w:r w:rsidRPr="005D1A06">
              <w:rPr>
                <w:b/>
                <w:bCs/>
                <w:sz w:val="20"/>
                <w:szCs w:val="20"/>
              </w:rPr>
              <w:t xml:space="preserve"> </w:t>
            </w:r>
            <w:r w:rsidRPr="005D1A06">
              <w:rPr>
                <w:sz w:val="20"/>
                <w:szCs w:val="20"/>
              </w:rPr>
              <w:t>(600)</w:t>
            </w:r>
            <w:r w:rsidRPr="005D1A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675B7E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BC3C19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7</w:t>
            </w:r>
            <w:r w:rsidR="001A5699" w:rsidRPr="005D1A06">
              <w:rPr>
                <w:b/>
                <w:bCs/>
              </w:rPr>
              <w:t>0</w:t>
            </w:r>
            <w:r w:rsidR="002651FD" w:rsidRPr="005D1A06">
              <w:rPr>
                <w:b/>
                <w:bCs/>
              </w:rPr>
              <w:t xml:space="preserve"> </w:t>
            </w:r>
            <w:r w:rsidR="001A5699" w:rsidRPr="005D1A06">
              <w:rPr>
                <w:b/>
                <w:bCs/>
              </w:rPr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856C88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200 000</w:t>
            </w:r>
            <w:r w:rsidR="006F4156"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AC1E8E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  <w:sz w:val="20"/>
                <w:szCs w:val="20"/>
              </w:rPr>
              <w:t>    </w:t>
            </w:r>
            <w:r w:rsidRPr="005D1A06">
              <w:rPr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2651FD" w:rsidP="0042018D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5D1A06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856C88" w:rsidP="002651FD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 w:rsidRPr="005D1A06">
              <w:rPr>
                <w:b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   Kapitálové výdavky (700)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BC3C1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>12 0</w:t>
            </w:r>
            <w:r w:rsidR="00BC3C19" w:rsidRPr="005D1A06">
              <w:rPr>
                <w:b/>
                <w:bCs/>
              </w:rPr>
              <w:t>0</w:t>
            </w:r>
            <w:r w:rsidRPr="005D1A06">
              <w:rPr>
                <w:b/>
                <w:bCs/>
              </w:rPr>
              <w:t xml:space="preserve">0 </w:t>
            </w:r>
            <w:proofErr w:type="spellStart"/>
            <w:r w:rsidRPr="005D1A06">
              <w:rPr>
                <w:b/>
                <w:bCs/>
              </w:rPr>
              <w:t>000</w:t>
            </w:r>
            <w:proofErr w:type="spellEnd"/>
            <w:r w:rsidRPr="005D1A0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1A5699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D1A06">
              <w:rPr>
                <w:b/>
                <w:bCs/>
              </w:rPr>
              <w:t xml:space="preserve">35 000 </w:t>
            </w:r>
            <w:proofErr w:type="spellStart"/>
            <w:r w:rsidRPr="005D1A06">
              <w:rPr>
                <w:b/>
                <w:bCs/>
              </w:rPr>
              <w:t>000</w:t>
            </w:r>
            <w:proofErr w:type="spellEnd"/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</w:pPr>
            <w:r w:rsidRPr="005D1A06">
              <w:rPr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4156" w:rsidRPr="005D1A06" w:rsidRDefault="006F4156" w:rsidP="0042018D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</w:tr>
      <w:tr w:rsidR="00C9331B" w:rsidRPr="005D1A06" w:rsidTr="00BC3C19">
        <w:trPr>
          <w:trHeight w:val="255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</w:tr>
      <w:tr w:rsidR="00C9331B" w:rsidRPr="005D1A06" w:rsidTr="00BC3C19"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156" w:rsidRPr="005D1A06" w:rsidRDefault="006F4156" w:rsidP="0042018D">
            <w:pPr>
              <w:rPr>
                <w:sz w:val="2"/>
              </w:rPr>
            </w:pPr>
          </w:p>
        </w:tc>
      </w:tr>
    </w:tbl>
    <w:p w:rsidR="00943EB2" w:rsidRPr="005D1A06" w:rsidRDefault="00943EB2" w:rsidP="00943EB2">
      <w:pPr>
        <w:pStyle w:val="Normlnywebov"/>
        <w:spacing w:before="0" w:beforeAutospacing="0" w:after="0" w:afterAutospacing="0"/>
        <w:jc w:val="both"/>
      </w:pPr>
      <w:r w:rsidRPr="005D1A06">
        <w:rPr>
          <w:sz w:val="20"/>
          <w:szCs w:val="20"/>
        </w:rPr>
        <w:t>2 –  výdavky rozpísať až do položiek platnej ekonomickej klasifikácie</w:t>
      </w:r>
    </w:p>
    <w:p w:rsidR="00943EB2" w:rsidRPr="005D1A06" w:rsidRDefault="00943EB2" w:rsidP="00943EB2">
      <w:pPr>
        <w:pStyle w:val="Normlnywebov"/>
        <w:spacing w:before="0" w:beforeAutospacing="0" w:after="0" w:afterAutospacing="0"/>
        <w:jc w:val="both"/>
      </w:pPr>
      <w:r w:rsidRPr="005D1A06">
        <w:rPr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 w:rsidRPr="005D1A06">
        <w:t xml:space="preserve">                 Tabuľka č. 6 </w:t>
      </w:r>
    </w:p>
    <w:tbl>
      <w:tblPr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 w:rsidR="00C9331B" w:rsidRPr="005D1A06" w:rsidTr="00044049"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049" w:rsidRPr="005D1A06" w:rsidRDefault="00044049" w:rsidP="00044049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049" w:rsidRPr="005D1A06" w:rsidRDefault="00044049" w:rsidP="00044049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049" w:rsidRPr="005D1A06" w:rsidRDefault="00044049" w:rsidP="00044049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poznámka</w:t>
            </w:r>
          </w:p>
        </w:tc>
      </w:tr>
      <w:tr w:rsidR="00C9331B" w:rsidRPr="005D1A06" w:rsidTr="00675B7E"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 w:rsidP="00044049"/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2013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E8E" w:rsidRPr="005D1A06" w:rsidRDefault="00AC1E8E" w:rsidP="00675B7E">
            <w:pPr>
              <w:spacing w:line="70" w:lineRule="atLeast"/>
              <w:jc w:val="center"/>
            </w:pPr>
            <w:r w:rsidRPr="005D1A06">
              <w:rPr>
                <w:b/>
                <w:bCs/>
              </w:rPr>
              <w:t>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8E" w:rsidRPr="005D1A06" w:rsidRDefault="00AC1E8E" w:rsidP="00044049"/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72156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Osobné výdavky celkom (v eurách)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rPr>
                <w:b/>
                <w:bCs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  <w:r w:rsidRPr="005D1A06"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1500" w:type="dxa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1598" w:type="dxa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0" w:type="auto"/>
            <w:gridSpan w:val="2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5932" w:type="dxa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rPr>
                <w:b/>
                <w:bCs/>
              </w:rPr>
              <w:t>Poznámky:</w:t>
            </w:r>
          </w:p>
        </w:tc>
        <w:tc>
          <w:tcPr>
            <w:tcW w:w="1500" w:type="dxa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1598" w:type="dxa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0" w:type="auto"/>
            <w:gridSpan w:val="2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1263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rPr>
          <w:trHeight w:val="255"/>
        </w:trPr>
        <w:tc>
          <w:tcPr>
            <w:tcW w:w="15114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 w:rsidR="00C9331B" w:rsidRPr="005D1A06" w:rsidTr="00044049">
        <w:trPr>
          <w:trHeight w:val="255"/>
        </w:trPr>
        <w:tc>
          <w:tcPr>
            <w:tcW w:w="9594" w:type="dxa"/>
            <w:gridSpan w:val="4"/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0A55" w:rsidRPr="005D1A06" w:rsidRDefault="007C0A55" w:rsidP="007C0A55">
            <w:pPr>
              <w:pStyle w:val="Normlnywebov"/>
              <w:spacing w:before="0" w:beforeAutospacing="0" w:after="0" w:afterAutospacing="0"/>
            </w:pPr>
            <w:r w:rsidRPr="005D1A06">
              <w:t> </w:t>
            </w:r>
          </w:p>
        </w:tc>
      </w:tr>
      <w:tr w:rsidR="00C9331B" w:rsidRPr="005D1A06" w:rsidTr="00044049"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55" w:rsidRPr="005D1A06" w:rsidRDefault="007C0A55" w:rsidP="007C0A55">
            <w:pPr>
              <w:rPr>
                <w:sz w:val="2"/>
              </w:rPr>
            </w:pPr>
          </w:p>
        </w:tc>
      </w:tr>
    </w:tbl>
    <w:p w:rsidR="00943EB2" w:rsidRPr="00C9331B" w:rsidRDefault="00943EB2" w:rsidP="00BC3C19">
      <w:pPr>
        <w:pStyle w:val="Normlnywebov"/>
        <w:spacing w:before="0" w:beforeAutospacing="0" w:after="0" w:afterAutospacing="0"/>
        <w:jc w:val="both"/>
      </w:pPr>
      <w:r w:rsidRPr="005D1A06">
        <w:t> </w:t>
      </w:r>
      <w:r w:rsidRPr="005D1A06">
        <w:rPr>
          <w:b/>
          <w:bCs/>
        </w:rPr>
        <w:t>* počet zamestnancov,  mzdy a poistné rozpísať podľa spôsobu odmeňovania (napr. policajti, colníci ...)</w:t>
      </w:r>
    </w:p>
    <w:p w:rsidR="004161A1" w:rsidRPr="00C9331B" w:rsidRDefault="004161A1" w:rsidP="004161A1">
      <w:pPr>
        <w:sectPr w:rsidR="004161A1" w:rsidRPr="00C9331B" w:rsidSect="00BC3C19">
          <w:pgSz w:w="15840" w:h="12240" w:orient="landscape"/>
          <w:pgMar w:top="1134" w:right="1418" w:bottom="1418" w:left="1418" w:header="709" w:footer="709" w:gutter="0"/>
          <w:cols w:space="708"/>
        </w:sectPr>
      </w:pPr>
      <w:r w:rsidRPr="00C9331B">
        <w:rPr>
          <w:b/>
          <w:bCs/>
        </w:rPr>
        <w:t> </w:t>
      </w:r>
    </w:p>
    <w:p w:rsidR="004554B0" w:rsidRPr="00C9331B" w:rsidRDefault="004554B0" w:rsidP="00511158"/>
    <w:sectPr w:rsidR="004554B0" w:rsidRPr="00C9331B" w:rsidSect="00E1069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6A" w:rsidRDefault="00A3306A">
      <w:r>
        <w:separator/>
      </w:r>
    </w:p>
  </w:endnote>
  <w:endnote w:type="continuationSeparator" w:id="0">
    <w:p w:rsidR="00A3306A" w:rsidRDefault="00A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E" w:rsidRDefault="00EA607E" w:rsidP="00E12A3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A607E" w:rsidRDefault="00EA607E" w:rsidP="00C7190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E" w:rsidRDefault="00EA607E" w:rsidP="00E12A3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0C42">
      <w:rPr>
        <w:rStyle w:val="slostrany"/>
        <w:noProof/>
      </w:rPr>
      <w:t>2</w:t>
    </w:r>
    <w:r>
      <w:rPr>
        <w:rStyle w:val="slostrany"/>
      </w:rPr>
      <w:fldChar w:fldCharType="end"/>
    </w:r>
  </w:p>
  <w:p w:rsidR="00EA607E" w:rsidRDefault="00EA607E" w:rsidP="00C7190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E" w:rsidRDefault="00EA607E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A607E" w:rsidRDefault="00EA607E" w:rsidP="003B57E1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E" w:rsidRDefault="00EA607E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0C42">
      <w:rPr>
        <w:rStyle w:val="slostrany"/>
        <w:noProof/>
      </w:rPr>
      <w:t>7</w:t>
    </w:r>
    <w:r>
      <w:rPr>
        <w:rStyle w:val="slostrany"/>
      </w:rPr>
      <w:fldChar w:fldCharType="end"/>
    </w:r>
  </w:p>
  <w:p w:rsidR="00EA607E" w:rsidRDefault="00EA607E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6A" w:rsidRDefault="00A3306A">
      <w:r>
        <w:separator/>
      </w:r>
    </w:p>
  </w:footnote>
  <w:footnote w:type="continuationSeparator" w:id="0">
    <w:p w:rsidR="00A3306A" w:rsidRDefault="00A3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E" w:rsidRDefault="00EA607E">
    <w:pPr>
      <w:pStyle w:val="Hlavika"/>
    </w:pPr>
    <w:r>
      <w:t xml:space="preserve">                                                                                                                                     Príloha č. 13.a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E" w:rsidRPr="002E1304" w:rsidRDefault="00EA607E" w:rsidP="002E1304">
    <w:pPr>
      <w:pStyle w:val="Hlavika"/>
    </w:pPr>
    <w:r>
      <w:t xml:space="preserve">                                                                                                                               Príloha č. 13.a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1020B"/>
    <w:multiLevelType w:val="hybridMultilevel"/>
    <w:tmpl w:val="AC62A37A"/>
    <w:lvl w:ilvl="0" w:tplc="E7A64CB2">
      <w:start w:val="47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56594"/>
    <w:multiLevelType w:val="hybridMultilevel"/>
    <w:tmpl w:val="A9E8D716"/>
    <w:lvl w:ilvl="0" w:tplc="6C0C8E40">
      <w:start w:val="3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5AA07976"/>
    <w:multiLevelType w:val="hybridMultilevel"/>
    <w:tmpl w:val="7C28B238"/>
    <w:lvl w:ilvl="0" w:tplc="C5F4991E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A4BF4"/>
    <w:multiLevelType w:val="multilevel"/>
    <w:tmpl w:val="914809D8"/>
    <w:lvl w:ilvl="0">
      <w:start w:val="1"/>
      <w:numFmt w:val="decimal"/>
      <w:lvlText w:val="%1."/>
      <w:lvlJc w:val="left"/>
      <w:pPr>
        <w:ind w:left="720" w:hanging="357"/>
      </w:pPr>
    </w:lvl>
    <w:lvl w:ilvl="1">
      <w:start w:val="1"/>
      <w:numFmt w:val="lowerLetter"/>
      <w:lvlText w:val="%2."/>
      <w:lvlJc w:val="left"/>
      <w:pPr>
        <w:ind w:left="1067" w:hanging="357"/>
      </w:pPr>
    </w:lvl>
    <w:lvl w:ilvl="2">
      <w:start w:val="1"/>
      <w:numFmt w:val="lowerRoman"/>
      <w:lvlText w:val="%3)"/>
      <w:lvlJc w:val="left"/>
      <w:pPr>
        <w:ind w:left="1446" w:hanging="357"/>
      </w:pPr>
    </w:lvl>
    <w:lvl w:ilvl="3">
      <w:start w:val="1"/>
      <w:numFmt w:val="decimal"/>
      <w:lvlText w:val="(%4)"/>
      <w:lvlJc w:val="left"/>
      <w:pPr>
        <w:ind w:left="1809" w:hanging="357"/>
      </w:pPr>
    </w:lvl>
    <w:lvl w:ilvl="4">
      <w:start w:val="1"/>
      <w:numFmt w:val="lowerLetter"/>
      <w:lvlText w:val="(%5)"/>
      <w:lvlJc w:val="left"/>
      <w:pPr>
        <w:ind w:left="2172" w:hanging="357"/>
      </w:pPr>
    </w:lvl>
    <w:lvl w:ilvl="5">
      <w:start w:val="1"/>
      <w:numFmt w:val="lowerRoman"/>
      <w:lvlText w:val="(%6)"/>
      <w:lvlJc w:val="left"/>
      <w:pPr>
        <w:ind w:left="2535" w:hanging="357"/>
      </w:pPr>
    </w:lvl>
    <w:lvl w:ilvl="6">
      <w:start w:val="1"/>
      <w:numFmt w:val="decimal"/>
      <w:lvlText w:val="%7."/>
      <w:lvlJc w:val="left"/>
      <w:pPr>
        <w:ind w:left="2898" w:hanging="357"/>
      </w:pPr>
    </w:lvl>
    <w:lvl w:ilvl="7">
      <w:start w:val="1"/>
      <w:numFmt w:val="lowerLetter"/>
      <w:lvlText w:val="%8."/>
      <w:lvlJc w:val="left"/>
      <w:pPr>
        <w:ind w:left="3261" w:hanging="357"/>
      </w:pPr>
    </w:lvl>
    <w:lvl w:ilvl="8">
      <w:start w:val="1"/>
      <w:numFmt w:val="lowerRoman"/>
      <w:lvlText w:val="%9."/>
      <w:lvlJc w:val="left"/>
      <w:pPr>
        <w:ind w:left="3624" w:hanging="357"/>
      </w:pPr>
    </w:lvl>
  </w:abstractNum>
  <w:abstractNum w:abstractNumId="8">
    <w:nsid w:val="72A16150"/>
    <w:multiLevelType w:val="multilevel"/>
    <w:tmpl w:val="1BFE4536"/>
    <w:lvl w:ilvl="0">
      <w:start w:val="1"/>
      <w:numFmt w:val="decimal"/>
      <w:lvlText w:val="%1."/>
      <w:lvlJc w:val="left"/>
      <w:pPr>
        <w:ind w:left="720" w:hanging="357"/>
      </w:pPr>
    </w:lvl>
    <w:lvl w:ilvl="1">
      <w:start w:val="1"/>
      <w:numFmt w:val="lowerLetter"/>
      <w:lvlText w:val="%2)"/>
      <w:lvlJc w:val="left"/>
      <w:pPr>
        <w:ind w:left="1067" w:hanging="357"/>
      </w:pPr>
    </w:lvl>
    <w:lvl w:ilvl="2">
      <w:start w:val="1"/>
      <w:numFmt w:val="lowerRoman"/>
      <w:lvlText w:val="%3)"/>
      <w:lvlJc w:val="left"/>
      <w:pPr>
        <w:ind w:left="1446" w:hanging="357"/>
      </w:pPr>
    </w:lvl>
    <w:lvl w:ilvl="3">
      <w:start w:val="1"/>
      <w:numFmt w:val="decimal"/>
      <w:lvlText w:val="(%4)"/>
      <w:lvlJc w:val="left"/>
      <w:pPr>
        <w:ind w:left="1809" w:hanging="357"/>
      </w:pPr>
    </w:lvl>
    <w:lvl w:ilvl="4">
      <w:start w:val="1"/>
      <w:numFmt w:val="lowerLetter"/>
      <w:lvlText w:val="(%5)"/>
      <w:lvlJc w:val="left"/>
      <w:pPr>
        <w:ind w:left="2172" w:hanging="357"/>
      </w:pPr>
    </w:lvl>
    <w:lvl w:ilvl="5">
      <w:start w:val="1"/>
      <w:numFmt w:val="lowerRoman"/>
      <w:lvlText w:val="(%6)"/>
      <w:lvlJc w:val="left"/>
      <w:pPr>
        <w:ind w:left="2535" w:hanging="357"/>
      </w:pPr>
    </w:lvl>
    <w:lvl w:ilvl="6">
      <w:start w:val="1"/>
      <w:numFmt w:val="decimal"/>
      <w:lvlText w:val="%7."/>
      <w:lvlJc w:val="left"/>
      <w:pPr>
        <w:ind w:left="2898" w:hanging="357"/>
      </w:pPr>
    </w:lvl>
    <w:lvl w:ilvl="7">
      <w:start w:val="1"/>
      <w:numFmt w:val="lowerLetter"/>
      <w:lvlText w:val="%8."/>
      <w:lvlJc w:val="left"/>
      <w:pPr>
        <w:ind w:left="3261" w:hanging="357"/>
      </w:pPr>
    </w:lvl>
    <w:lvl w:ilvl="8">
      <w:start w:val="1"/>
      <w:numFmt w:val="lowerRoman"/>
      <w:lvlText w:val="%9."/>
      <w:lvlJc w:val="left"/>
      <w:pPr>
        <w:ind w:left="3624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65A9"/>
    <w:rsid w:val="00007944"/>
    <w:rsid w:val="00012287"/>
    <w:rsid w:val="00021604"/>
    <w:rsid w:val="00021860"/>
    <w:rsid w:val="00031343"/>
    <w:rsid w:val="00032327"/>
    <w:rsid w:val="00037C3F"/>
    <w:rsid w:val="00041DE9"/>
    <w:rsid w:val="00042608"/>
    <w:rsid w:val="00044049"/>
    <w:rsid w:val="000457DA"/>
    <w:rsid w:val="00052109"/>
    <w:rsid w:val="0005425E"/>
    <w:rsid w:val="00062B7D"/>
    <w:rsid w:val="00065A30"/>
    <w:rsid w:val="000665C2"/>
    <w:rsid w:val="00071BF8"/>
    <w:rsid w:val="0007385D"/>
    <w:rsid w:val="00076E87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60F"/>
    <w:rsid w:val="000D70C9"/>
    <w:rsid w:val="000D7A6C"/>
    <w:rsid w:val="000E00FA"/>
    <w:rsid w:val="000E4B19"/>
    <w:rsid w:val="000E56A7"/>
    <w:rsid w:val="000E6D63"/>
    <w:rsid w:val="000F2103"/>
    <w:rsid w:val="000F2DE6"/>
    <w:rsid w:val="000F304F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401E"/>
    <w:rsid w:val="001361F5"/>
    <w:rsid w:val="00137343"/>
    <w:rsid w:val="001443A8"/>
    <w:rsid w:val="001447DA"/>
    <w:rsid w:val="00145187"/>
    <w:rsid w:val="0015103A"/>
    <w:rsid w:val="001514A3"/>
    <w:rsid w:val="00152AA7"/>
    <w:rsid w:val="00153FF2"/>
    <w:rsid w:val="00154671"/>
    <w:rsid w:val="00157008"/>
    <w:rsid w:val="00160FA5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DB1"/>
    <w:rsid w:val="001935CE"/>
    <w:rsid w:val="001A1180"/>
    <w:rsid w:val="001A1BBF"/>
    <w:rsid w:val="001A284A"/>
    <w:rsid w:val="001A2E20"/>
    <w:rsid w:val="001A5699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4C69"/>
    <w:rsid w:val="001D6BD1"/>
    <w:rsid w:val="001E1E7F"/>
    <w:rsid w:val="001E2B22"/>
    <w:rsid w:val="001E4F40"/>
    <w:rsid w:val="001E4FA1"/>
    <w:rsid w:val="001E5D46"/>
    <w:rsid w:val="001E6F6F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4853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4972"/>
    <w:rsid w:val="002651FD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1304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2D5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57E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2018D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076"/>
    <w:rsid w:val="00473CB5"/>
    <w:rsid w:val="00473F71"/>
    <w:rsid w:val="00475710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5E82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3350"/>
    <w:rsid w:val="004D5A7E"/>
    <w:rsid w:val="004E05FA"/>
    <w:rsid w:val="004E0784"/>
    <w:rsid w:val="004F16FC"/>
    <w:rsid w:val="004F7808"/>
    <w:rsid w:val="005000B4"/>
    <w:rsid w:val="00500C00"/>
    <w:rsid w:val="00501139"/>
    <w:rsid w:val="005061D4"/>
    <w:rsid w:val="0050640D"/>
    <w:rsid w:val="00506849"/>
    <w:rsid w:val="005107C0"/>
    <w:rsid w:val="00511158"/>
    <w:rsid w:val="00511ED1"/>
    <w:rsid w:val="00512358"/>
    <w:rsid w:val="0051538F"/>
    <w:rsid w:val="00521E7E"/>
    <w:rsid w:val="00523E6E"/>
    <w:rsid w:val="00524565"/>
    <w:rsid w:val="0052486E"/>
    <w:rsid w:val="0052539E"/>
    <w:rsid w:val="0052739C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1D03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E53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A06"/>
    <w:rsid w:val="005D1C81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B7E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121A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156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2EA7"/>
    <w:rsid w:val="00765150"/>
    <w:rsid w:val="0076767E"/>
    <w:rsid w:val="00771C8F"/>
    <w:rsid w:val="00772156"/>
    <w:rsid w:val="007722FA"/>
    <w:rsid w:val="00774741"/>
    <w:rsid w:val="00775F98"/>
    <w:rsid w:val="0077671B"/>
    <w:rsid w:val="0077799E"/>
    <w:rsid w:val="0078059D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5CDF"/>
    <w:rsid w:val="007A72E4"/>
    <w:rsid w:val="007B3B5F"/>
    <w:rsid w:val="007B4920"/>
    <w:rsid w:val="007B4A7D"/>
    <w:rsid w:val="007C0A55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0DB7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34D9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56C88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60A5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3711"/>
    <w:rsid w:val="008E65BD"/>
    <w:rsid w:val="008E69FA"/>
    <w:rsid w:val="008F0893"/>
    <w:rsid w:val="008F1624"/>
    <w:rsid w:val="008F2B41"/>
    <w:rsid w:val="008F58DB"/>
    <w:rsid w:val="00905943"/>
    <w:rsid w:val="00906A48"/>
    <w:rsid w:val="0090789B"/>
    <w:rsid w:val="009149BA"/>
    <w:rsid w:val="0091637A"/>
    <w:rsid w:val="00916CAE"/>
    <w:rsid w:val="00916D16"/>
    <w:rsid w:val="0091758A"/>
    <w:rsid w:val="0092021B"/>
    <w:rsid w:val="009215FD"/>
    <w:rsid w:val="00922120"/>
    <w:rsid w:val="0092262C"/>
    <w:rsid w:val="009243DF"/>
    <w:rsid w:val="00930EC3"/>
    <w:rsid w:val="00934205"/>
    <w:rsid w:val="00934C9D"/>
    <w:rsid w:val="00936546"/>
    <w:rsid w:val="00936F4F"/>
    <w:rsid w:val="00937C91"/>
    <w:rsid w:val="00940A59"/>
    <w:rsid w:val="00940D0C"/>
    <w:rsid w:val="009415AB"/>
    <w:rsid w:val="00941F65"/>
    <w:rsid w:val="00943CA7"/>
    <w:rsid w:val="00943EB2"/>
    <w:rsid w:val="00944C45"/>
    <w:rsid w:val="00946F53"/>
    <w:rsid w:val="00951630"/>
    <w:rsid w:val="00952ACD"/>
    <w:rsid w:val="009600A6"/>
    <w:rsid w:val="00961731"/>
    <w:rsid w:val="0096184D"/>
    <w:rsid w:val="00962C1F"/>
    <w:rsid w:val="009654C6"/>
    <w:rsid w:val="00965970"/>
    <w:rsid w:val="0096653D"/>
    <w:rsid w:val="009668BE"/>
    <w:rsid w:val="00970054"/>
    <w:rsid w:val="00973374"/>
    <w:rsid w:val="009770D7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2E9F"/>
    <w:rsid w:val="00A14BBE"/>
    <w:rsid w:val="00A15E45"/>
    <w:rsid w:val="00A24E99"/>
    <w:rsid w:val="00A259AB"/>
    <w:rsid w:val="00A25E3A"/>
    <w:rsid w:val="00A300E9"/>
    <w:rsid w:val="00A32A59"/>
    <w:rsid w:val="00A3306A"/>
    <w:rsid w:val="00A40234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582"/>
    <w:rsid w:val="00A96ED3"/>
    <w:rsid w:val="00AA09B8"/>
    <w:rsid w:val="00AA0D56"/>
    <w:rsid w:val="00AA26A6"/>
    <w:rsid w:val="00AA2B3A"/>
    <w:rsid w:val="00AA3771"/>
    <w:rsid w:val="00AA3EC3"/>
    <w:rsid w:val="00AA4633"/>
    <w:rsid w:val="00AA687C"/>
    <w:rsid w:val="00AA7258"/>
    <w:rsid w:val="00AB029F"/>
    <w:rsid w:val="00AB18CD"/>
    <w:rsid w:val="00AB2B4E"/>
    <w:rsid w:val="00AB3936"/>
    <w:rsid w:val="00AB4610"/>
    <w:rsid w:val="00AB63D0"/>
    <w:rsid w:val="00AC0B91"/>
    <w:rsid w:val="00AC1D35"/>
    <w:rsid w:val="00AC1E8E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585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0985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B7494"/>
    <w:rsid w:val="00BC073F"/>
    <w:rsid w:val="00BC3C19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1903"/>
    <w:rsid w:val="00C72B0B"/>
    <w:rsid w:val="00C75C67"/>
    <w:rsid w:val="00C75DD0"/>
    <w:rsid w:val="00C83584"/>
    <w:rsid w:val="00C86FFC"/>
    <w:rsid w:val="00C9331B"/>
    <w:rsid w:val="00C97286"/>
    <w:rsid w:val="00C974D3"/>
    <w:rsid w:val="00C97AF8"/>
    <w:rsid w:val="00CA2786"/>
    <w:rsid w:val="00CA3632"/>
    <w:rsid w:val="00CA3DC2"/>
    <w:rsid w:val="00CA525E"/>
    <w:rsid w:val="00CA5630"/>
    <w:rsid w:val="00CB09A8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7749"/>
    <w:rsid w:val="00D27C91"/>
    <w:rsid w:val="00D27F78"/>
    <w:rsid w:val="00D30292"/>
    <w:rsid w:val="00D40AE4"/>
    <w:rsid w:val="00D42915"/>
    <w:rsid w:val="00D42989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0A38"/>
    <w:rsid w:val="00DA123B"/>
    <w:rsid w:val="00DA3ED1"/>
    <w:rsid w:val="00DA43F5"/>
    <w:rsid w:val="00DA510F"/>
    <w:rsid w:val="00DA5FBE"/>
    <w:rsid w:val="00DA6529"/>
    <w:rsid w:val="00DA7BA1"/>
    <w:rsid w:val="00DB1490"/>
    <w:rsid w:val="00DB313D"/>
    <w:rsid w:val="00DB43AC"/>
    <w:rsid w:val="00DB55B9"/>
    <w:rsid w:val="00DB73E3"/>
    <w:rsid w:val="00DC217D"/>
    <w:rsid w:val="00DC45DB"/>
    <w:rsid w:val="00DC472D"/>
    <w:rsid w:val="00DC5649"/>
    <w:rsid w:val="00DD0998"/>
    <w:rsid w:val="00DD0C42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069F"/>
    <w:rsid w:val="00E12A39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28DA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607E"/>
    <w:rsid w:val="00EB089E"/>
    <w:rsid w:val="00EB5E55"/>
    <w:rsid w:val="00EB7541"/>
    <w:rsid w:val="00EC026F"/>
    <w:rsid w:val="00EC2DDF"/>
    <w:rsid w:val="00EC3A1D"/>
    <w:rsid w:val="00EC4518"/>
    <w:rsid w:val="00EC67BE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4DCF"/>
    <w:rsid w:val="00F07440"/>
    <w:rsid w:val="00F074BE"/>
    <w:rsid w:val="00F074E3"/>
    <w:rsid w:val="00F07E76"/>
    <w:rsid w:val="00F12BFD"/>
    <w:rsid w:val="00F13A83"/>
    <w:rsid w:val="00F1651E"/>
    <w:rsid w:val="00F16D6A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1DE8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67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E106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1069F"/>
    <w:rPr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1069F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069F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E106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1069F"/>
    <w:rPr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069F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4161A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69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5107C0"/>
    <w:rPr>
      <w:rFonts w:cs="Times New Roman"/>
      <w:color w:val="808080"/>
    </w:rPr>
  </w:style>
  <w:style w:type="paragraph" w:styleId="Odsekzoznamu">
    <w:name w:val="List Paragraph"/>
    <w:basedOn w:val="Normlny"/>
    <w:uiPriority w:val="34"/>
    <w:qFormat/>
    <w:rsid w:val="001A569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757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71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57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7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57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E106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1069F"/>
    <w:rPr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1069F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069F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E106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1069F"/>
    <w:rPr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069F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4161A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69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5107C0"/>
    <w:rPr>
      <w:rFonts w:cs="Times New Roman"/>
      <w:color w:val="808080"/>
    </w:rPr>
  </w:style>
  <w:style w:type="paragraph" w:styleId="Odsekzoznamu">
    <w:name w:val="List Paragraph"/>
    <w:basedOn w:val="Normlny"/>
    <w:uiPriority w:val="34"/>
    <w:qFormat/>
    <w:rsid w:val="001A569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757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71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57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7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0AB3-9A1E-489E-A26B-75BEC68D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>UVSR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grosjarova</dc:creator>
  <cp:lastModifiedBy>Kollariková, Zuzana</cp:lastModifiedBy>
  <cp:revision>3</cp:revision>
  <cp:lastPrinted>2012-06-13T12:03:00Z</cp:lastPrinted>
  <dcterms:created xsi:type="dcterms:W3CDTF">2012-06-15T13:05:00Z</dcterms:created>
  <dcterms:modified xsi:type="dcterms:W3CDTF">2012-06-21T12:00:00Z</dcterms:modified>
</cp:coreProperties>
</file>