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A" w:rsidRPr="00034439" w:rsidRDefault="0018455A" w:rsidP="0018455A">
      <w:pPr>
        <w:spacing w:before="75" w:after="90" w:line="240" w:lineRule="auto"/>
        <w:ind w:left="30"/>
        <w:jc w:val="center"/>
        <w:rPr>
          <w:rFonts w:eastAsia="Times New Roman"/>
          <w:b/>
          <w:bCs/>
          <w:spacing w:val="0"/>
          <w:lang w:eastAsia="cs-CZ"/>
        </w:rPr>
      </w:pPr>
      <w:r w:rsidRPr="00034439">
        <w:rPr>
          <w:rFonts w:eastAsia="Times New Roman"/>
          <w:b/>
          <w:spacing w:val="0"/>
          <w:lang w:eastAsia="cs-CZ"/>
        </w:rPr>
        <w:t>Dôvodová správa</w:t>
      </w:r>
    </w:p>
    <w:p w:rsidR="0018455A" w:rsidRPr="00034439" w:rsidRDefault="0018455A" w:rsidP="0018455A">
      <w:pPr>
        <w:spacing w:before="75" w:after="90" w:line="240" w:lineRule="auto"/>
        <w:ind w:left="30"/>
        <w:jc w:val="center"/>
        <w:rPr>
          <w:rFonts w:eastAsia="Times New Roman"/>
          <w:b/>
          <w:bCs/>
          <w:spacing w:val="0"/>
          <w:lang w:eastAsia="cs-CZ"/>
        </w:rPr>
      </w:pPr>
    </w:p>
    <w:p w:rsidR="0018455A" w:rsidRPr="00024CCF" w:rsidRDefault="0018455A" w:rsidP="00024CCF">
      <w:pPr>
        <w:pStyle w:val="Odsekzoznamu"/>
        <w:numPr>
          <w:ilvl w:val="0"/>
          <w:numId w:val="1"/>
        </w:numPr>
        <w:spacing w:before="75" w:after="90" w:line="240" w:lineRule="auto"/>
        <w:jc w:val="both"/>
        <w:rPr>
          <w:rFonts w:eastAsia="Times New Roman"/>
          <w:b/>
          <w:spacing w:val="0"/>
          <w:lang w:eastAsia="cs-CZ"/>
        </w:rPr>
      </w:pPr>
      <w:r w:rsidRPr="00024CCF">
        <w:rPr>
          <w:rFonts w:eastAsia="Times New Roman"/>
          <w:b/>
          <w:spacing w:val="0"/>
          <w:lang w:eastAsia="cs-CZ"/>
        </w:rPr>
        <w:t>Všeobecná časť</w:t>
      </w:r>
    </w:p>
    <w:p w:rsidR="00024CCF" w:rsidRPr="00024CCF" w:rsidRDefault="00024CCF" w:rsidP="00024CCF">
      <w:pPr>
        <w:pStyle w:val="Odsekzoznamu"/>
        <w:spacing w:before="75" w:after="90" w:line="240" w:lineRule="auto"/>
        <w:ind w:left="705"/>
        <w:jc w:val="both"/>
        <w:rPr>
          <w:rFonts w:eastAsia="Times New Roman"/>
          <w:b/>
          <w:bCs/>
          <w:spacing w:val="0"/>
          <w:lang w:eastAsia="cs-CZ"/>
        </w:rPr>
      </w:pPr>
    </w:p>
    <w:p w:rsidR="004239AB" w:rsidRDefault="0018455A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F6534C">
        <w:rPr>
          <w:rFonts w:eastAsia="Times New Roman"/>
          <w:spacing w:val="0"/>
          <w:lang w:eastAsia="sk-SK"/>
        </w:rPr>
        <w:t>Návrh nariadenia vlády Slovenskej republiky, ktorým sa</w:t>
      </w:r>
      <w:r w:rsidRPr="00F6534C">
        <w:rPr>
          <w:rFonts w:eastAsia="Times New Roman"/>
          <w:spacing w:val="0"/>
          <w:lang w:eastAsia="cs-CZ"/>
        </w:rPr>
        <w:t xml:space="preserve"> mení a dopĺňa nariadenie vlády Slovenskej republiky č. 481/2011 Z. z., ktorým sa ustanovuje maximálna intenzita investičnej pomoci a výška investičnej pomoci podľa formy investičnej pomoci a miery nezamestnanosti v okresoch podľa jednotlivých regiónov Slovenskej republik</w:t>
      </w:r>
      <w:r>
        <w:rPr>
          <w:rFonts w:eastAsia="Times New Roman"/>
          <w:spacing w:val="0"/>
          <w:lang w:eastAsia="cs-CZ"/>
        </w:rPr>
        <w:t>y</w:t>
      </w:r>
      <w:r w:rsidRPr="00F6534C">
        <w:rPr>
          <w:rFonts w:eastAsia="Times New Roman"/>
          <w:spacing w:val="0"/>
          <w:lang w:eastAsia="cs-CZ"/>
        </w:rPr>
        <w:t xml:space="preserve"> sa predkladá ako iniciatívny návrh.</w:t>
      </w:r>
      <w:r w:rsidR="004239AB" w:rsidRPr="004239AB">
        <w:t xml:space="preserve"> 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>Na základe zhodnotenia lokálnych i globálnych trendov v jednotlivých odvetviach, vychádzajúc z reál</w:t>
      </w:r>
      <w:r w:rsidR="00CF4C6F">
        <w:rPr>
          <w:rFonts w:eastAsia="Times New Roman"/>
          <w:spacing w:val="0"/>
          <w:lang w:eastAsia="cs-CZ"/>
        </w:rPr>
        <w:t>nych možnosti štátneho rozpočtu</w:t>
      </w:r>
      <w:r w:rsidRPr="004239AB">
        <w:rPr>
          <w:rFonts w:eastAsia="Times New Roman"/>
          <w:spacing w:val="0"/>
          <w:lang w:eastAsia="cs-CZ"/>
        </w:rPr>
        <w:t xml:space="preserve"> v snahe podporovať investície </w:t>
      </w:r>
      <w:r>
        <w:rPr>
          <w:rFonts w:eastAsia="Times New Roman"/>
          <w:spacing w:val="0"/>
          <w:lang w:eastAsia="cs-CZ"/>
        </w:rPr>
        <w:t xml:space="preserve">                                      </w:t>
      </w:r>
      <w:r w:rsidRPr="004239AB">
        <w:rPr>
          <w:rFonts w:eastAsia="Times New Roman"/>
          <w:spacing w:val="0"/>
          <w:lang w:eastAsia="cs-CZ"/>
        </w:rPr>
        <w:t>v odvetviach s vysokou pridanou hodnotou, ktoré predstavujú významný podiel na rozvoji Slovenskej republiky, sa navrhuje upraviť maximálnu intenzitu investičnej pomoci a výšku investičnej pomoci podľa formy investičnej pomoci diferencovane.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>Táto diferenciácia umožní poskytnúť vyššie percento pomoci odvetviam hospodárstva s vysokou pridanou hodnotou, ktorých rozvoj je prioritným záujmom Slovenskej republiky</w:t>
      </w:r>
      <w:r w:rsidR="00CF4C6F">
        <w:rPr>
          <w:rFonts w:eastAsia="Times New Roman"/>
          <w:spacing w:val="0"/>
          <w:lang w:eastAsia="cs-CZ"/>
        </w:rPr>
        <w:t xml:space="preserve">                   </w:t>
      </w:r>
      <w:r w:rsidRPr="004239AB">
        <w:rPr>
          <w:rFonts w:eastAsia="Times New Roman"/>
          <w:spacing w:val="0"/>
          <w:lang w:eastAsia="cs-CZ"/>
        </w:rPr>
        <w:t xml:space="preserve"> a naopak obmedzuje pomoc pre odvetvia hospodárstva, ktoré sú z hľadiska tvorby pridanej hodnoty a hospodárskeho rozvoja Slovenskej republiky menej atraktívne, pričom zachováva princíp poskytovania vyššej miery investičnej pomoci investičným zámerom v menej rozvinutých regiónoch.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 xml:space="preserve">Maximálnu výšku investičnej pomoci, ktorú umožňujú pravidlá upravujúce poskytovanie investičnej pomoci, sa navrhuje poskytovať iba v okresoch, kde priemerná miera evidovanej nezamestnanosti je vyššia ako 150 % priemernej miery nezamestnanosti </w:t>
      </w:r>
      <w:r>
        <w:rPr>
          <w:rFonts w:eastAsia="Times New Roman"/>
          <w:spacing w:val="0"/>
          <w:lang w:eastAsia="cs-CZ"/>
        </w:rPr>
        <w:t xml:space="preserve">                    </w:t>
      </w:r>
      <w:r w:rsidRPr="004239AB">
        <w:rPr>
          <w:rFonts w:eastAsia="Times New Roman"/>
          <w:spacing w:val="0"/>
          <w:lang w:eastAsia="cs-CZ"/>
        </w:rPr>
        <w:t>v Slovenskej republike.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>V okresoch, kde je priemerná miera evidovanej nezamestnanosti nižšia ako priemer nezamestnanosti v Slovenskej republike, sa pre investičné zámery spadajúce do odvetví priemyselnej výroby a cestovného ruchu nebude poskytovať investičná pomoc formou príspevku na vytvorenie nového pracovného miesta.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 xml:space="preserve">Investičná pomoc formou dotácie na obstaraný dlhodobý hmotný majetok a dlhodobý nehmotný majetok sa navrhuje poskytovať pre investičné zámery v oblasti technologických centier vo všetkých okresoch a pre investičné zámery v priemyselnej výrobe, cestovom ruch </w:t>
      </w:r>
      <w:r w:rsidR="00CF4C6F">
        <w:rPr>
          <w:rFonts w:eastAsia="Times New Roman"/>
          <w:spacing w:val="0"/>
          <w:lang w:eastAsia="cs-CZ"/>
        </w:rPr>
        <w:t xml:space="preserve">         </w:t>
      </w:r>
      <w:r w:rsidRPr="004239AB">
        <w:rPr>
          <w:rFonts w:eastAsia="Times New Roman"/>
          <w:spacing w:val="0"/>
          <w:lang w:eastAsia="cs-CZ"/>
        </w:rPr>
        <w:t xml:space="preserve">v okresoch, kde priemerná miera evidovanej nezamestnanosti je vyššia ako 125 % priemernej miery nezamestnanosti v Slovenskej republike. </w:t>
      </w:r>
    </w:p>
    <w:p w:rsidR="004239AB" w:rsidRPr="004239AB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 xml:space="preserve">Navrhovaná právna úprava nebude mať vplyv na rozpočet verejnej správy, podnikateľské prostredie, nebude mať sociálne vplyvy, ani vplyv na životné prostredie </w:t>
      </w:r>
      <w:r w:rsidR="00CF4C6F">
        <w:rPr>
          <w:rFonts w:eastAsia="Times New Roman"/>
          <w:spacing w:val="0"/>
          <w:lang w:eastAsia="cs-CZ"/>
        </w:rPr>
        <w:t xml:space="preserve">                        </w:t>
      </w:r>
      <w:r w:rsidRPr="004239AB">
        <w:rPr>
          <w:rFonts w:eastAsia="Times New Roman"/>
          <w:spacing w:val="0"/>
          <w:lang w:eastAsia="cs-CZ"/>
        </w:rPr>
        <w:t>a na informatizáciu spoločnosti.</w:t>
      </w:r>
    </w:p>
    <w:p w:rsidR="0018455A" w:rsidRDefault="004239AB" w:rsidP="004239AB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  <w:r w:rsidRPr="004239AB">
        <w:rPr>
          <w:rFonts w:eastAsia="Times New Roman"/>
          <w:spacing w:val="0"/>
          <w:lang w:eastAsia="cs-CZ"/>
        </w:rPr>
        <w:t>Predložený návrh nariadenia vlády SR je v súlade s Ústavou Slovenskej republiky, ústavnými zákonmi, inými zákonmi a ostatnými všeobecne záväznými právnymi predpismi Slovenskej republiky, s právom Európskej únie a s medzinárodnými zmluvami, ktorými</w:t>
      </w:r>
      <w:r w:rsidR="00CF4C6F">
        <w:rPr>
          <w:rFonts w:eastAsia="Times New Roman"/>
          <w:spacing w:val="0"/>
          <w:lang w:eastAsia="cs-CZ"/>
        </w:rPr>
        <w:t xml:space="preserve">                    </w:t>
      </w:r>
      <w:r w:rsidRPr="004239AB">
        <w:rPr>
          <w:rFonts w:eastAsia="Times New Roman"/>
          <w:spacing w:val="0"/>
          <w:lang w:eastAsia="cs-CZ"/>
        </w:rPr>
        <w:t xml:space="preserve"> je Slovenská republika viazaná.</w:t>
      </w:r>
      <w:r w:rsidR="00CF4C6F">
        <w:rPr>
          <w:rFonts w:eastAsia="Times New Roman"/>
          <w:spacing w:val="0"/>
          <w:lang w:eastAsia="cs-CZ"/>
        </w:rPr>
        <w:t xml:space="preserve"> </w:t>
      </w:r>
    </w:p>
    <w:p w:rsidR="004239AB" w:rsidRDefault="004239AB" w:rsidP="0018455A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</w:p>
    <w:p w:rsidR="004239AB" w:rsidRDefault="004239AB" w:rsidP="0018455A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</w:p>
    <w:p w:rsidR="004239AB" w:rsidRDefault="004239AB" w:rsidP="0018455A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</w:p>
    <w:p w:rsidR="004239AB" w:rsidRDefault="004239AB" w:rsidP="0018455A">
      <w:pPr>
        <w:spacing w:after="120" w:line="240" w:lineRule="auto"/>
        <w:ind w:firstLine="708"/>
        <w:jc w:val="both"/>
        <w:rPr>
          <w:rFonts w:eastAsia="Times New Roman"/>
          <w:spacing w:val="0"/>
          <w:lang w:eastAsia="cs-CZ"/>
        </w:rPr>
      </w:pPr>
    </w:p>
    <w:p w:rsidR="004239AB" w:rsidRDefault="0018455A" w:rsidP="0018455A">
      <w:pPr>
        <w:spacing w:before="100" w:beforeAutospacing="1" w:after="100" w:afterAutospacing="1" w:line="240" w:lineRule="auto"/>
        <w:rPr>
          <w:rFonts w:eastAsia="Times New Roman"/>
          <w:b/>
          <w:spacing w:val="0"/>
          <w:lang w:eastAsia="sk-SK"/>
        </w:rPr>
      </w:pPr>
      <w:r w:rsidRPr="00815EAC">
        <w:rPr>
          <w:rFonts w:eastAsia="Times New Roman"/>
          <w:b/>
          <w:spacing w:val="0"/>
          <w:lang w:eastAsia="sk-SK"/>
        </w:rPr>
        <w:lastRenderedPageBreak/>
        <w:t>B.</w:t>
      </w:r>
      <w:r w:rsidRPr="00815EAC">
        <w:rPr>
          <w:rFonts w:eastAsia="Times New Roman"/>
          <w:b/>
          <w:spacing w:val="0"/>
          <w:lang w:eastAsia="sk-SK"/>
        </w:rPr>
        <w:tab/>
        <w:t>Osobitná časť</w:t>
      </w:r>
    </w:p>
    <w:p w:rsidR="0018455A" w:rsidRPr="002C2C86" w:rsidRDefault="00027192" w:rsidP="0018455A">
      <w:pPr>
        <w:spacing w:before="100" w:beforeAutospacing="1" w:after="100" w:afterAutospacing="1" w:line="240" w:lineRule="auto"/>
        <w:rPr>
          <w:rFonts w:eastAsia="Times New Roman"/>
          <w:b/>
          <w:spacing w:val="0"/>
          <w:lang w:eastAsia="sk-SK"/>
        </w:rPr>
      </w:pPr>
      <w:r>
        <w:rPr>
          <w:rFonts w:eastAsia="Times New Roman"/>
          <w:b/>
          <w:spacing w:val="0"/>
          <w:lang w:eastAsia="sk-SK"/>
        </w:rPr>
        <w:t>K Čl. I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  <w:r w:rsidRPr="004239AB">
        <w:rPr>
          <w:rFonts w:eastAsia="Calibri"/>
          <w:b/>
          <w:spacing w:val="0"/>
          <w:lang w:eastAsia="sk-SK"/>
        </w:rPr>
        <w:t xml:space="preserve">K bodu 1 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Navrhuje sa maximálna výška dotácie na obstaraný dlhodobý hmotný majetok a dlhodobý nehmotný majetok, ktorá je vyjadrená ako percentuálny podiel z oprávnených nákladov, ktoré sú tvorené dlhodobým hmotným majetkom a dlhodobým nehmotným majetkom.</w:t>
      </w:r>
    </w:p>
    <w:p w:rsidR="004239AB" w:rsidRPr="004239AB" w:rsidRDefault="004239AB" w:rsidP="004239AB">
      <w:pPr>
        <w:spacing w:after="120" w:line="240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Navrhuje sa, aby maximálna výška dotácie na obstaraný dlhodobý hmotný majetok a dlhodobý nehmotný majet</w:t>
      </w:r>
      <w:r>
        <w:rPr>
          <w:rFonts w:eastAsia="Calibri"/>
          <w:spacing w:val="0"/>
          <w:lang w:eastAsia="sk-SK"/>
        </w:rPr>
        <w:t>ok bola limitovaná sumou 10 miliónov e</w:t>
      </w:r>
      <w:r w:rsidRPr="004239AB">
        <w:rPr>
          <w:rFonts w:eastAsia="Calibri"/>
          <w:spacing w:val="0"/>
          <w:lang w:eastAsia="sk-SK"/>
        </w:rPr>
        <w:t>ur v prípade investičného zámeru v odbore</w:t>
      </w:r>
      <w:r>
        <w:rPr>
          <w:rFonts w:eastAsia="Calibri"/>
          <w:spacing w:val="0"/>
          <w:lang w:eastAsia="sk-SK"/>
        </w:rPr>
        <w:t xml:space="preserve"> priemyselnej výroby a 5 miliónov</w:t>
      </w:r>
      <w:r w:rsidRPr="004239AB">
        <w:rPr>
          <w:rFonts w:eastAsia="Calibri"/>
          <w:spacing w:val="0"/>
          <w:lang w:eastAsia="sk-SK"/>
        </w:rPr>
        <w:t xml:space="preserve"> eur v prípade investičného zámeru v oblasti technologického centra. 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bCs/>
          <w:spacing w:val="0"/>
          <w:lang w:eastAsia="sk-SK"/>
        </w:rPr>
      </w:pPr>
      <w:r>
        <w:rPr>
          <w:rFonts w:eastAsia="Calibri"/>
          <w:b/>
          <w:spacing w:val="0"/>
          <w:lang w:eastAsia="sk-SK"/>
        </w:rPr>
        <w:t>K bodom 2 a 4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 xml:space="preserve">Ide o spresnenie </w:t>
      </w:r>
      <w:r w:rsidR="00CF4C6F">
        <w:rPr>
          <w:rFonts w:eastAsia="Calibri"/>
          <w:spacing w:val="0"/>
          <w:lang w:eastAsia="sk-SK"/>
        </w:rPr>
        <w:t xml:space="preserve">definície oprávnených nákladov na </w:t>
      </w:r>
      <w:r w:rsidRPr="004239AB">
        <w:rPr>
          <w:rFonts w:eastAsia="Calibri"/>
          <w:spacing w:val="0"/>
          <w:lang w:eastAsia="sk-SK"/>
        </w:rPr>
        <w:t xml:space="preserve">výpočet maximálnej výšky úľavy </w:t>
      </w:r>
      <w:r>
        <w:rPr>
          <w:rFonts w:eastAsia="Calibri"/>
          <w:spacing w:val="0"/>
          <w:lang w:eastAsia="sk-SK"/>
        </w:rPr>
        <w:t xml:space="preserve">                  </w:t>
      </w:r>
      <w:r w:rsidRPr="004239AB">
        <w:rPr>
          <w:rFonts w:eastAsia="Calibri"/>
          <w:spacing w:val="0"/>
          <w:lang w:eastAsia="sk-SK"/>
        </w:rPr>
        <w:t xml:space="preserve">na dani a prevodu nehnuteľného majetku, ktorý bol nadobudnutý prevodom alebo zámenou </w:t>
      </w:r>
      <w:r>
        <w:rPr>
          <w:rFonts w:eastAsia="Calibri"/>
          <w:spacing w:val="0"/>
          <w:lang w:eastAsia="sk-SK"/>
        </w:rPr>
        <w:t xml:space="preserve">                  </w:t>
      </w:r>
      <w:r w:rsidRPr="004239AB">
        <w:rPr>
          <w:rFonts w:eastAsia="Calibri"/>
          <w:spacing w:val="0"/>
          <w:lang w:eastAsia="sk-SK"/>
        </w:rPr>
        <w:t>za cenu nižšiu, ako je všeobecná hodnota majetku.</w:t>
      </w:r>
    </w:p>
    <w:p w:rsidR="004239AB" w:rsidRPr="004239AB" w:rsidRDefault="004239AB" w:rsidP="004239AB">
      <w:pPr>
        <w:spacing w:after="120" w:line="240" w:lineRule="auto"/>
        <w:jc w:val="both"/>
        <w:rPr>
          <w:rFonts w:eastAsia="Calibri"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 xml:space="preserve">Pri výpočte maximálnej výšky úľavy na dani z príjmu a prevodu nehnuteľného majetku, ktorý bol nadobudnutý prevodom alebo zámenou za cenu nižšiu, ako je všeobecná hodnota majetku sa bude vychádzať z výšky </w:t>
      </w:r>
      <w:r w:rsidRPr="004239AB">
        <w:rPr>
          <w:rFonts w:eastAsia="Times New Roman"/>
          <w:spacing w:val="0"/>
          <w:lang w:eastAsia="cs-CZ"/>
        </w:rPr>
        <w:t>oprávnených nákladov investičného zámeru, ktoré sú tvorené dlhodobým hmotným majetkom a dlhodobým nehmotným majetkom</w:t>
      </w:r>
      <w:r w:rsidRPr="004239AB">
        <w:rPr>
          <w:rFonts w:eastAsia="Calibri"/>
          <w:spacing w:val="0"/>
          <w:lang w:eastAsia="sk-SK"/>
        </w:rPr>
        <w:t>.</w:t>
      </w:r>
    </w:p>
    <w:p w:rsidR="004239AB" w:rsidRPr="004239AB" w:rsidRDefault="004239AB" w:rsidP="004239AB">
      <w:pPr>
        <w:spacing w:after="0" w:line="264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b/>
          <w:spacing w:val="0"/>
          <w:lang w:eastAsia="sk-SK"/>
        </w:rPr>
        <w:t>K bodu 3</w:t>
      </w:r>
    </w:p>
    <w:p w:rsidR="004239AB" w:rsidRPr="004239AB" w:rsidRDefault="004239AB" w:rsidP="00C86F34">
      <w:pPr>
        <w:spacing w:after="120" w:line="240" w:lineRule="auto"/>
        <w:jc w:val="both"/>
        <w:rPr>
          <w:rFonts w:eastAsia="Calibri"/>
          <w:b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 xml:space="preserve">Ide o spresnenie podmienok na poskytnutie príspevku na vytvorenie nového pracovného miesta. 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  <w:r>
        <w:rPr>
          <w:rFonts w:eastAsia="Calibri"/>
          <w:b/>
          <w:spacing w:val="0"/>
          <w:lang w:eastAsia="sk-SK"/>
        </w:rPr>
        <w:t>K bodu 5</w:t>
      </w:r>
    </w:p>
    <w:p w:rsidR="004239AB" w:rsidRPr="004239AB" w:rsidRDefault="004239AB" w:rsidP="004239AB">
      <w:pPr>
        <w:spacing w:after="120" w:line="240" w:lineRule="auto"/>
        <w:jc w:val="both"/>
        <w:rPr>
          <w:rFonts w:eastAsia="Calibri"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Navrhuje sa, aby na investičný zámer v priemyselnej výrobe, ktorého výška oprávnen</w:t>
      </w:r>
      <w:r w:rsidR="00CF4C6F">
        <w:rPr>
          <w:rFonts w:eastAsia="Calibri"/>
          <w:spacing w:val="0"/>
          <w:lang w:eastAsia="sk-SK"/>
        </w:rPr>
        <w:t>ých nákladov je najmenej 70 miliónov e</w:t>
      </w:r>
      <w:r w:rsidRPr="004239AB">
        <w:rPr>
          <w:rFonts w:eastAsia="Calibri"/>
          <w:spacing w:val="0"/>
          <w:lang w:eastAsia="sk-SK"/>
        </w:rPr>
        <w:t xml:space="preserve">ur a v súvislosti s ktorým sa vytvorí viac ako 400 nových </w:t>
      </w:r>
      <w:bookmarkStart w:id="0" w:name="_GoBack"/>
      <w:bookmarkEnd w:id="0"/>
      <w:r w:rsidRPr="004239AB">
        <w:rPr>
          <w:rFonts w:eastAsia="Calibri"/>
          <w:spacing w:val="0"/>
          <w:lang w:eastAsia="sk-SK"/>
        </w:rPr>
        <w:t>pracovných miest, a na investičný zámer v odvetví technologických centier ktorého výška oprávne</w:t>
      </w:r>
      <w:r w:rsidR="00CF4C6F">
        <w:rPr>
          <w:rFonts w:eastAsia="Calibri"/>
          <w:spacing w:val="0"/>
          <w:lang w:eastAsia="sk-SK"/>
        </w:rPr>
        <w:t>ných nákladov je najmenej 8 miliónov eur</w:t>
      </w:r>
      <w:r w:rsidRPr="004239AB">
        <w:rPr>
          <w:rFonts w:eastAsia="Calibri"/>
          <w:spacing w:val="0"/>
          <w:lang w:eastAsia="sk-SK"/>
        </w:rPr>
        <w:t xml:space="preserve"> a v súvislosti s ktorým sa vytvorí viac ako 100 nových pracovných miest, ktoré predstavujú významný podiel pre rozvoj Slovenskej republiky, sa ustanovenia o maximálnej výške investičnej pomoci podľa formy investičnej pomoci neaplikovali.  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  <w:r>
        <w:rPr>
          <w:rFonts w:eastAsia="Calibri"/>
          <w:b/>
          <w:spacing w:val="0"/>
          <w:lang w:eastAsia="sk-SK"/>
        </w:rPr>
        <w:t>K bodu 6</w:t>
      </w:r>
    </w:p>
    <w:p w:rsidR="004239AB" w:rsidRPr="004239AB" w:rsidRDefault="004239AB" w:rsidP="004239AB">
      <w:pPr>
        <w:spacing w:after="120" w:line="240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Prechodnými ustanoveniami k úpravám účinným od 1. marca 2013 sa navrhuje upraviť postup konania, ktorého rozsah a pôsobnosť sa v predkladanom návrhu nariadenia upravuje a súčasne sa upresňuje platnosť už schválenej intenzity a výšky investičnej pomoci.</w:t>
      </w:r>
    </w:p>
    <w:p w:rsidR="004239AB" w:rsidRPr="004239AB" w:rsidRDefault="004239AB" w:rsidP="004239AB">
      <w:pPr>
        <w:spacing w:after="0" w:line="264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b/>
          <w:spacing w:val="0"/>
          <w:lang w:eastAsia="sk-SK"/>
        </w:rPr>
        <w:t>K bodom 7 a 8</w:t>
      </w:r>
    </w:p>
    <w:p w:rsidR="004239AB" w:rsidRPr="004239AB" w:rsidRDefault="004239AB" w:rsidP="004239AB">
      <w:pPr>
        <w:spacing w:after="0" w:line="264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Upravuje sa znenie príloh č. 1 až 3 a prílohy č. 5.</w:t>
      </w:r>
    </w:p>
    <w:p w:rsidR="004239AB" w:rsidRPr="004239AB" w:rsidRDefault="004239AB" w:rsidP="004239AB">
      <w:pPr>
        <w:spacing w:after="0" w:line="264" w:lineRule="auto"/>
        <w:jc w:val="both"/>
        <w:rPr>
          <w:rFonts w:eastAsia="Calibri"/>
          <w:b/>
          <w:bCs/>
          <w:spacing w:val="0"/>
          <w:lang w:eastAsia="sk-SK"/>
        </w:rPr>
      </w:pPr>
    </w:p>
    <w:p w:rsidR="004239AB" w:rsidRPr="004239AB" w:rsidRDefault="004239AB" w:rsidP="004239AB">
      <w:pPr>
        <w:spacing w:after="0" w:line="264" w:lineRule="auto"/>
        <w:jc w:val="both"/>
        <w:rPr>
          <w:rFonts w:eastAsia="Calibri"/>
          <w:b/>
          <w:bCs/>
          <w:spacing w:val="0"/>
          <w:lang w:eastAsia="sk-SK"/>
        </w:rPr>
      </w:pPr>
      <w:r w:rsidRPr="004239AB">
        <w:rPr>
          <w:rFonts w:eastAsia="Calibri"/>
          <w:b/>
          <w:spacing w:val="0"/>
          <w:lang w:eastAsia="sk-SK"/>
        </w:rPr>
        <w:t>K Čl. II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  <w:r w:rsidRPr="004239AB">
        <w:rPr>
          <w:rFonts w:eastAsia="Calibri"/>
          <w:spacing w:val="0"/>
          <w:lang w:eastAsia="sk-SK"/>
        </w:rPr>
        <w:t>Vzhľadom na dĺžku legislatívneho procesu sa účinnosť nariadenia vlády navrhuje</w:t>
      </w:r>
      <w:r>
        <w:rPr>
          <w:rFonts w:eastAsia="Calibri"/>
          <w:spacing w:val="0"/>
          <w:lang w:eastAsia="sk-SK"/>
        </w:rPr>
        <w:t xml:space="preserve">                </w:t>
      </w:r>
      <w:r w:rsidRPr="004239AB">
        <w:rPr>
          <w:rFonts w:eastAsia="Calibri"/>
          <w:spacing w:val="0"/>
          <w:lang w:eastAsia="sk-SK"/>
        </w:rPr>
        <w:t xml:space="preserve"> na 1. marca 2013.</w:t>
      </w: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</w:p>
    <w:p w:rsidR="004239AB" w:rsidRPr="004239AB" w:rsidRDefault="004239AB" w:rsidP="004239AB">
      <w:pPr>
        <w:spacing w:after="0" w:line="240" w:lineRule="auto"/>
        <w:jc w:val="both"/>
        <w:rPr>
          <w:rFonts w:eastAsia="Calibri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4239AB" w:rsidRDefault="004239AB" w:rsidP="0018455A">
      <w:pPr>
        <w:spacing w:after="0" w:line="264" w:lineRule="auto"/>
        <w:jc w:val="both"/>
        <w:rPr>
          <w:rFonts w:eastAsia="Times New Roman"/>
          <w:b/>
          <w:spacing w:val="0"/>
          <w:lang w:eastAsia="sk-SK"/>
        </w:rPr>
      </w:pPr>
    </w:p>
    <w:p w:rsidR="0018455A" w:rsidRPr="00F6534C" w:rsidRDefault="0018455A" w:rsidP="0018455A">
      <w:pPr>
        <w:spacing w:after="0" w:line="240" w:lineRule="auto"/>
        <w:jc w:val="both"/>
        <w:rPr>
          <w:rFonts w:eastAsia="Times New Roman"/>
          <w:b/>
          <w:spacing w:val="0"/>
          <w:lang w:eastAsia="sk-SK"/>
        </w:rPr>
      </w:pPr>
    </w:p>
    <w:p w:rsidR="00113AAF" w:rsidRDefault="00113AAF"/>
    <w:sectPr w:rsidR="00113AAF" w:rsidSect="00C34FB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4" w:rsidRDefault="00C34FB4" w:rsidP="00C34FB4">
      <w:pPr>
        <w:spacing w:after="0" w:line="240" w:lineRule="auto"/>
      </w:pPr>
      <w:r>
        <w:separator/>
      </w:r>
    </w:p>
  </w:endnote>
  <w:endnote w:type="continuationSeparator" w:id="0">
    <w:p w:rsidR="00C34FB4" w:rsidRDefault="00C34FB4" w:rsidP="00C3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42621"/>
      <w:docPartObj>
        <w:docPartGallery w:val="Page Numbers (Bottom of Page)"/>
        <w:docPartUnique/>
      </w:docPartObj>
    </w:sdtPr>
    <w:sdtEndPr/>
    <w:sdtContent>
      <w:p w:rsidR="00C34FB4" w:rsidRDefault="00C34F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34">
          <w:rPr>
            <w:noProof/>
          </w:rPr>
          <w:t>2</w:t>
        </w:r>
        <w:r>
          <w:fldChar w:fldCharType="end"/>
        </w:r>
      </w:p>
    </w:sdtContent>
  </w:sdt>
  <w:p w:rsidR="00C34FB4" w:rsidRDefault="00C34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4" w:rsidRDefault="00C34FB4" w:rsidP="00C34FB4">
      <w:pPr>
        <w:spacing w:after="0" w:line="240" w:lineRule="auto"/>
      </w:pPr>
      <w:r>
        <w:separator/>
      </w:r>
    </w:p>
  </w:footnote>
  <w:footnote w:type="continuationSeparator" w:id="0">
    <w:p w:rsidR="00C34FB4" w:rsidRDefault="00C34FB4" w:rsidP="00C3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710"/>
    <w:multiLevelType w:val="hybridMultilevel"/>
    <w:tmpl w:val="5FF0EF0C"/>
    <w:lvl w:ilvl="0" w:tplc="90B26586">
      <w:start w:val="1"/>
      <w:numFmt w:val="upperLetter"/>
      <w:lvlText w:val="%1."/>
      <w:lvlJc w:val="left"/>
      <w:pPr>
        <w:ind w:left="705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A"/>
    <w:rsid w:val="00024CCF"/>
    <w:rsid w:val="00027192"/>
    <w:rsid w:val="00113AAF"/>
    <w:rsid w:val="0018455A"/>
    <w:rsid w:val="004239AB"/>
    <w:rsid w:val="00594D08"/>
    <w:rsid w:val="00C34FB4"/>
    <w:rsid w:val="00C86F34"/>
    <w:rsid w:val="00CF4C6F"/>
    <w:rsid w:val="00E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55A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C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FB4"/>
    <w:rPr>
      <w:b w:val="0"/>
      <w:bCs w:val="0"/>
    </w:rPr>
  </w:style>
  <w:style w:type="paragraph" w:styleId="Pta">
    <w:name w:val="footer"/>
    <w:basedOn w:val="Normlny"/>
    <w:link w:val="PtaChar"/>
    <w:uiPriority w:val="99"/>
    <w:unhideWhenUsed/>
    <w:rsid w:val="00C3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FB4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55A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C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FB4"/>
    <w:rPr>
      <w:b w:val="0"/>
      <w:bCs w:val="0"/>
    </w:rPr>
  </w:style>
  <w:style w:type="paragraph" w:styleId="Pta">
    <w:name w:val="footer"/>
    <w:basedOn w:val="Normlny"/>
    <w:link w:val="PtaChar"/>
    <w:uiPriority w:val="99"/>
    <w:unhideWhenUsed/>
    <w:rsid w:val="00C3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FB4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8</cp:revision>
  <cp:lastPrinted>2012-11-23T11:23:00Z</cp:lastPrinted>
  <dcterms:created xsi:type="dcterms:W3CDTF">2012-11-23T10:38:00Z</dcterms:created>
  <dcterms:modified xsi:type="dcterms:W3CDTF">2013-02-07T08:43:00Z</dcterms:modified>
</cp:coreProperties>
</file>