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EA" w:rsidRPr="00A14D4F" w:rsidRDefault="00AD36EA">
      <w:pPr>
        <w:pStyle w:val="Pta"/>
        <w:tabs>
          <w:tab w:val="clear" w:pos="4536"/>
          <w:tab w:val="clear" w:pos="9072"/>
        </w:tabs>
        <w:rPr>
          <w:i w:val="0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1"/>
        <w:gridCol w:w="3969"/>
        <w:gridCol w:w="567"/>
        <w:gridCol w:w="1134"/>
        <w:gridCol w:w="1134"/>
        <w:gridCol w:w="4675"/>
        <w:gridCol w:w="900"/>
        <w:gridCol w:w="1229"/>
      </w:tblGrid>
      <w:tr w:rsidR="00AD36EA" w:rsidRPr="004E1D99">
        <w:trPr>
          <w:cantSplit/>
        </w:trPr>
        <w:tc>
          <w:tcPr>
            <w:tcW w:w="14799" w:type="dxa"/>
            <w:gridSpan w:val="8"/>
            <w:tcBorders>
              <w:top w:val="nil"/>
              <w:left w:val="nil"/>
              <w:right w:val="nil"/>
            </w:tcBorders>
          </w:tcPr>
          <w:p w:rsidR="00AD36EA" w:rsidRPr="003F16A5" w:rsidRDefault="00AD36EA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3F16A5">
              <w:rPr>
                <w:b/>
                <w:bCs/>
                <w:i w:val="0"/>
                <w:iCs w:val="0"/>
                <w:sz w:val="20"/>
                <w:szCs w:val="20"/>
              </w:rPr>
              <w:t>TABUĽKA ZHODY</w:t>
            </w:r>
          </w:p>
          <w:p w:rsidR="00AD36EA" w:rsidRPr="003F16A5" w:rsidRDefault="00AD36EA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3F16A5">
              <w:rPr>
                <w:b/>
                <w:bCs/>
                <w:i w:val="0"/>
                <w:iCs w:val="0"/>
                <w:sz w:val="20"/>
                <w:szCs w:val="20"/>
              </w:rPr>
              <w:t xml:space="preserve">právneho predpisu </w:t>
            </w:r>
          </w:p>
          <w:p w:rsidR="00AD36EA" w:rsidRPr="003F16A5" w:rsidRDefault="00AD36EA">
            <w:pPr>
              <w:jc w:val="center"/>
              <w:rPr>
                <w:b/>
                <w:bCs/>
                <w:sz w:val="20"/>
                <w:szCs w:val="20"/>
              </w:rPr>
            </w:pPr>
            <w:r w:rsidRPr="003F16A5">
              <w:rPr>
                <w:b/>
                <w:bCs/>
                <w:i w:val="0"/>
                <w:iCs w:val="0"/>
                <w:sz w:val="20"/>
                <w:szCs w:val="20"/>
              </w:rPr>
              <w:t>s </w:t>
            </w:r>
            <w:r w:rsidR="0077337F" w:rsidRPr="003F16A5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3F16A5">
              <w:rPr>
                <w:b/>
                <w:bCs/>
                <w:i w:val="0"/>
                <w:iCs w:val="0"/>
                <w:sz w:val="20"/>
                <w:szCs w:val="20"/>
              </w:rPr>
              <w:t>právom Európskej únie</w:t>
            </w:r>
          </w:p>
          <w:p w:rsidR="00AD36EA" w:rsidRPr="004E1D99" w:rsidRDefault="00AD36EA">
            <w:pPr>
              <w:rPr>
                <w:i w:val="0"/>
                <w:sz w:val="16"/>
                <w:szCs w:val="16"/>
              </w:rPr>
            </w:pPr>
          </w:p>
        </w:tc>
      </w:tr>
      <w:tr w:rsidR="00AD36EA" w:rsidRPr="004E1D99" w:rsidTr="00B07E4F">
        <w:trPr>
          <w:cantSplit/>
          <w:trHeight w:val="965"/>
        </w:trPr>
        <w:tc>
          <w:tcPr>
            <w:tcW w:w="5727" w:type="dxa"/>
            <w:gridSpan w:val="3"/>
          </w:tcPr>
          <w:p w:rsidR="00AD36EA" w:rsidRPr="003F16A5" w:rsidRDefault="00AD36EA">
            <w:pPr>
              <w:pStyle w:val="Zkladntext"/>
              <w:jc w:val="both"/>
            </w:pPr>
            <w:r w:rsidRPr="003F16A5">
              <w:rPr>
                <w:rFonts w:eastAsia="MS Mincho"/>
                <w:b/>
                <w:bCs/>
              </w:rPr>
              <w:t>SMERNICA Európskeho parlamentu a Rady 2006/54/ES z  5. júla 2006</w:t>
            </w:r>
            <w:r w:rsidRPr="003F16A5">
              <w:t xml:space="preserve"> o vykonávaní zásady rovnosti príležitostí a rovnakého zaobchádzania s mužmi a ženami vo veciach zamestnanosti a povolania (prepracované znenie)</w:t>
            </w:r>
          </w:p>
          <w:p w:rsidR="00AD36EA" w:rsidRPr="004E1D99" w:rsidRDefault="00AD36EA">
            <w:pPr>
              <w:pStyle w:val="Zkladntext"/>
              <w:jc w:val="both"/>
              <w:rPr>
                <w:sz w:val="16"/>
                <w:szCs w:val="16"/>
              </w:rPr>
            </w:pPr>
          </w:p>
          <w:p w:rsidR="00AD36EA" w:rsidRPr="004E1D99" w:rsidRDefault="00AD36EA">
            <w:pPr>
              <w:pStyle w:val="Zkladntext"/>
              <w:jc w:val="both"/>
              <w:rPr>
                <w:sz w:val="16"/>
                <w:szCs w:val="16"/>
              </w:rPr>
            </w:pPr>
          </w:p>
          <w:p w:rsidR="00AD36EA" w:rsidRPr="004E1D99" w:rsidRDefault="00AD36EA" w:rsidP="004F054D">
            <w:pPr>
              <w:ind w:firstLine="7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5"/>
          </w:tcPr>
          <w:p w:rsidR="00AD36EA" w:rsidRPr="003F16A5" w:rsidRDefault="003F16A5" w:rsidP="003F16A5">
            <w:pPr>
              <w:jc w:val="center"/>
              <w:rPr>
                <w:i w:val="0"/>
                <w:sz w:val="20"/>
                <w:szCs w:val="20"/>
              </w:rPr>
            </w:pPr>
            <w:r w:rsidRPr="003F16A5">
              <w:rPr>
                <w:b/>
                <w:bCs/>
                <w:i w:val="0"/>
                <w:sz w:val="20"/>
                <w:szCs w:val="20"/>
              </w:rPr>
              <w:t>Návrh zákona, ktorým sa mení a dopĺňa zákon č. 650/2004 Z. z. o doplnkovom dôchodkovom sporení a o zmene a doplnení niektorých zákonov v znení neskorších predpisov a ktorým sa mení a dopĺňa zákon               č. 595/2003 Z. z. o dani z príjmov v znení neskorších predpisov</w:t>
            </w:r>
            <w:r w:rsidRPr="003F16A5">
              <w:rPr>
                <w:bCs/>
                <w:i w:val="0"/>
                <w:sz w:val="20"/>
                <w:szCs w:val="20"/>
              </w:rPr>
              <w:t xml:space="preserve"> (ďalej len „návrh“)</w:t>
            </w:r>
          </w:p>
        </w:tc>
      </w:tr>
      <w:tr w:rsidR="00CE1BFD" w:rsidRPr="004E1D99" w:rsidTr="0082732D">
        <w:trPr>
          <w:trHeight w:val="304"/>
        </w:trPr>
        <w:tc>
          <w:tcPr>
            <w:tcW w:w="1191" w:type="dxa"/>
          </w:tcPr>
          <w:p w:rsidR="00CE1BFD" w:rsidRPr="004E1D99" w:rsidRDefault="00CE1BFD">
            <w:pPr>
              <w:jc w:val="center"/>
              <w:rPr>
                <w:sz w:val="16"/>
                <w:szCs w:val="16"/>
              </w:rPr>
            </w:pPr>
            <w:r w:rsidRPr="004E1D99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CE1BFD" w:rsidRPr="004E1D99" w:rsidRDefault="00CE1BFD">
            <w:pPr>
              <w:jc w:val="center"/>
              <w:rPr>
                <w:sz w:val="16"/>
                <w:szCs w:val="16"/>
              </w:rPr>
            </w:pPr>
            <w:r w:rsidRPr="004E1D9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E1BFD" w:rsidRPr="004E1D99" w:rsidRDefault="00CE1BFD">
            <w:pPr>
              <w:jc w:val="center"/>
              <w:rPr>
                <w:sz w:val="16"/>
                <w:szCs w:val="16"/>
              </w:rPr>
            </w:pPr>
            <w:r w:rsidRPr="004E1D9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E1BFD" w:rsidRPr="004E1D99" w:rsidRDefault="00CE1BFD">
            <w:pPr>
              <w:jc w:val="center"/>
              <w:rPr>
                <w:sz w:val="16"/>
                <w:szCs w:val="16"/>
              </w:rPr>
            </w:pPr>
            <w:r w:rsidRPr="004E1D9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E1BFD" w:rsidRPr="004E1D99" w:rsidRDefault="00CE1BFD">
            <w:pPr>
              <w:jc w:val="center"/>
              <w:rPr>
                <w:sz w:val="16"/>
                <w:szCs w:val="16"/>
              </w:rPr>
            </w:pPr>
            <w:r w:rsidRPr="004E1D99">
              <w:rPr>
                <w:sz w:val="16"/>
                <w:szCs w:val="16"/>
              </w:rPr>
              <w:t>5</w:t>
            </w:r>
          </w:p>
        </w:tc>
        <w:tc>
          <w:tcPr>
            <w:tcW w:w="4675" w:type="dxa"/>
          </w:tcPr>
          <w:p w:rsidR="00CE1BFD" w:rsidRPr="004E1D99" w:rsidRDefault="00CE1BFD">
            <w:pPr>
              <w:jc w:val="center"/>
              <w:rPr>
                <w:sz w:val="16"/>
                <w:szCs w:val="16"/>
              </w:rPr>
            </w:pPr>
            <w:r w:rsidRPr="004E1D99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CE1BFD" w:rsidRPr="004E1D99" w:rsidRDefault="00CE1BFD">
            <w:pPr>
              <w:jc w:val="center"/>
              <w:rPr>
                <w:sz w:val="16"/>
                <w:szCs w:val="16"/>
              </w:rPr>
            </w:pPr>
            <w:r w:rsidRPr="004E1D99">
              <w:rPr>
                <w:sz w:val="16"/>
                <w:szCs w:val="16"/>
              </w:rPr>
              <w:t>7</w:t>
            </w:r>
          </w:p>
        </w:tc>
        <w:tc>
          <w:tcPr>
            <w:tcW w:w="1229" w:type="dxa"/>
          </w:tcPr>
          <w:p w:rsidR="00CE1BFD" w:rsidRPr="004E1D99" w:rsidRDefault="00CE1BFD">
            <w:pPr>
              <w:jc w:val="center"/>
              <w:rPr>
                <w:sz w:val="16"/>
                <w:szCs w:val="16"/>
              </w:rPr>
            </w:pPr>
            <w:r w:rsidRPr="004E1D99">
              <w:rPr>
                <w:sz w:val="16"/>
                <w:szCs w:val="16"/>
              </w:rPr>
              <w:t>8</w:t>
            </w:r>
          </w:p>
        </w:tc>
      </w:tr>
      <w:tr w:rsidR="0082732D" w:rsidRPr="00650F2F" w:rsidTr="0082732D">
        <w:tc>
          <w:tcPr>
            <w:tcW w:w="1191" w:type="dxa"/>
          </w:tcPr>
          <w:p w:rsidR="0082732D" w:rsidRPr="00650F2F" w:rsidRDefault="0082732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Č: 2</w:t>
            </w:r>
          </w:p>
          <w:p w:rsidR="0082732D" w:rsidRDefault="0082732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O: 1</w:t>
            </w:r>
          </w:p>
          <w:p w:rsidR="00D175FC" w:rsidRPr="00650F2F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2732D" w:rsidRPr="00650F2F" w:rsidRDefault="0082732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 xml:space="preserve">P: </w:t>
            </w:r>
            <w:r w:rsidR="00D65034" w:rsidRPr="00650F2F">
              <w:rPr>
                <w:b/>
                <w:bCs/>
                <w:i w:val="0"/>
                <w:iCs w:val="0"/>
                <w:sz w:val="20"/>
                <w:szCs w:val="20"/>
              </w:rPr>
              <w:t>f</w:t>
            </w:r>
          </w:p>
        </w:tc>
        <w:tc>
          <w:tcPr>
            <w:tcW w:w="3969" w:type="dxa"/>
          </w:tcPr>
          <w:p w:rsidR="0082732D" w:rsidRPr="00650F2F" w:rsidRDefault="0082732D">
            <w:pPr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Vymedzenie pojmov</w:t>
            </w:r>
          </w:p>
          <w:p w:rsidR="0082732D" w:rsidRPr="00650F2F" w:rsidRDefault="0082732D" w:rsidP="00FD6F3A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1. Na účely tejto smernice sa uplatňuje toto vymedzenie pojmov:</w:t>
            </w:r>
          </w:p>
          <w:p w:rsidR="00D65034" w:rsidRPr="00650F2F" w:rsidRDefault="00D65034" w:rsidP="00D65034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f) "zamestnanecké systémy sociálneho zabezpečenia": systémy, ktoré neupravuje smernica Rady 79/7/EHS z 19. decembra 1978 o postupnom vykonávaní zásady rovnakého zaobchádzania s mužmi a ženami vo veciach súvisiacich so sociálnym zabezpečením [16] prijatá s cieľom zabezpečiť pre pracovníkov, či už zamestnancov alebo samostatne zárobkovo činné osoby, v podniku alebo v skupine podnikov, v istej oblasti hospodárskej činnosti, v povolaní alebo v skupine povolaní, dávky dopĺňajúce dávky poskytované v rámci zákonných systémov sociálneho zabezpečenia alebo také, ktoré ich nahrádzajú bez ohľadu na to, či je účasť v takýchto systémoch povinná alebo voliteľná.</w:t>
            </w:r>
          </w:p>
          <w:p w:rsidR="0082732D" w:rsidRPr="00650F2F" w:rsidRDefault="0082732D" w:rsidP="00D65034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 xml:space="preserve"> </w:t>
            </w:r>
          </w:p>
          <w:p w:rsidR="00D65034" w:rsidRPr="00650F2F" w:rsidRDefault="00D65034" w:rsidP="00D65034">
            <w:pPr>
              <w:jc w:val="both"/>
              <w:rPr>
                <w:i w:val="0"/>
                <w:sz w:val="20"/>
                <w:szCs w:val="20"/>
              </w:rPr>
            </w:pPr>
          </w:p>
          <w:p w:rsidR="00D65034" w:rsidRPr="00650F2F" w:rsidRDefault="00D65034" w:rsidP="00D65034">
            <w:pPr>
              <w:jc w:val="both"/>
              <w:rPr>
                <w:i w:val="0"/>
                <w:sz w:val="20"/>
                <w:szCs w:val="20"/>
              </w:rPr>
            </w:pPr>
          </w:p>
          <w:p w:rsidR="00D65034" w:rsidRPr="00650F2F" w:rsidRDefault="00D65034" w:rsidP="00D65034">
            <w:pPr>
              <w:jc w:val="both"/>
              <w:rPr>
                <w:iC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732D" w:rsidRPr="00650F2F" w:rsidRDefault="0082732D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82732D" w:rsidRPr="00650F2F" w:rsidRDefault="00D65034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Návrh</w:t>
            </w:r>
          </w:p>
        </w:tc>
        <w:tc>
          <w:tcPr>
            <w:tcW w:w="1134" w:type="dxa"/>
          </w:tcPr>
          <w:p w:rsidR="0082732D" w:rsidRPr="00650F2F" w:rsidRDefault="00D65034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 xml:space="preserve">§  </w:t>
            </w:r>
            <w:r w:rsidR="00005D8B" w:rsidRPr="00650F2F">
              <w:rPr>
                <w:b/>
                <w:bCs/>
                <w:i w:val="0"/>
                <w:iCs w:val="0"/>
                <w:sz w:val="20"/>
                <w:szCs w:val="20"/>
              </w:rPr>
              <w:t>2</w:t>
            </w: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O: 2</w:t>
            </w: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a</w:t>
            </w: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b</w:t>
            </w: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005D8B" w:rsidRPr="00650F2F" w:rsidRDefault="00005D8B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§ 3</w:t>
            </w: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a</w:t>
            </w: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b</w:t>
            </w: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c</w:t>
            </w: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lastRenderedPageBreak/>
              <w:t>P: d</w:t>
            </w: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53325D" w:rsidRDefault="0053325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§ 4</w:t>
            </w: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a</w:t>
            </w: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b</w:t>
            </w: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c</w:t>
            </w:r>
          </w:p>
          <w:p w:rsidR="0053325D" w:rsidRDefault="0053325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53325D" w:rsidRPr="00650F2F" w:rsidRDefault="0053325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P: d</w:t>
            </w: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5A297C" w:rsidRPr="00650F2F" w:rsidRDefault="005A297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5A297C" w:rsidRPr="00650F2F" w:rsidRDefault="005A297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§ 5</w:t>
            </w:r>
          </w:p>
          <w:p w:rsidR="005A297C" w:rsidRPr="00650F2F" w:rsidRDefault="005A297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O: 2</w:t>
            </w: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14423D" w:rsidRPr="00650F2F" w:rsidRDefault="0014423D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75" w:type="dxa"/>
          </w:tcPr>
          <w:p w:rsidR="00005D8B" w:rsidRPr="00650F2F" w:rsidRDefault="00005D8B" w:rsidP="00005D8B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lastRenderedPageBreak/>
              <w:t xml:space="preserve">Účelom doplnkového dôchodkového sporenia je umožniť účastníkovi získať doplnkový dôchodkový príjem </w:t>
            </w:r>
          </w:p>
          <w:p w:rsidR="00005D8B" w:rsidRPr="00650F2F" w:rsidRDefault="00005D8B" w:rsidP="00005D8B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 xml:space="preserve">a) v starobe, </w:t>
            </w:r>
          </w:p>
          <w:p w:rsidR="00005D8B" w:rsidRPr="00650F2F" w:rsidRDefault="00005D8B" w:rsidP="00005D8B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b) v prípade skončenia výkonu práce</w:t>
            </w:r>
          </w:p>
          <w:p w:rsidR="00005D8B" w:rsidRDefault="00005D8B" w:rsidP="00005D8B">
            <w:pPr>
              <w:numPr>
                <w:ilvl w:val="0"/>
                <w:numId w:val="24"/>
              </w:numPr>
              <w:tabs>
                <w:tab w:val="clear" w:pos="927"/>
                <w:tab w:val="num" w:pos="1068"/>
              </w:tabs>
              <w:ind w:left="1068"/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zaradenej na základe rozhodnutia orgánu štátnej správy na úseku verejného zdravotníctva do tretej kategórie alebo štvrtej kategórie podľa osobitného predpisu,</w:t>
            </w:r>
            <w:r w:rsidRPr="00650F2F">
              <w:rPr>
                <w:i w:val="0"/>
                <w:sz w:val="20"/>
                <w:szCs w:val="20"/>
                <w:vertAlign w:val="superscript"/>
              </w:rPr>
              <w:t>1</w:t>
            </w:r>
            <w:r w:rsidRPr="00650F2F">
              <w:rPr>
                <w:i w:val="0"/>
                <w:sz w:val="20"/>
                <w:szCs w:val="20"/>
              </w:rPr>
              <w:t xml:space="preserve">) </w:t>
            </w:r>
          </w:p>
          <w:p w:rsidR="0082732D" w:rsidRPr="003B2147" w:rsidRDefault="003B2147" w:rsidP="003B2147">
            <w:pPr>
              <w:numPr>
                <w:ilvl w:val="0"/>
                <w:numId w:val="24"/>
              </w:numPr>
              <w:tabs>
                <w:tab w:val="clear" w:pos="927"/>
                <w:tab w:val="num" w:pos="1068"/>
              </w:tabs>
              <w:ind w:left="1068"/>
              <w:jc w:val="both"/>
              <w:rPr>
                <w:i w:val="0"/>
                <w:sz w:val="20"/>
                <w:szCs w:val="20"/>
              </w:rPr>
            </w:pPr>
            <w:r w:rsidRPr="003B2147">
              <w:rPr>
                <w:i w:val="0"/>
                <w:sz w:val="20"/>
                <w:szCs w:val="20"/>
              </w:rPr>
              <w:t>zamestnancom, ktorý je umelec vykonávajúci profesiu tanečníka bez ohľadu na štýl a techniku v divadlách a súboroch alebo zamestnancom, ktorý je hudobný umelec, ktorý vykonáva profesiu hráča na dychový nástroj.</w:t>
            </w:r>
          </w:p>
          <w:p w:rsidR="00D175FC" w:rsidRDefault="00D175FC" w:rsidP="0014423D">
            <w:pPr>
              <w:jc w:val="both"/>
              <w:rPr>
                <w:i w:val="0"/>
                <w:sz w:val="20"/>
                <w:szCs w:val="20"/>
              </w:rPr>
            </w:pPr>
          </w:p>
          <w:p w:rsidR="00D175FC" w:rsidRDefault="00D175FC" w:rsidP="0014423D">
            <w:pPr>
              <w:jc w:val="both"/>
              <w:rPr>
                <w:i w:val="0"/>
                <w:sz w:val="20"/>
                <w:szCs w:val="20"/>
              </w:rPr>
            </w:pPr>
          </w:p>
          <w:p w:rsidR="0014423D" w:rsidRPr="00650F2F" w:rsidRDefault="0014423D" w:rsidP="0014423D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 xml:space="preserve">Zamestnanec podľa tohto zákona je fyzická osoba, ktorá vykonáva </w:t>
            </w:r>
          </w:p>
          <w:p w:rsidR="0014423D" w:rsidRPr="00650F2F" w:rsidRDefault="0014423D" w:rsidP="0014423D">
            <w:pPr>
              <w:jc w:val="both"/>
              <w:rPr>
                <w:i w:val="0"/>
                <w:sz w:val="20"/>
                <w:szCs w:val="20"/>
              </w:rPr>
            </w:pPr>
          </w:p>
          <w:p w:rsidR="0014423D" w:rsidRPr="00650F2F" w:rsidRDefault="0014423D" w:rsidP="0014423D">
            <w:pPr>
              <w:numPr>
                <w:ilvl w:val="0"/>
                <w:numId w:val="25"/>
              </w:num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pre zamestnávateľa prácu v pracovnoprávnom vzťahu,</w:t>
            </w:r>
            <w:r w:rsidRPr="00650F2F">
              <w:rPr>
                <w:i w:val="0"/>
                <w:sz w:val="20"/>
                <w:szCs w:val="20"/>
                <w:vertAlign w:val="superscript"/>
              </w:rPr>
              <w:t>2</w:t>
            </w:r>
            <w:r w:rsidRPr="00650F2F">
              <w:rPr>
                <w:i w:val="0"/>
                <w:sz w:val="20"/>
                <w:szCs w:val="20"/>
              </w:rPr>
              <w:t xml:space="preserve">) </w:t>
            </w:r>
          </w:p>
          <w:p w:rsidR="0014423D" w:rsidRPr="00650F2F" w:rsidRDefault="0014423D" w:rsidP="0014423D">
            <w:pPr>
              <w:numPr>
                <w:ilvl w:val="0"/>
                <w:numId w:val="25"/>
              </w:num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pre zamestnávateľa prácu v štátnozamestnaneckom pomere,</w:t>
            </w:r>
            <w:r w:rsidRPr="00650F2F">
              <w:rPr>
                <w:i w:val="0"/>
                <w:sz w:val="20"/>
                <w:szCs w:val="20"/>
                <w:vertAlign w:val="superscript"/>
              </w:rPr>
              <w:t>2a</w:t>
            </w:r>
            <w:r w:rsidRPr="00650F2F">
              <w:rPr>
                <w:i w:val="0"/>
                <w:sz w:val="20"/>
                <w:szCs w:val="20"/>
              </w:rPr>
              <w:t xml:space="preserve">)  </w:t>
            </w:r>
          </w:p>
          <w:p w:rsidR="0014423D" w:rsidRPr="00650F2F" w:rsidRDefault="0014423D" w:rsidP="0014423D">
            <w:pPr>
              <w:numPr>
                <w:ilvl w:val="0"/>
                <w:numId w:val="25"/>
              </w:num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funkciu prokurátora alebo</w:t>
            </w:r>
          </w:p>
          <w:p w:rsidR="0014423D" w:rsidRPr="00650F2F" w:rsidRDefault="0014423D" w:rsidP="0014423D">
            <w:pPr>
              <w:numPr>
                <w:ilvl w:val="0"/>
                <w:numId w:val="25"/>
              </w:num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lastRenderedPageBreak/>
              <w:t xml:space="preserve">funkciu sudcu. </w:t>
            </w:r>
          </w:p>
          <w:p w:rsidR="0014423D" w:rsidRPr="00650F2F" w:rsidRDefault="0014423D" w:rsidP="0014423D">
            <w:pPr>
              <w:ind w:left="360"/>
              <w:jc w:val="both"/>
              <w:rPr>
                <w:i w:val="0"/>
                <w:sz w:val="20"/>
                <w:szCs w:val="20"/>
              </w:rPr>
            </w:pPr>
          </w:p>
          <w:p w:rsidR="0053325D" w:rsidRDefault="0053325D" w:rsidP="0014423D">
            <w:pPr>
              <w:jc w:val="both"/>
              <w:rPr>
                <w:i w:val="0"/>
                <w:sz w:val="20"/>
                <w:szCs w:val="20"/>
              </w:rPr>
            </w:pPr>
          </w:p>
          <w:p w:rsidR="0053325D" w:rsidRDefault="0053325D" w:rsidP="0053325D">
            <w:pPr>
              <w:jc w:val="both"/>
              <w:rPr>
                <w:i w:val="0"/>
                <w:sz w:val="20"/>
                <w:szCs w:val="20"/>
              </w:rPr>
            </w:pPr>
            <w:r w:rsidRPr="0053325D">
              <w:rPr>
                <w:i w:val="0"/>
                <w:sz w:val="20"/>
                <w:szCs w:val="20"/>
              </w:rPr>
              <w:t xml:space="preserve">Zamestnávateľ podľa tohto zákona je </w:t>
            </w:r>
          </w:p>
          <w:p w:rsidR="0053325D" w:rsidRPr="0053325D" w:rsidRDefault="0053325D" w:rsidP="0053325D">
            <w:pPr>
              <w:jc w:val="both"/>
              <w:rPr>
                <w:i w:val="0"/>
                <w:sz w:val="20"/>
                <w:szCs w:val="20"/>
              </w:rPr>
            </w:pPr>
          </w:p>
          <w:p w:rsidR="0053325D" w:rsidRPr="0053325D" w:rsidRDefault="0053325D" w:rsidP="0053325D">
            <w:pPr>
              <w:numPr>
                <w:ilvl w:val="0"/>
                <w:numId w:val="26"/>
              </w:numPr>
              <w:ind w:left="709" w:hanging="283"/>
              <w:jc w:val="both"/>
              <w:rPr>
                <w:i w:val="0"/>
                <w:sz w:val="20"/>
                <w:szCs w:val="20"/>
              </w:rPr>
            </w:pPr>
            <w:r w:rsidRPr="0053325D">
              <w:rPr>
                <w:i w:val="0"/>
                <w:sz w:val="20"/>
                <w:szCs w:val="20"/>
              </w:rPr>
              <w:t>osoba, ktorá zamestnáva fyzickú osobu podľa § 3 písm. a) v pracovnoprávnom vzťahu,</w:t>
            </w:r>
          </w:p>
          <w:p w:rsidR="0053325D" w:rsidRPr="0053325D" w:rsidRDefault="0053325D" w:rsidP="0053325D">
            <w:pPr>
              <w:numPr>
                <w:ilvl w:val="0"/>
                <w:numId w:val="26"/>
              </w:numPr>
              <w:ind w:left="786"/>
              <w:jc w:val="both"/>
              <w:rPr>
                <w:i w:val="0"/>
                <w:sz w:val="20"/>
                <w:szCs w:val="20"/>
              </w:rPr>
            </w:pPr>
            <w:r w:rsidRPr="0053325D">
              <w:rPr>
                <w:i w:val="0"/>
                <w:sz w:val="20"/>
                <w:szCs w:val="20"/>
              </w:rPr>
              <w:t>služobný úrad, v ktorom vykonáva štátnu službu fyzická osoba podľa § 3 písm. b),</w:t>
            </w:r>
          </w:p>
          <w:p w:rsidR="0053325D" w:rsidRDefault="0053325D" w:rsidP="0053325D">
            <w:pPr>
              <w:numPr>
                <w:ilvl w:val="0"/>
                <w:numId w:val="26"/>
              </w:numPr>
              <w:ind w:left="786"/>
              <w:jc w:val="both"/>
              <w:rPr>
                <w:i w:val="0"/>
                <w:sz w:val="20"/>
                <w:szCs w:val="20"/>
              </w:rPr>
            </w:pPr>
            <w:r w:rsidRPr="0053325D">
              <w:rPr>
                <w:i w:val="0"/>
                <w:sz w:val="20"/>
                <w:szCs w:val="20"/>
              </w:rPr>
              <w:t>služobný úrad prokurátora pre fyzickú osobu podľa § 3 písm. c),</w:t>
            </w:r>
          </w:p>
          <w:p w:rsidR="0014423D" w:rsidRPr="0053325D" w:rsidRDefault="0053325D" w:rsidP="0053325D">
            <w:pPr>
              <w:numPr>
                <w:ilvl w:val="0"/>
                <w:numId w:val="26"/>
              </w:numPr>
              <w:ind w:left="786"/>
              <w:jc w:val="both"/>
              <w:rPr>
                <w:i w:val="0"/>
                <w:sz w:val="20"/>
                <w:szCs w:val="20"/>
              </w:rPr>
            </w:pPr>
            <w:r w:rsidRPr="0053325D">
              <w:rPr>
                <w:i w:val="0"/>
                <w:sz w:val="20"/>
                <w:szCs w:val="20"/>
              </w:rPr>
              <w:t>súd pre fyzickú osobu podľa § 3 písm. d).</w:t>
            </w:r>
          </w:p>
          <w:p w:rsidR="00E75822" w:rsidRPr="00650F2F" w:rsidRDefault="00E75822">
            <w:pPr>
              <w:pStyle w:val="Zkladntext"/>
              <w:jc w:val="both"/>
            </w:pPr>
          </w:p>
          <w:p w:rsidR="0053325D" w:rsidRDefault="0053325D">
            <w:pPr>
              <w:pStyle w:val="Zkladntext"/>
              <w:jc w:val="both"/>
            </w:pPr>
          </w:p>
          <w:p w:rsidR="0014423D" w:rsidRPr="00650F2F" w:rsidRDefault="00E75822">
            <w:pPr>
              <w:pStyle w:val="Zkladntext"/>
              <w:jc w:val="both"/>
              <w:rPr>
                <w:iCs/>
              </w:rPr>
            </w:pPr>
            <w:r w:rsidRPr="00650F2F">
              <w:t>Zamestnávateľ je povinný uzatvoriť zamestnávateľskú zmluvu najneskôr do 15 dní odo dňa, keď zamestnanec začal vykonávať prácu podľa § 2 ods. 2 písm. b). Zamestnanec, ktorý vykonáva prácu podľa § 2 ods. 2 písm. b), je povinný uzatvoriť do 15 dní od začatia výkonu tejto práce účastnícku zmluvu. V prípade zániku účastníckej zmluvy zamestnanca vykonávajúceho prácu podľa § 2 ods. 2 písm. b), je zamestnanec povinný uzatvoriť novú účastnícku zmluvu do 15 dní.</w:t>
            </w:r>
          </w:p>
        </w:tc>
        <w:tc>
          <w:tcPr>
            <w:tcW w:w="900" w:type="dxa"/>
          </w:tcPr>
          <w:p w:rsidR="0082732D" w:rsidRPr="00650F2F" w:rsidRDefault="00D65034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lastRenderedPageBreak/>
              <w:t>Ú</w:t>
            </w:r>
          </w:p>
        </w:tc>
        <w:tc>
          <w:tcPr>
            <w:tcW w:w="1229" w:type="dxa"/>
          </w:tcPr>
          <w:p w:rsidR="0082732D" w:rsidRPr="00650F2F" w:rsidRDefault="0082732D">
            <w:pPr>
              <w:rPr>
                <w:i w:val="0"/>
                <w:sz w:val="20"/>
                <w:szCs w:val="20"/>
              </w:rPr>
            </w:pPr>
          </w:p>
        </w:tc>
      </w:tr>
      <w:tr w:rsidR="00D65034" w:rsidRPr="00650F2F" w:rsidTr="0082732D">
        <w:tc>
          <w:tcPr>
            <w:tcW w:w="1191" w:type="dxa"/>
          </w:tcPr>
          <w:p w:rsidR="00D65034" w:rsidRPr="00650F2F" w:rsidRDefault="00BA76B5" w:rsidP="00361EC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lastRenderedPageBreak/>
              <w:t>Č</w:t>
            </w:r>
            <w:r w:rsidR="00D65034" w:rsidRPr="00650F2F">
              <w:rPr>
                <w:b/>
                <w:bCs/>
                <w:i w:val="0"/>
                <w:iCs w:val="0"/>
                <w:sz w:val="20"/>
                <w:szCs w:val="20"/>
              </w:rPr>
              <w:t xml:space="preserve">: 6 </w:t>
            </w:r>
          </w:p>
        </w:tc>
        <w:tc>
          <w:tcPr>
            <w:tcW w:w="3969" w:type="dxa"/>
          </w:tcPr>
          <w:p w:rsidR="00D65034" w:rsidRPr="00650F2F" w:rsidRDefault="00D65034" w:rsidP="00361EC9">
            <w:pPr>
              <w:pStyle w:val="Nadpis6"/>
              <w:rPr>
                <w:iCs/>
                <w:sz w:val="20"/>
                <w:szCs w:val="20"/>
              </w:rPr>
            </w:pPr>
            <w:r w:rsidRPr="00650F2F">
              <w:rPr>
                <w:iCs/>
                <w:sz w:val="20"/>
                <w:szCs w:val="20"/>
              </w:rPr>
              <w:t>Osobný rozsah pôsobnosti</w:t>
            </w:r>
          </w:p>
          <w:p w:rsidR="00D65034" w:rsidRPr="00650F2F" w:rsidRDefault="00D65034" w:rsidP="00361EC9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Táto kapitola sa vzťahuje na pracujúce obyvateľstvo vrátane samostatne zárobkovo činných osôb, osôb, ktorých činnosť je prerušená chorobou, materstvom, úrazom alebo nedobrovoľnou nezamestnanosťou, a osôb hľadajúcich zamestnanie, ako aj na dôchodcov a zdravotne postihnutých pracovníkov a na tých, ktorí si uplatňujú nárok za nich, v súlade s vnútroštátnym právom a/alebo praxou.</w:t>
            </w:r>
          </w:p>
          <w:p w:rsidR="00D65034" w:rsidRPr="00650F2F" w:rsidRDefault="00D65034" w:rsidP="00361EC9">
            <w:pPr>
              <w:pStyle w:val="Zkladntext"/>
              <w:jc w:val="both"/>
              <w:rPr>
                <w:iCs/>
              </w:rPr>
            </w:pPr>
          </w:p>
        </w:tc>
        <w:tc>
          <w:tcPr>
            <w:tcW w:w="567" w:type="dxa"/>
          </w:tcPr>
          <w:p w:rsidR="00D65034" w:rsidRPr="00650F2F" w:rsidRDefault="00D65034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D65034" w:rsidRPr="00650F2F" w:rsidRDefault="00D65034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Návrh</w:t>
            </w:r>
          </w:p>
        </w:tc>
        <w:tc>
          <w:tcPr>
            <w:tcW w:w="1134" w:type="dxa"/>
          </w:tcPr>
          <w:p w:rsidR="00D65034" w:rsidRPr="00650F2F" w:rsidRDefault="00D65034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§</w:t>
            </w:r>
            <w:r w:rsidR="002B3508" w:rsidRPr="00650F2F">
              <w:rPr>
                <w:b/>
                <w:bCs/>
                <w:i w:val="0"/>
                <w:iCs w:val="0"/>
                <w:sz w:val="20"/>
                <w:szCs w:val="20"/>
              </w:rPr>
              <w:t xml:space="preserve"> 5</w:t>
            </w:r>
          </w:p>
          <w:p w:rsidR="002B3508" w:rsidRPr="00650F2F" w:rsidRDefault="002B3508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O: 2</w:t>
            </w:r>
          </w:p>
          <w:p w:rsidR="002B3508" w:rsidRPr="00650F2F" w:rsidRDefault="002B3508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2B3508" w:rsidRPr="00650F2F" w:rsidRDefault="002B3508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2B3508" w:rsidRPr="00650F2F" w:rsidRDefault="002B3508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2B3508" w:rsidRPr="00650F2F" w:rsidRDefault="002B3508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2B3508" w:rsidRPr="00650F2F" w:rsidRDefault="002B3508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2B3508" w:rsidRPr="00650F2F" w:rsidRDefault="002B3508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2B3508" w:rsidRPr="00650F2F" w:rsidRDefault="002B3508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2B3508" w:rsidRPr="00650F2F" w:rsidRDefault="002B3508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2B3508" w:rsidRPr="00650F2F" w:rsidRDefault="002B3508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§ 12</w:t>
            </w:r>
          </w:p>
          <w:p w:rsidR="007C36EE" w:rsidRPr="00650F2F" w:rsidRDefault="007C36EE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O: 2</w:t>
            </w:r>
          </w:p>
          <w:p w:rsidR="007C36EE" w:rsidRPr="00650F2F" w:rsidRDefault="007C36EE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V: 1</w:t>
            </w:r>
          </w:p>
        </w:tc>
        <w:tc>
          <w:tcPr>
            <w:tcW w:w="4675" w:type="dxa"/>
          </w:tcPr>
          <w:p w:rsidR="00D65034" w:rsidRPr="00650F2F" w:rsidRDefault="002B3508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Zamestnávateľ je povinný uzatvoriť zamestnávateľskú zmluvu najneskôr do 15 dní odo dňa, keď zamestnanec začal vykonávať prácu podľa § 2 ods. 2 písm. b). Zamestnanec, ktorý vykonáva prácu podľa § 2 ods. 2 písm. b), je povinný uzatvoriť do 15 dní od začatia výkonu tejto práce účastnícku zmluvu. V prípade zániku účastníckej zmluvy zamestnanca vykonávajúceho prácu podľa § 2 ods. 2 písm. b), je zamestnanec povinný uzatvoriť novú účastnícku zmluvu do 15 dní.</w:t>
            </w:r>
          </w:p>
          <w:p w:rsidR="007C36EE" w:rsidRPr="00650F2F" w:rsidRDefault="007C36EE">
            <w:pPr>
              <w:jc w:val="both"/>
              <w:rPr>
                <w:i w:val="0"/>
                <w:sz w:val="20"/>
                <w:szCs w:val="20"/>
              </w:rPr>
            </w:pPr>
          </w:p>
          <w:p w:rsidR="007C36EE" w:rsidRPr="00650F2F" w:rsidRDefault="007C36EE">
            <w:pPr>
              <w:jc w:val="both"/>
              <w:rPr>
                <w:i w:val="0"/>
                <w:sz w:val="20"/>
                <w:szCs w:val="20"/>
              </w:rPr>
            </w:pPr>
          </w:p>
          <w:p w:rsidR="007C36EE" w:rsidRPr="00650F2F" w:rsidRDefault="007C36EE">
            <w:pPr>
              <w:jc w:val="both"/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Za zamestnanca, ktorý vykonáva prácu podľa § 2 ods. 2 písm. b) a má uzatvorenú účastnícku zmluvu, platí príspevky zamestnávateľ, a to od prvého dňa výkonu práce podľa § 2 ods. 2 písm. b).</w:t>
            </w:r>
          </w:p>
        </w:tc>
        <w:tc>
          <w:tcPr>
            <w:tcW w:w="900" w:type="dxa"/>
          </w:tcPr>
          <w:p w:rsidR="00D65034" w:rsidRPr="00650F2F" w:rsidRDefault="00D65034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Ú</w:t>
            </w:r>
          </w:p>
        </w:tc>
        <w:tc>
          <w:tcPr>
            <w:tcW w:w="1229" w:type="dxa"/>
          </w:tcPr>
          <w:p w:rsidR="00D65034" w:rsidRPr="00650F2F" w:rsidRDefault="00D65034">
            <w:pPr>
              <w:rPr>
                <w:i w:val="0"/>
                <w:sz w:val="20"/>
                <w:szCs w:val="20"/>
              </w:rPr>
            </w:pPr>
          </w:p>
        </w:tc>
      </w:tr>
      <w:tr w:rsidR="00D65034" w:rsidRPr="00650F2F" w:rsidTr="0082732D">
        <w:tc>
          <w:tcPr>
            <w:tcW w:w="1191" w:type="dxa"/>
          </w:tcPr>
          <w:p w:rsidR="00D65034" w:rsidRPr="00650F2F" w:rsidRDefault="00D65034" w:rsidP="00361EC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Č: 7</w:t>
            </w:r>
          </w:p>
          <w:p w:rsidR="00D65034" w:rsidRPr="00650F2F" w:rsidRDefault="00D65034" w:rsidP="00361EC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lastRenderedPageBreak/>
              <w:t>O: 1</w:t>
            </w:r>
          </w:p>
          <w:p w:rsidR="00D65034" w:rsidRPr="00650F2F" w:rsidRDefault="00D65034" w:rsidP="00361EC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a</w:t>
            </w:r>
          </w:p>
          <w:p w:rsidR="00D65034" w:rsidRPr="00650F2F" w:rsidRDefault="00D65034" w:rsidP="00361EC9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65034" w:rsidRPr="00650F2F" w:rsidRDefault="00D65034" w:rsidP="00361EC9">
            <w:pPr>
              <w:pStyle w:val="Nadpis6"/>
              <w:rPr>
                <w:sz w:val="20"/>
                <w:szCs w:val="20"/>
              </w:rPr>
            </w:pPr>
            <w:r w:rsidRPr="00650F2F">
              <w:rPr>
                <w:sz w:val="20"/>
                <w:szCs w:val="20"/>
              </w:rPr>
              <w:lastRenderedPageBreak/>
              <w:t>Vecný rozsah pôsobnosti</w:t>
            </w:r>
          </w:p>
          <w:p w:rsidR="00D65034" w:rsidRPr="00650F2F" w:rsidRDefault="00D65034" w:rsidP="00361EC9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lastRenderedPageBreak/>
              <w:t>1. Táto kapitola sa vzťahuje na:</w:t>
            </w:r>
          </w:p>
          <w:p w:rsidR="00D65034" w:rsidRPr="00650F2F" w:rsidRDefault="00D65034" w:rsidP="00361EC9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a) zamestnanecké systémy sociálneho zabezpečenia, ktoré poskytujú ochranu pred týmito rizikami:</w:t>
            </w:r>
          </w:p>
          <w:p w:rsidR="00D65034" w:rsidRPr="00650F2F" w:rsidRDefault="00D65034" w:rsidP="00361EC9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i) choroba;</w:t>
            </w:r>
          </w:p>
          <w:p w:rsidR="00D65034" w:rsidRPr="00650F2F" w:rsidRDefault="00D65034" w:rsidP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ii) invalidita;</w:t>
            </w:r>
          </w:p>
          <w:p w:rsidR="00D65034" w:rsidRPr="00650F2F" w:rsidRDefault="00D65034" w:rsidP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iii) staroba vrátane predčasného odchodu do dôchodku;</w:t>
            </w:r>
          </w:p>
          <w:p w:rsidR="00D65034" w:rsidRPr="00650F2F" w:rsidRDefault="00D65034" w:rsidP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iv) pracovné úrazy a choroby z povolania;</w:t>
            </w:r>
          </w:p>
          <w:p w:rsidR="00D65034" w:rsidRPr="00650F2F" w:rsidRDefault="00D65034" w:rsidP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v) nezamestnanosť;</w:t>
            </w:r>
          </w:p>
          <w:p w:rsidR="00D65034" w:rsidRPr="00650F2F" w:rsidRDefault="00D65034" w:rsidP="00D65034">
            <w:pPr>
              <w:rPr>
                <w:i w:val="0"/>
                <w:iCs w:val="0"/>
                <w:sz w:val="20"/>
                <w:szCs w:val="20"/>
              </w:rPr>
            </w:pPr>
          </w:p>
          <w:p w:rsidR="00D65034" w:rsidRPr="00650F2F" w:rsidRDefault="00D65034" w:rsidP="00D65034">
            <w:pPr>
              <w:rPr>
                <w:i w:val="0"/>
                <w:iCs w:val="0"/>
                <w:sz w:val="20"/>
                <w:szCs w:val="20"/>
              </w:rPr>
            </w:pPr>
          </w:p>
          <w:p w:rsidR="00D65034" w:rsidRPr="00650F2F" w:rsidRDefault="00D65034" w:rsidP="00D65034">
            <w:pPr>
              <w:rPr>
                <w:i w:val="0"/>
                <w:iCs w:val="0"/>
                <w:sz w:val="20"/>
                <w:szCs w:val="20"/>
              </w:rPr>
            </w:pPr>
          </w:p>
          <w:p w:rsidR="00D65034" w:rsidRPr="00650F2F" w:rsidRDefault="00D65034" w:rsidP="00361EC9">
            <w:pPr>
              <w:rPr>
                <w:i w:val="0"/>
                <w:iCs w:val="0"/>
                <w:sz w:val="20"/>
                <w:szCs w:val="20"/>
              </w:rPr>
            </w:pPr>
          </w:p>
          <w:p w:rsidR="00D65034" w:rsidRPr="00650F2F" w:rsidRDefault="00D65034" w:rsidP="00361E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5034" w:rsidRPr="00650F2F" w:rsidRDefault="00D65034" w:rsidP="00361EC9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lastRenderedPageBreak/>
              <w:t>N</w:t>
            </w:r>
          </w:p>
        </w:tc>
        <w:tc>
          <w:tcPr>
            <w:tcW w:w="1134" w:type="dxa"/>
          </w:tcPr>
          <w:p w:rsidR="00D65034" w:rsidRPr="00650F2F" w:rsidRDefault="00D65034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Návrh</w:t>
            </w:r>
          </w:p>
        </w:tc>
        <w:tc>
          <w:tcPr>
            <w:tcW w:w="1134" w:type="dxa"/>
          </w:tcPr>
          <w:p w:rsidR="00D65034" w:rsidRPr="00650F2F" w:rsidRDefault="00D65034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 xml:space="preserve"> §</w:t>
            </w:r>
            <w:r w:rsidR="005669A3" w:rsidRPr="00650F2F">
              <w:rPr>
                <w:b/>
                <w:bCs/>
                <w:i w:val="0"/>
                <w:iCs w:val="0"/>
                <w:sz w:val="20"/>
                <w:szCs w:val="20"/>
              </w:rPr>
              <w:t xml:space="preserve"> 2</w:t>
            </w:r>
          </w:p>
          <w:p w:rsidR="005669A3" w:rsidRPr="00650F2F" w:rsidRDefault="005669A3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lastRenderedPageBreak/>
              <w:t>O: 2</w:t>
            </w:r>
          </w:p>
          <w:p w:rsidR="005669A3" w:rsidRPr="00650F2F" w:rsidRDefault="005669A3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5669A3" w:rsidRPr="00650F2F" w:rsidRDefault="005669A3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a</w:t>
            </w:r>
          </w:p>
          <w:p w:rsidR="005669A3" w:rsidRPr="00650F2F" w:rsidRDefault="005669A3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b</w:t>
            </w:r>
          </w:p>
        </w:tc>
        <w:tc>
          <w:tcPr>
            <w:tcW w:w="4675" w:type="dxa"/>
          </w:tcPr>
          <w:p w:rsidR="005669A3" w:rsidRPr="00650F2F" w:rsidRDefault="005669A3" w:rsidP="005669A3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lastRenderedPageBreak/>
              <w:t xml:space="preserve">Účelom doplnkového dôchodkového sporenia je </w:t>
            </w:r>
            <w:r w:rsidRPr="00650F2F">
              <w:rPr>
                <w:i w:val="0"/>
                <w:sz w:val="20"/>
                <w:szCs w:val="20"/>
              </w:rPr>
              <w:lastRenderedPageBreak/>
              <w:t xml:space="preserve">umožniť účastníkovi získať doplnkový dôchodkový príjem </w:t>
            </w:r>
          </w:p>
          <w:p w:rsidR="005669A3" w:rsidRPr="00650F2F" w:rsidRDefault="005669A3" w:rsidP="005669A3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 xml:space="preserve">a) v starobe, </w:t>
            </w:r>
          </w:p>
          <w:p w:rsidR="005669A3" w:rsidRPr="00650F2F" w:rsidRDefault="005669A3" w:rsidP="005669A3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b) v prípade skončenia výkonu práce</w:t>
            </w:r>
          </w:p>
          <w:p w:rsidR="005669A3" w:rsidRDefault="005669A3" w:rsidP="005669A3">
            <w:pPr>
              <w:numPr>
                <w:ilvl w:val="0"/>
                <w:numId w:val="27"/>
              </w:numPr>
              <w:tabs>
                <w:tab w:val="num" w:pos="1068"/>
              </w:tabs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zaradenej na základe rozhodnutia orgánu štátnej správy na úseku verejného zdravotníctva do tretej kategórie alebo štvrtej kategórie podľa osobitného predpisu,</w:t>
            </w:r>
            <w:r w:rsidRPr="00650F2F">
              <w:rPr>
                <w:i w:val="0"/>
                <w:sz w:val="20"/>
                <w:szCs w:val="20"/>
                <w:vertAlign w:val="superscript"/>
              </w:rPr>
              <w:t>1</w:t>
            </w:r>
            <w:r w:rsidRPr="00650F2F">
              <w:rPr>
                <w:i w:val="0"/>
                <w:sz w:val="20"/>
                <w:szCs w:val="20"/>
              </w:rPr>
              <w:t xml:space="preserve">) </w:t>
            </w:r>
          </w:p>
          <w:p w:rsidR="005C7307" w:rsidRPr="005C7307" w:rsidRDefault="005669A3" w:rsidP="005C7307">
            <w:pPr>
              <w:numPr>
                <w:ilvl w:val="0"/>
                <w:numId w:val="27"/>
              </w:numPr>
              <w:tabs>
                <w:tab w:val="num" w:pos="1068"/>
              </w:tabs>
              <w:jc w:val="both"/>
              <w:rPr>
                <w:i w:val="0"/>
                <w:sz w:val="20"/>
                <w:szCs w:val="20"/>
              </w:rPr>
            </w:pPr>
            <w:r w:rsidRPr="005C7307">
              <w:rPr>
                <w:i w:val="0"/>
                <w:sz w:val="20"/>
                <w:szCs w:val="20"/>
              </w:rPr>
              <w:t xml:space="preserve">zamestnancom, </w:t>
            </w:r>
            <w:r w:rsidR="005C7307" w:rsidRPr="005C7307">
              <w:rPr>
                <w:i w:val="0"/>
                <w:sz w:val="20"/>
                <w:szCs w:val="20"/>
              </w:rPr>
              <w:t>ktorý je umelec vykonávajúci profesiu tanečníka bez ohľadu na štýl a techniku v divadlách a súboroch alebo zamestnancom, ktorý je hudobný umelec, ktorý vykonáva profesiu hráča na dychový nástroj.</w:t>
            </w:r>
          </w:p>
          <w:p w:rsidR="00D65034" w:rsidRPr="00650F2F" w:rsidRDefault="00D65034" w:rsidP="005C7307">
            <w:pPr>
              <w:ind w:left="1068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D65034" w:rsidRPr="00650F2F" w:rsidRDefault="00D65034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lastRenderedPageBreak/>
              <w:t>Ú</w:t>
            </w:r>
          </w:p>
        </w:tc>
        <w:tc>
          <w:tcPr>
            <w:tcW w:w="1229" w:type="dxa"/>
          </w:tcPr>
          <w:p w:rsidR="00D65034" w:rsidRPr="00650F2F" w:rsidRDefault="00D65034">
            <w:pPr>
              <w:rPr>
                <w:i w:val="0"/>
                <w:sz w:val="20"/>
                <w:szCs w:val="20"/>
              </w:rPr>
            </w:pPr>
          </w:p>
        </w:tc>
      </w:tr>
      <w:tr w:rsidR="00D65034" w:rsidRPr="00650F2F" w:rsidTr="0082732D">
        <w:tc>
          <w:tcPr>
            <w:tcW w:w="1191" w:type="dxa"/>
          </w:tcPr>
          <w:p w:rsidR="00D65034" w:rsidRPr="00650F2F" w:rsidRDefault="00D65034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lastRenderedPageBreak/>
              <w:t>Č: 9</w:t>
            </w:r>
          </w:p>
          <w:p w:rsidR="00D65034" w:rsidRPr="00650F2F" w:rsidRDefault="00D65034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O: 1</w:t>
            </w: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a</w:t>
            </w: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b</w:t>
            </w: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c</w:t>
            </w: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d</w:t>
            </w: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e</w:t>
            </w: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f</w:t>
            </w: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g</w:t>
            </w: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h</w:t>
            </w: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i</w:t>
            </w:r>
          </w:p>
          <w:p w:rsidR="00C16270" w:rsidRPr="00650F2F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lastRenderedPageBreak/>
              <w:t>P: j</w:t>
            </w: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P:k</w:t>
            </w:r>
          </w:p>
        </w:tc>
        <w:tc>
          <w:tcPr>
            <w:tcW w:w="3969" w:type="dxa"/>
          </w:tcPr>
          <w:p w:rsidR="00D65034" w:rsidRPr="00650F2F" w:rsidRDefault="00D65034">
            <w:pPr>
              <w:pStyle w:val="Nadpis6"/>
              <w:rPr>
                <w:sz w:val="20"/>
                <w:szCs w:val="20"/>
              </w:rPr>
            </w:pPr>
            <w:r w:rsidRPr="00650F2F">
              <w:rPr>
                <w:sz w:val="20"/>
                <w:szCs w:val="20"/>
              </w:rPr>
              <w:lastRenderedPageBreak/>
              <w:t>Príklady diskriminácie</w:t>
            </w: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1. Ustanovenia odporujúce zásade rovnakého zaobchádzania zahŕňajú tie, ktoré sa zakladajú na pohlaví, priamo alebo nepriamo, na účely:</w:t>
            </w: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a) určenia osôb, ktoré môžu byť účastníkmi zamestnaneckého systému sociálneho zabezpečenia;</w:t>
            </w:r>
          </w:p>
          <w:p w:rsidR="00832055" w:rsidRPr="00650F2F" w:rsidRDefault="00832055">
            <w:pPr>
              <w:rPr>
                <w:i w:val="0"/>
                <w:iCs w:val="0"/>
                <w:sz w:val="20"/>
                <w:szCs w:val="20"/>
              </w:rPr>
            </w:pP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b) stanovenia povinnej alebo voliteľnej účasti v zamestnaneckom systéme sociálneho zabezpečenia;</w:t>
            </w:r>
          </w:p>
          <w:p w:rsidR="00832055" w:rsidRPr="00650F2F" w:rsidRDefault="00832055">
            <w:pPr>
              <w:rPr>
                <w:i w:val="0"/>
                <w:iCs w:val="0"/>
                <w:sz w:val="20"/>
                <w:szCs w:val="20"/>
              </w:rPr>
            </w:pP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c) stanovenia rozdielnych pravidiel týkajúcich sa veku, v ktorom môže osoba do systému vstúpiť, alebo minimálneho obdobia zamestnania či účasti v systéme požadovaných na získanie dávky;</w:t>
            </w:r>
          </w:p>
          <w:p w:rsidR="00832055" w:rsidRPr="00650F2F" w:rsidRDefault="00832055">
            <w:pPr>
              <w:rPr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i w:val="0"/>
                <w:iCs w:val="0"/>
                <w:sz w:val="20"/>
                <w:szCs w:val="20"/>
              </w:rPr>
            </w:pP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d) stanovenia rozdielnych pravidiel s výnimkou uvedenou v písmenách h) a j), na preplatenie príspevkov v prípade, že pracovník zo systému vystúpi bez toho, aby splnil podmienky, ktoré by mu zaručili odložený nárok na dlhodobé dávky;</w:t>
            </w:r>
          </w:p>
          <w:p w:rsidR="00832055" w:rsidRPr="00650F2F" w:rsidRDefault="00832055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i w:val="0"/>
                <w:iCs w:val="0"/>
                <w:sz w:val="20"/>
                <w:szCs w:val="20"/>
              </w:rPr>
            </w:pP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e) stanovenia rozdielnych podmienok na poskytovanie dávok alebo obmedzenia týchto dávok len na pracovníkov jedného alebo druhého pohlavia;</w:t>
            </w:r>
          </w:p>
          <w:p w:rsidR="00832055" w:rsidRPr="00650F2F" w:rsidRDefault="00832055">
            <w:pPr>
              <w:rPr>
                <w:i w:val="0"/>
                <w:iCs w:val="0"/>
                <w:sz w:val="20"/>
                <w:szCs w:val="20"/>
              </w:rPr>
            </w:pP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f) stanovenia rozdielnych vekových hraníc odchodu do dôchodku;</w:t>
            </w:r>
          </w:p>
          <w:p w:rsidR="00832055" w:rsidRPr="00650F2F" w:rsidRDefault="00832055">
            <w:pPr>
              <w:rPr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i w:val="0"/>
                <w:iCs w:val="0"/>
                <w:sz w:val="20"/>
                <w:szCs w:val="20"/>
              </w:rPr>
            </w:pP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g) pozastavenia zachovania alebo nadobudnutia práv počas materskej dovolenky alebo voľna z rodinných dôvodov, ktoré sú udelené na základe zákona alebo dohody a sú hradené zamestnávateľom;</w:t>
            </w:r>
          </w:p>
          <w:p w:rsidR="00832055" w:rsidRPr="00650F2F" w:rsidRDefault="00832055">
            <w:pPr>
              <w:rPr>
                <w:i w:val="0"/>
                <w:iCs w:val="0"/>
                <w:sz w:val="20"/>
                <w:szCs w:val="20"/>
              </w:rPr>
            </w:pP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h) stanovenia rozdielnej výšky dávok, s výnimkou prípadov, keď je potrebné prihliadnuť na účinky poistno-matematických prepočítavacích faktorov, ktoré sa odlišujú podľa pohlavia v prípade systémov založených na princípe definovaných príspevkov; v prípade systémov financovaných na princípe definovaných dávok môže pri niektorých prvkoch dôjsť k nerovnosti tam, kde nerovnosť súm vyplýva z použitia poistno-matematických prepočítavacích faktorov, ktoré sa líšia podľa pohlavia v čase, keď sa zavádza financovanie systému;</w:t>
            </w:r>
          </w:p>
          <w:p w:rsidR="00832055" w:rsidRPr="00650F2F" w:rsidRDefault="00832055">
            <w:pPr>
              <w:rPr>
                <w:i w:val="0"/>
                <w:iCs w:val="0"/>
                <w:sz w:val="20"/>
                <w:szCs w:val="20"/>
              </w:rPr>
            </w:pP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i) stanovenia rozdielnej výšky príspevkov pracovníkov;</w:t>
            </w: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lastRenderedPageBreak/>
              <w:t>j) stanovenia rozdielnej výšky príspevkov zamestnávateľov s výnimkou:</w:t>
            </w: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i) systémov založených na princípe definovaných príspevkov, ak je cieľom vyrovnať výšku konečných dávok alebo ich takmer vyrovnať pre obe pohlavia;</w:t>
            </w: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ii) systémov financovaných na princípe definovaných dávok, ak cieľom príspevkov zamestnávateľa je zabezpečiť primeranosť fondov nevyhnutných na krytie nákladov definovaných dávok;</w:t>
            </w:r>
          </w:p>
          <w:p w:rsidR="00832055" w:rsidRPr="00650F2F" w:rsidRDefault="00832055">
            <w:pPr>
              <w:rPr>
                <w:i w:val="0"/>
                <w:iCs w:val="0"/>
                <w:sz w:val="20"/>
                <w:szCs w:val="20"/>
              </w:rPr>
            </w:pPr>
          </w:p>
          <w:p w:rsidR="00832055" w:rsidRPr="00650F2F" w:rsidRDefault="00832055">
            <w:pPr>
              <w:rPr>
                <w:i w:val="0"/>
                <w:iCs w:val="0"/>
                <w:sz w:val="20"/>
                <w:szCs w:val="20"/>
              </w:rPr>
            </w:pPr>
          </w:p>
          <w:p w:rsidR="00D65034" w:rsidRPr="00650F2F" w:rsidRDefault="00D65034">
            <w:pPr>
              <w:rPr>
                <w:i w:val="0"/>
                <w:iCs w:val="0"/>
                <w:sz w:val="20"/>
                <w:szCs w:val="20"/>
              </w:rPr>
            </w:pPr>
            <w:r w:rsidRPr="00650F2F">
              <w:rPr>
                <w:i w:val="0"/>
                <w:iCs w:val="0"/>
                <w:sz w:val="20"/>
                <w:szCs w:val="20"/>
              </w:rPr>
              <w:t>k) s výnimkou prípadov uvedených v písmenách h) a j) stanovenia rozdielnych noriem alebo noriem vzťahujúcich sa len na pracovníkov konkrétneho pohlavia, ak ide o záruku alebo zachovanie nároku na odložené poberanie dávok v prípade, že pracovník zo systému vystúpi.</w:t>
            </w:r>
          </w:p>
          <w:p w:rsidR="00D65034" w:rsidRPr="00650F2F" w:rsidRDefault="00D65034">
            <w:pPr>
              <w:pStyle w:val="Zkladntext"/>
              <w:jc w:val="both"/>
            </w:pPr>
          </w:p>
        </w:tc>
        <w:tc>
          <w:tcPr>
            <w:tcW w:w="567" w:type="dxa"/>
          </w:tcPr>
          <w:p w:rsidR="00D65034" w:rsidRPr="00650F2F" w:rsidRDefault="00D65034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lastRenderedPageBreak/>
              <w:t>N</w:t>
            </w:r>
          </w:p>
        </w:tc>
        <w:tc>
          <w:tcPr>
            <w:tcW w:w="1134" w:type="dxa"/>
          </w:tcPr>
          <w:p w:rsidR="00D65034" w:rsidRPr="00650F2F" w:rsidRDefault="00EA5C50">
            <w:pPr>
              <w:pStyle w:val="Nadpis3"/>
              <w:rPr>
                <w:sz w:val="20"/>
                <w:szCs w:val="20"/>
              </w:rPr>
            </w:pPr>
            <w:r w:rsidRPr="00650F2F">
              <w:rPr>
                <w:sz w:val="20"/>
                <w:szCs w:val="20"/>
              </w:rPr>
              <w:t>Návrh</w:t>
            </w:r>
          </w:p>
        </w:tc>
        <w:tc>
          <w:tcPr>
            <w:tcW w:w="1134" w:type="dxa"/>
          </w:tcPr>
          <w:p w:rsidR="00D65034" w:rsidRPr="00650F2F" w:rsidRDefault="00D65034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Pr="00650F2F" w:rsidRDefault="005E5632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§ 2</w:t>
            </w:r>
          </w:p>
          <w:p w:rsidR="00650F2F" w:rsidRP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O: 2</w:t>
            </w:r>
          </w:p>
          <w:p w:rsidR="00650F2F" w:rsidRP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a</w:t>
            </w:r>
          </w:p>
          <w:p w:rsidR="00650F2F" w:rsidRDefault="00650F2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t>P: b</w:t>
            </w: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D175FC" w:rsidRDefault="004B44FE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§ 19</w:t>
            </w:r>
          </w:p>
          <w:p w:rsidR="00D175FC" w:rsidRDefault="00D175F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O: 1</w:t>
            </w:r>
          </w:p>
          <w:p w:rsidR="00E94D45" w:rsidRDefault="00E94D4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E94D45" w:rsidRDefault="00E94D4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E94D45" w:rsidRDefault="00E94D4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E94D45" w:rsidRDefault="00E94D4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E94D45" w:rsidRDefault="00E94D4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E94D45" w:rsidRDefault="00E94D4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E94D45" w:rsidRDefault="00E94D4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E94D45" w:rsidRDefault="00E94D4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E94D45" w:rsidRDefault="00E94D4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E94D45" w:rsidRDefault="00E94D45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O: 2</w:t>
            </w:r>
          </w:p>
          <w:p w:rsidR="004B44FE" w:rsidRDefault="004B44FE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4B44FE" w:rsidRDefault="004B44FE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4B44FE" w:rsidRDefault="004B44FE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O: 3</w:t>
            </w: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§ 16</w:t>
            </w:r>
          </w:p>
          <w:p w:rsidR="00FD450C" w:rsidRDefault="00FD450C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O: </w:t>
            </w:r>
            <w:r w:rsidR="00C16270">
              <w:rPr>
                <w:b/>
                <w:bCs/>
                <w:i w:val="0"/>
                <w:iCs w:val="0"/>
                <w:sz w:val="20"/>
                <w:szCs w:val="20"/>
              </w:rPr>
              <w:t>1</w:t>
            </w: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76233E" w:rsidRDefault="0076233E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P: a</w:t>
            </w: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P: b</w:t>
            </w: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76233E" w:rsidRDefault="0076233E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C16270" w:rsidRDefault="00C16270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P: c</w:t>
            </w: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3541C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§ 7</w:t>
            </w:r>
          </w:p>
          <w:p w:rsidR="003541CF" w:rsidRPr="00650F2F" w:rsidRDefault="003541CF">
            <w:pPr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O: 3</w:t>
            </w:r>
          </w:p>
        </w:tc>
        <w:tc>
          <w:tcPr>
            <w:tcW w:w="4675" w:type="dxa"/>
          </w:tcPr>
          <w:p w:rsidR="00D65034" w:rsidRPr="00650F2F" w:rsidRDefault="00D65034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650F2F" w:rsidRPr="00650F2F" w:rsidRDefault="00650F2F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650F2F" w:rsidRDefault="00650F2F" w:rsidP="00650F2F">
            <w:pPr>
              <w:jc w:val="both"/>
              <w:rPr>
                <w:i w:val="0"/>
                <w:sz w:val="20"/>
                <w:szCs w:val="20"/>
              </w:rPr>
            </w:pPr>
          </w:p>
          <w:p w:rsidR="00650F2F" w:rsidRDefault="00650F2F" w:rsidP="00650F2F">
            <w:pPr>
              <w:jc w:val="both"/>
              <w:rPr>
                <w:i w:val="0"/>
                <w:sz w:val="20"/>
                <w:szCs w:val="20"/>
              </w:rPr>
            </w:pPr>
          </w:p>
          <w:p w:rsidR="00650F2F" w:rsidRPr="00650F2F" w:rsidRDefault="00650F2F" w:rsidP="00650F2F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 xml:space="preserve">Účelom doplnkového dôchodkového sporenia je umožniť účastníkovi získať doplnkový dôchodkový príjem </w:t>
            </w:r>
          </w:p>
          <w:p w:rsidR="00650F2F" w:rsidRPr="00650F2F" w:rsidRDefault="00650F2F" w:rsidP="00650F2F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 xml:space="preserve">a) v starobe, </w:t>
            </w:r>
          </w:p>
          <w:p w:rsidR="00650F2F" w:rsidRPr="00650F2F" w:rsidRDefault="00650F2F" w:rsidP="00650F2F">
            <w:pPr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b) v prípade skončenia výkonu práce</w:t>
            </w:r>
          </w:p>
          <w:p w:rsidR="00650F2F" w:rsidRPr="00650F2F" w:rsidRDefault="00650F2F" w:rsidP="00650F2F">
            <w:pPr>
              <w:numPr>
                <w:ilvl w:val="0"/>
                <w:numId w:val="28"/>
              </w:numPr>
              <w:tabs>
                <w:tab w:val="num" w:pos="1068"/>
              </w:tabs>
              <w:jc w:val="both"/>
              <w:rPr>
                <w:i w:val="0"/>
                <w:sz w:val="20"/>
                <w:szCs w:val="20"/>
              </w:rPr>
            </w:pPr>
            <w:r w:rsidRPr="00650F2F">
              <w:rPr>
                <w:i w:val="0"/>
                <w:sz w:val="20"/>
                <w:szCs w:val="20"/>
              </w:rPr>
              <w:t>zaradenej na základe rozhodnutia orgánu štátnej správy na úseku verejného zdravotníctva do tretej kategórie alebo štvrtej kategórie podľa osobitného predpisu,</w:t>
            </w:r>
            <w:r w:rsidRPr="00650F2F">
              <w:rPr>
                <w:i w:val="0"/>
                <w:sz w:val="20"/>
                <w:szCs w:val="20"/>
                <w:vertAlign w:val="superscript"/>
              </w:rPr>
              <w:t>1</w:t>
            </w:r>
            <w:r w:rsidRPr="00650F2F">
              <w:rPr>
                <w:i w:val="0"/>
                <w:sz w:val="20"/>
                <w:szCs w:val="20"/>
              </w:rPr>
              <w:t xml:space="preserve">) </w:t>
            </w:r>
          </w:p>
          <w:p w:rsidR="005E5632" w:rsidRPr="005E5632" w:rsidRDefault="00650F2F" w:rsidP="005E5632">
            <w:pPr>
              <w:numPr>
                <w:ilvl w:val="0"/>
                <w:numId w:val="28"/>
              </w:numPr>
              <w:tabs>
                <w:tab w:val="clear" w:pos="927"/>
                <w:tab w:val="num" w:pos="1068"/>
              </w:tabs>
              <w:ind w:left="1068"/>
              <w:jc w:val="both"/>
              <w:rPr>
                <w:i w:val="0"/>
                <w:iCs w:val="0"/>
                <w:sz w:val="20"/>
                <w:szCs w:val="20"/>
              </w:rPr>
            </w:pPr>
            <w:r w:rsidRPr="005E5632">
              <w:rPr>
                <w:i w:val="0"/>
                <w:sz w:val="20"/>
                <w:szCs w:val="20"/>
              </w:rPr>
              <w:t>zamestnancom,</w:t>
            </w:r>
            <w:r w:rsidR="005E5632">
              <w:rPr>
                <w:i w:val="0"/>
                <w:sz w:val="20"/>
                <w:szCs w:val="20"/>
              </w:rPr>
              <w:t xml:space="preserve"> </w:t>
            </w:r>
            <w:r w:rsidR="005E5632" w:rsidRPr="005E5632">
              <w:rPr>
                <w:i w:val="0"/>
                <w:sz w:val="20"/>
                <w:szCs w:val="20"/>
              </w:rPr>
              <w:t xml:space="preserve">ktorý je umelec </w:t>
            </w:r>
            <w:r w:rsidR="005E5632" w:rsidRPr="005E5632">
              <w:rPr>
                <w:i w:val="0"/>
                <w:sz w:val="20"/>
                <w:szCs w:val="20"/>
              </w:rPr>
              <w:lastRenderedPageBreak/>
              <w:t>vykonávajúci profesiu tanečníka bez ohľadu na štýl a techniku v divadlách a súboroch alebo zamestnancom, ktorý je hudobný umelec, ktorý vykonáva profesiu hráča na dychový nástroj.</w:t>
            </w:r>
          </w:p>
          <w:p w:rsidR="005E5632" w:rsidRPr="005E5632" w:rsidRDefault="005E5632" w:rsidP="005E5632">
            <w:pPr>
              <w:ind w:left="1068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E94D45" w:rsidRDefault="00E94D45">
            <w:pPr>
              <w:jc w:val="both"/>
              <w:rPr>
                <w:i w:val="0"/>
                <w:sz w:val="20"/>
                <w:szCs w:val="20"/>
              </w:rPr>
            </w:pPr>
          </w:p>
          <w:p w:rsidR="00E94D45" w:rsidRDefault="00E94D45" w:rsidP="00E94D45">
            <w:pPr>
              <w:jc w:val="both"/>
              <w:rPr>
                <w:i w:val="0"/>
                <w:sz w:val="20"/>
                <w:szCs w:val="20"/>
              </w:rPr>
            </w:pPr>
          </w:p>
          <w:p w:rsidR="00E94D45" w:rsidRPr="004B44FE" w:rsidRDefault="004B44FE">
            <w:pPr>
              <w:jc w:val="both"/>
              <w:rPr>
                <w:i w:val="0"/>
                <w:iCs w:val="0"/>
                <w:sz w:val="20"/>
                <w:szCs w:val="20"/>
              </w:rPr>
            </w:pPr>
            <w:r w:rsidRPr="004B44FE">
              <w:rPr>
                <w:i w:val="0"/>
                <w:sz w:val="20"/>
                <w:szCs w:val="20"/>
              </w:rPr>
              <w:t>Účastníkovi, ktorý nesplnil podmienky vyplácania dávok podľa § 15 písm. a) a b) a požiada o predčasný výber, vyplatí sa suma predčasného výberu zodpovedajúca súčinu aktuálnej hodnoty doplnkových dôchodkových jednotiek zo dňa predchádzajúceho dňu určenému v žiadosti o vyplatenie predčasného výberu a počtu všetkých doplnkových dôchodkových jednotiek z príspevkov zaplatených účastníkom; podanie žiadosti o výplatu dávok podľa § 15 písm. a) a b) sa na tento účel nepovažuje za podmienku vyplácania dávok</w:t>
            </w:r>
            <w:r>
              <w:rPr>
                <w:i w:val="0"/>
                <w:sz w:val="20"/>
                <w:szCs w:val="20"/>
              </w:rPr>
              <w:t>.</w:t>
            </w:r>
          </w:p>
          <w:p w:rsidR="00FD450C" w:rsidRDefault="00FD450C">
            <w:pPr>
              <w:jc w:val="both"/>
              <w:rPr>
                <w:i w:val="0"/>
                <w:sz w:val="20"/>
                <w:szCs w:val="20"/>
              </w:rPr>
            </w:pPr>
            <w:r w:rsidRPr="00FD450C">
              <w:rPr>
                <w:i w:val="0"/>
                <w:sz w:val="20"/>
                <w:szCs w:val="20"/>
              </w:rPr>
              <w:t>Vyplatením predčasného výberu účastnícka zmluva nezaniká.</w:t>
            </w:r>
          </w:p>
          <w:p w:rsidR="00C16270" w:rsidRDefault="00C16270">
            <w:pPr>
              <w:jc w:val="both"/>
              <w:rPr>
                <w:i w:val="0"/>
                <w:sz w:val="20"/>
                <w:szCs w:val="20"/>
              </w:rPr>
            </w:pPr>
          </w:p>
          <w:p w:rsidR="00C16270" w:rsidRPr="004B44FE" w:rsidRDefault="004B44FE">
            <w:pPr>
              <w:jc w:val="both"/>
              <w:rPr>
                <w:i w:val="0"/>
                <w:sz w:val="20"/>
                <w:szCs w:val="20"/>
              </w:rPr>
            </w:pPr>
            <w:r w:rsidRPr="004B44FE">
              <w:rPr>
                <w:i w:val="0"/>
                <w:sz w:val="20"/>
                <w:szCs w:val="20"/>
              </w:rPr>
              <w:t>Predčasný výber sa vyplatí na žiadosť účastníka iba raz v priebehu desiatich rokov trvania účastníckej zmluvy. Prvýkrát môže byť predčasný výber vyplatený najskôr po uplynutí desiatich rokov odo dňa uzatvorenia tejto účastníckej zmluvy.</w:t>
            </w:r>
          </w:p>
          <w:p w:rsidR="00C16270" w:rsidRDefault="00C16270" w:rsidP="00C16270">
            <w:pPr>
              <w:autoSpaceDE w:val="0"/>
              <w:autoSpaceDN w:val="0"/>
              <w:adjustRightInd w:val="0"/>
              <w:ind w:left="426"/>
              <w:jc w:val="both"/>
            </w:pPr>
          </w:p>
          <w:p w:rsidR="004B44FE" w:rsidRDefault="004B44FE" w:rsidP="00C16270">
            <w:pPr>
              <w:autoSpaceDE w:val="0"/>
              <w:autoSpaceDN w:val="0"/>
              <w:adjustRightInd w:val="0"/>
              <w:jc w:val="both"/>
            </w:pPr>
          </w:p>
          <w:p w:rsidR="00C16270" w:rsidRPr="00C16270" w:rsidRDefault="00C16270" w:rsidP="00C16270">
            <w:pPr>
              <w:autoSpaceDE w:val="0"/>
              <w:autoSpaceDN w:val="0"/>
              <w:adjustRightInd w:val="0"/>
              <w:jc w:val="both"/>
              <w:rPr>
                <w:i w:val="0"/>
                <w:sz w:val="20"/>
                <w:szCs w:val="20"/>
              </w:rPr>
            </w:pPr>
            <w:r w:rsidRPr="00C16270">
              <w:rPr>
                <w:i w:val="0"/>
                <w:sz w:val="20"/>
                <w:szCs w:val="20"/>
              </w:rPr>
              <w:t>Účastníkovi, ktorý požiada doplnkovú dôchodkovú spoločnosť o vyplácanie doplnkového starobného dôchodku, sa tento dôchodok vypláca, ak</w:t>
            </w:r>
          </w:p>
          <w:p w:rsidR="00C16270" w:rsidRPr="00C16270" w:rsidRDefault="00C16270" w:rsidP="00C1627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i w:val="0"/>
                <w:sz w:val="20"/>
                <w:szCs w:val="20"/>
              </w:rPr>
            </w:pPr>
            <w:r w:rsidRPr="00C16270">
              <w:rPr>
                <w:i w:val="0"/>
                <w:sz w:val="20"/>
                <w:szCs w:val="20"/>
              </w:rPr>
              <w:t>mu vznikol nárok na výplatu starobného dôchodku podľa osobitného predpisu,</w:t>
            </w:r>
            <w:r w:rsidRPr="00C16270">
              <w:rPr>
                <w:i w:val="0"/>
                <w:sz w:val="20"/>
                <w:szCs w:val="20"/>
                <w:vertAlign w:val="superscript"/>
              </w:rPr>
              <w:t>5</w:t>
            </w:r>
            <w:r w:rsidRPr="00C16270">
              <w:rPr>
                <w:i w:val="0"/>
                <w:sz w:val="20"/>
                <w:szCs w:val="20"/>
              </w:rPr>
              <w:t>)</w:t>
            </w:r>
          </w:p>
          <w:p w:rsidR="00C16270" w:rsidRPr="00C16270" w:rsidRDefault="00C16270" w:rsidP="00C1627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i w:val="0"/>
                <w:sz w:val="20"/>
                <w:szCs w:val="20"/>
              </w:rPr>
            </w:pPr>
            <w:r w:rsidRPr="00C16270">
              <w:rPr>
                <w:i w:val="0"/>
                <w:sz w:val="20"/>
                <w:szCs w:val="20"/>
              </w:rPr>
              <w:t>mu vznikol nárok na výplatu predčasného starobného dôchodku podľa osobitného predpisu</w:t>
            </w:r>
            <w:r w:rsidRPr="00C16270">
              <w:rPr>
                <w:i w:val="0"/>
                <w:sz w:val="20"/>
                <w:szCs w:val="20"/>
                <w:vertAlign w:val="superscript"/>
              </w:rPr>
              <w:t>5a</w:t>
            </w:r>
            <w:r w:rsidRPr="00C16270">
              <w:rPr>
                <w:i w:val="0"/>
                <w:sz w:val="20"/>
                <w:szCs w:val="20"/>
              </w:rPr>
              <w:t>) alebo</w:t>
            </w:r>
          </w:p>
          <w:p w:rsidR="00C16270" w:rsidRPr="0076233E" w:rsidRDefault="0076233E" w:rsidP="00C1627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i w:val="0"/>
                <w:sz w:val="20"/>
                <w:szCs w:val="20"/>
              </w:rPr>
            </w:pPr>
            <w:r w:rsidRPr="0076233E">
              <w:rPr>
                <w:i w:val="0"/>
                <w:sz w:val="20"/>
                <w:szCs w:val="20"/>
              </w:rPr>
              <w:t>účastník dovŕšil 62 rokov veku.</w:t>
            </w:r>
          </w:p>
          <w:p w:rsidR="00C16270" w:rsidRDefault="00C16270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Default="001D3CC2" w:rsidP="001D3CC2">
            <w:pPr>
              <w:autoSpaceDE w:val="0"/>
              <w:autoSpaceDN w:val="0"/>
              <w:adjustRightInd w:val="0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Pr="001D3CC2" w:rsidRDefault="001D3CC2" w:rsidP="001D3CC2">
            <w:pPr>
              <w:autoSpaceDE w:val="0"/>
              <w:autoSpaceDN w:val="0"/>
              <w:adjustRightInd w:val="0"/>
              <w:jc w:val="both"/>
              <w:rPr>
                <w:i w:val="0"/>
                <w:sz w:val="20"/>
                <w:szCs w:val="20"/>
              </w:rPr>
            </w:pPr>
            <w:r w:rsidRPr="001D3CC2">
              <w:rPr>
                <w:i w:val="0"/>
                <w:sz w:val="20"/>
                <w:szCs w:val="20"/>
              </w:rPr>
              <w:t>Za diskrimináciu z dôvodu pohlavia sa nepovažuje určenie rozdielnej výšky príspevkov zamestnávateľa, ktorého cieľom je vyrovnať výšku dávok alebo ich takmer vyrovnať pre obe pohlavia.</w:t>
            </w:r>
          </w:p>
          <w:p w:rsidR="001D3CC2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1D3CC2" w:rsidRPr="00FD450C" w:rsidRDefault="001D3CC2">
            <w:pPr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D65034" w:rsidRPr="00650F2F" w:rsidRDefault="00D65034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50F2F">
              <w:rPr>
                <w:b/>
                <w:bCs/>
                <w:i w:val="0"/>
                <w:iCs w:val="0"/>
                <w:sz w:val="20"/>
                <w:szCs w:val="20"/>
              </w:rPr>
              <w:lastRenderedPageBreak/>
              <w:t>Ú</w:t>
            </w:r>
          </w:p>
        </w:tc>
        <w:tc>
          <w:tcPr>
            <w:tcW w:w="1229" w:type="dxa"/>
          </w:tcPr>
          <w:p w:rsidR="00D65034" w:rsidRPr="00650F2F" w:rsidRDefault="00D65034">
            <w:pPr>
              <w:rPr>
                <w:i w:val="0"/>
                <w:sz w:val="20"/>
                <w:szCs w:val="20"/>
              </w:rPr>
            </w:pPr>
          </w:p>
        </w:tc>
      </w:tr>
    </w:tbl>
    <w:p w:rsidR="00AD36EA" w:rsidRPr="00650F2F" w:rsidRDefault="00AD36EA">
      <w:pPr>
        <w:rPr>
          <w:i w:val="0"/>
          <w:sz w:val="20"/>
          <w:szCs w:val="20"/>
        </w:rPr>
      </w:pPr>
    </w:p>
    <w:sectPr w:rsidR="00AD36EA" w:rsidRPr="00650F2F" w:rsidSect="00F3567A">
      <w:footerReference w:type="default" r:id="rId8"/>
      <w:pgSz w:w="16838" w:h="11906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96" w:rsidRDefault="00BE4B96">
      <w:r>
        <w:separator/>
      </w:r>
    </w:p>
  </w:endnote>
  <w:endnote w:type="continuationSeparator" w:id="0">
    <w:p w:rsidR="00BE4B96" w:rsidRDefault="00BE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C8" w:rsidRDefault="00D6784A">
    <w:pPr>
      <w:pStyle w:val="Zkladntext3"/>
      <w:framePr w:wrap="auto" w:vAnchor="text" w:hAnchor="margin" w:xAlign="right" w:y="1"/>
      <w:rPr>
        <w:b w:val="0"/>
        <w:bCs w:val="0"/>
        <w:sz w:val="18"/>
        <w:szCs w:val="18"/>
      </w:rPr>
    </w:pPr>
    <w:r>
      <w:rPr>
        <w:b w:val="0"/>
        <w:bCs w:val="0"/>
        <w:sz w:val="18"/>
        <w:szCs w:val="18"/>
      </w:rPr>
      <w:fldChar w:fldCharType="begin"/>
    </w:r>
    <w:r w:rsidR="002D3FC8">
      <w:rPr>
        <w:b w:val="0"/>
        <w:bCs w:val="0"/>
        <w:sz w:val="18"/>
        <w:szCs w:val="18"/>
      </w:rPr>
      <w:instrText xml:space="preserve">PAGE  </w:instrText>
    </w:r>
    <w:r>
      <w:rPr>
        <w:b w:val="0"/>
        <w:bCs w:val="0"/>
        <w:sz w:val="18"/>
        <w:szCs w:val="18"/>
      </w:rPr>
      <w:fldChar w:fldCharType="separate"/>
    </w:r>
    <w:r w:rsidR="00E3012B">
      <w:rPr>
        <w:b w:val="0"/>
        <w:bCs w:val="0"/>
        <w:noProof/>
        <w:sz w:val="18"/>
        <w:szCs w:val="18"/>
      </w:rPr>
      <w:t>1</w:t>
    </w:r>
    <w:r>
      <w:rPr>
        <w:b w:val="0"/>
        <w:bCs w:val="0"/>
        <w:sz w:val="18"/>
        <w:szCs w:val="18"/>
      </w:rPr>
      <w:fldChar w:fldCharType="end"/>
    </w:r>
  </w:p>
  <w:p w:rsidR="002D3FC8" w:rsidRDefault="002D3FC8">
    <w:pPr>
      <w:pStyle w:val="Zkladntext3"/>
      <w:ind w:right="360"/>
      <w:rPr>
        <w:b w:val="0"/>
        <w:bCs w:val="0"/>
        <w:sz w:val="18"/>
        <w:szCs w:val="18"/>
      </w:rPr>
    </w:pPr>
    <w:r>
      <w:rPr>
        <w:b w:val="0"/>
        <w:bCs w:val="0"/>
        <w:sz w:val="18"/>
        <w:szCs w:val="18"/>
      </w:rPr>
      <w:t xml:space="preserve">2006/54/ES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96" w:rsidRDefault="00BE4B96">
      <w:r>
        <w:separator/>
      </w:r>
    </w:p>
  </w:footnote>
  <w:footnote w:type="continuationSeparator" w:id="0">
    <w:p w:rsidR="00BE4B96" w:rsidRDefault="00BE4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881"/>
    <w:multiLevelType w:val="hybridMultilevel"/>
    <w:tmpl w:val="95EAD412"/>
    <w:lvl w:ilvl="0" w:tplc="98B8623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6B1C9F"/>
    <w:multiLevelType w:val="singleLevel"/>
    <w:tmpl w:val="056EB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4B0C3F"/>
    <w:multiLevelType w:val="hybridMultilevel"/>
    <w:tmpl w:val="209A0528"/>
    <w:lvl w:ilvl="0" w:tplc="EAD2224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New York" w:hAnsi="New York" w:cs="Tunga" w:hint="default"/>
        <w:b w:val="0"/>
        <w:bCs w:val="0"/>
        <w:i w:val="0"/>
        <w:i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4C2CD3"/>
    <w:multiLevelType w:val="hybridMultilevel"/>
    <w:tmpl w:val="4AD8B2BA"/>
    <w:lvl w:ilvl="0" w:tplc="D3C4C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B6CBA"/>
    <w:multiLevelType w:val="hybridMultilevel"/>
    <w:tmpl w:val="BD724C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30544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986083"/>
    <w:multiLevelType w:val="hybridMultilevel"/>
    <w:tmpl w:val="9506710E"/>
    <w:lvl w:ilvl="0" w:tplc="4B5467B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New York" w:hAnsi="New York" w:cs="Tunga" w:hint="default"/>
        <w:b w:val="0"/>
        <w:bCs w:val="0"/>
        <w:i w:val="0"/>
        <w:i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9A0402"/>
    <w:multiLevelType w:val="hybridMultilevel"/>
    <w:tmpl w:val="C1009B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311A3"/>
    <w:multiLevelType w:val="hybridMultilevel"/>
    <w:tmpl w:val="89EEECC8"/>
    <w:lvl w:ilvl="0" w:tplc="2AC2DC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0207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057BE1"/>
    <w:multiLevelType w:val="hybridMultilevel"/>
    <w:tmpl w:val="8904C832"/>
    <w:lvl w:ilvl="0" w:tplc="E0DCE596">
      <w:start w:val="4"/>
      <w:numFmt w:val="decimal"/>
      <w:lvlText w:val="(%1)"/>
      <w:lvlJc w:val="left"/>
      <w:pPr>
        <w:tabs>
          <w:tab w:val="num" w:pos="794"/>
        </w:tabs>
        <w:ind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876780"/>
    <w:multiLevelType w:val="hybridMultilevel"/>
    <w:tmpl w:val="B2D8B070"/>
    <w:lvl w:ilvl="0" w:tplc="C3A64F1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C2337C"/>
    <w:multiLevelType w:val="hybridMultilevel"/>
    <w:tmpl w:val="C464EA7E"/>
    <w:lvl w:ilvl="0" w:tplc="DFC4FC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389C774F"/>
    <w:multiLevelType w:val="hybridMultilevel"/>
    <w:tmpl w:val="2E12B648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0C4A47"/>
    <w:multiLevelType w:val="singleLevel"/>
    <w:tmpl w:val="2AC2DC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</w:abstractNum>
  <w:abstractNum w:abstractNumId="14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2D1DAB"/>
    <w:multiLevelType w:val="hybridMultilevel"/>
    <w:tmpl w:val="E26CF64C"/>
    <w:lvl w:ilvl="0" w:tplc="C3A64F1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702FB8"/>
    <w:multiLevelType w:val="hybridMultilevel"/>
    <w:tmpl w:val="A3DCCA5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F37423D"/>
    <w:multiLevelType w:val="hybridMultilevel"/>
    <w:tmpl w:val="F690B4DA"/>
    <w:lvl w:ilvl="0" w:tplc="CF3830D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28422F"/>
    <w:multiLevelType w:val="hybridMultilevel"/>
    <w:tmpl w:val="77C650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1EF0E26"/>
    <w:multiLevelType w:val="hybridMultilevel"/>
    <w:tmpl w:val="19901738"/>
    <w:lvl w:ilvl="0" w:tplc="81400D9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B826EC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1">
    <w:nsid w:val="546157FD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2">
    <w:nsid w:val="559A2A15"/>
    <w:multiLevelType w:val="multilevel"/>
    <w:tmpl w:val="209A052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New York" w:hAnsi="New York" w:cs="Tunga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4B3AAA"/>
    <w:multiLevelType w:val="hybridMultilevel"/>
    <w:tmpl w:val="2E12B648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452D28"/>
    <w:multiLevelType w:val="singleLevel"/>
    <w:tmpl w:val="80EA18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25">
    <w:nsid w:val="71C97805"/>
    <w:multiLevelType w:val="hybridMultilevel"/>
    <w:tmpl w:val="2E12B648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C8331C"/>
    <w:multiLevelType w:val="singleLevel"/>
    <w:tmpl w:val="24E01E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27">
    <w:nsid w:val="7A4503FA"/>
    <w:multiLevelType w:val="hybridMultilevel"/>
    <w:tmpl w:val="99AABBB0"/>
    <w:lvl w:ilvl="0" w:tplc="2EB0A55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B2333A8"/>
    <w:multiLevelType w:val="singleLevel"/>
    <w:tmpl w:val="B87A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3"/>
  </w:num>
  <w:num w:numId="5">
    <w:abstractNumId w:val="28"/>
  </w:num>
  <w:num w:numId="6">
    <w:abstractNumId w:val="4"/>
  </w:num>
  <w:num w:numId="7">
    <w:abstractNumId w:val="1"/>
  </w:num>
  <w:num w:numId="8">
    <w:abstractNumId w:val="24"/>
  </w:num>
  <w:num w:numId="9">
    <w:abstractNumId w:val="26"/>
  </w:num>
  <w:num w:numId="10">
    <w:abstractNumId w:val="3"/>
  </w:num>
  <w:num w:numId="11">
    <w:abstractNumId w:val="14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22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  <w:num w:numId="24">
    <w:abstractNumId w:val="23"/>
  </w:num>
  <w:num w:numId="25">
    <w:abstractNumId w:val="18"/>
  </w:num>
  <w:num w:numId="26">
    <w:abstractNumId w:val="16"/>
  </w:num>
  <w:num w:numId="27">
    <w:abstractNumId w:val="25"/>
  </w:num>
  <w:num w:numId="28">
    <w:abstractNumId w:val="12"/>
  </w:num>
  <w:num w:numId="29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AEA"/>
    <w:rsid w:val="0000310F"/>
    <w:rsid w:val="00004538"/>
    <w:rsid w:val="00005D8B"/>
    <w:rsid w:val="00016F1C"/>
    <w:rsid w:val="00036719"/>
    <w:rsid w:val="00051A88"/>
    <w:rsid w:val="0005653E"/>
    <w:rsid w:val="00077203"/>
    <w:rsid w:val="000D6C6B"/>
    <w:rsid w:val="000E0663"/>
    <w:rsid w:val="000E48BD"/>
    <w:rsid w:val="00114658"/>
    <w:rsid w:val="001226DD"/>
    <w:rsid w:val="0014423D"/>
    <w:rsid w:val="0014541F"/>
    <w:rsid w:val="001460F3"/>
    <w:rsid w:val="00167E73"/>
    <w:rsid w:val="0017101D"/>
    <w:rsid w:val="00190E36"/>
    <w:rsid w:val="00195CA8"/>
    <w:rsid w:val="001A4941"/>
    <w:rsid w:val="001D3CC2"/>
    <w:rsid w:val="001D440E"/>
    <w:rsid w:val="001E1ECA"/>
    <w:rsid w:val="00210AC0"/>
    <w:rsid w:val="002554B1"/>
    <w:rsid w:val="0025728E"/>
    <w:rsid w:val="002765C6"/>
    <w:rsid w:val="00282211"/>
    <w:rsid w:val="00285775"/>
    <w:rsid w:val="00290A10"/>
    <w:rsid w:val="002966F4"/>
    <w:rsid w:val="002B3508"/>
    <w:rsid w:val="002B5686"/>
    <w:rsid w:val="002C0ADB"/>
    <w:rsid w:val="002D3FC8"/>
    <w:rsid w:val="002F18BF"/>
    <w:rsid w:val="002F57DB"/>
    <w:rsid w:val="0030237E"/>
    <w:rsid w:val="003138D3"/>
    <w:rsid w:val="00335142"/>
    <w:rsid w:val="00352A96"/>
    <w:rsid w:val="003541CF"/>
    <w:rsid w:val="00354AEA"/>
    <w:rsid w:val="003736C8"/>
    <w:rsid w:val="00385004"/>
    <w:rsid w:val="00391C98"/>
    <w:rsid w:val="003B07DF"/>
    <w:rsid w:val="003B0BA9"/>
    <w:rsid w:val="003B2147"/>
    <w:rsid w:val="003F16A5"/>
    <w:rsid w:val="00404736"/>
    <w:rsid w:val="00414F1A"/>
    <w:rsid w:val="004606DB"/>
    <w:rsid w:val="004662AA"/>
    <w:rsid w:val="00471406"/>
    <w:rsid w:val="00484A3F"/>
    <w:rsid w:val="004A4007"/>
    <w:rsid w:val="004A6F03"/>
    <w:rsid w:val="004B44FE"/>
    <w:rsid w:val="004E1D99"/>
    <w:rsid w:val="004F054D"/>
    <w:rsid w:val="004F358C"/>
    <w:rsid w:val="004F456F"/>
    <w:rsid w:val="00514C36"/>
    <w:rsid w:val="00525005"/>
    <w:rsid w:val="00526A85"/>
    <w:rsid w:val="00531144"/>
    <w:rsid w:val="0053325D"/>
    <w:rsid w:val="005357A4"/>
    <w:rsid w:val="00540936"/>
    <w:rsid w:val="005669A3"/>
    <w:rsid w:val="005860FD"/>
    <w:rsid w:val="00597897"/>
    <w:rsid w:val="005A297C"/>
    <w:rsid w:val="005C7307"/>
    <w:rsid w:val="005E5632"/>
    <w:rsid w:val="005F6B32"/>
    <w:rsid w:val="005F7C07"/>
    <w:rsid w:val="00616041"/>
    <w:rsid w:val="006215F7"/>
    <w:rsid w:val="006442C8"/>
    <w:rsid w:val="00650F2F"/>
    <w:rsid w:val="0067604F"/>
    <w:rsid w:val="0068090F"/>
    <w:rsid w:val="00681AEB"/>
    <w:rsid w:val="006A2709"/>
    <w:rsid w:val="006E071D"/>
    <w:rsid w:val="006E66FA"/>
    <w:rsid w:val="007607FC"/>
    <w:rsid w:val="007616EE"/>
    <w:rsid w:val="0076233E"/>
    <w:rsid w:val="0077337F"/>
    <w:rsid w:val="0078634A"/>
    <w:rsid w:val="007906C2"/>
    <w:rsid w:val="007C36EE"/>
    <w:rsid w:val="007C3E28"/>
    <w:rsid w:val="007D0B06"/>
    <w:rsid w:val="007D1AAB"/>
    <w:rsid w:val="007D29CE"/>
    <w:rsid w:val="007D36F4"/>
    <w:rsid w:val="007D790F"/>
    <w:rsid w:val="007F4B45"/>
    <w:rsid w:val="00804B7B"/>
    <w:rsid w:val="00813B08"/>
    <w:rsid w:val="0082732D"/>
    <w:rsid w:val="00832055"/>
    <w:rsid w:val="00863F19"/>
    <w:rsid w:val="00864547"/>
    <w:rsid w:val="008717C1"/>
    <w:rsid w:val="00880085"/>
    <w:rsid w:val="00884AA4"/>
    <w:rsid w:val="0089157F"/>
    <w:rsid w:val="008947EA"/>
    <w:rsid w:val="008C46A6"/>
    <w:rsid w:val="008D3E40"/>
    <w:rsid w:val="008E498F"/>
    <w:rsid w:val="008E607D"/>
    <w:rsid w:val="008E677D"/>
    <w:rsid w:val="008E67E7"/>
    <w:rsid w:val="008F5623"/>
    <w:rsid w:val="00930530"/>
    <w:rsid w:val="00937A32"/>
    <w:rsid w:val="009D7FC8"/>
    <w:rsid w:val="00A10989"/>
    <w:rsid w:val="00A14D4F"/>
    <w:rsid w:val="00A177B5"/>
    <w:rsid w:val="00A40FB5"/>
    <w:rsid w:val="00A57CF3"/>
    <w:rsid w:val="00A62FDD"/>
    <w:rsid w:val="00A64862"/>
    <w:rsid w:val="00A669B1"/>
    <w:rsid w:val="00A75D22"/>
    <w:rsid w:val="00A86532"/>
    <w:rsid w:val="00A93B49"/>
    <w:rsid w:val="00A9653C"/>
    <w:rsid w:val="00AB0262"/>
    <w:rsid w:val="00AD04EF"/>
    <w:rsid w:val="00AD36EA"/>
    <w:rsid w:val="00AE0EA8"/>
    <w:rsid w:val="00B07E4F"/>
    <w:rsid w:val="00B21152"/>
    <w:rsid w:val="00B4690A"/>
    <w:rsid w:val="00B5217A"/>
    <w:rsid w:val="00B71B9B"/>
    <w:rsid w:val="00BA2271"/>
    <w:rsid w:val="00BA76B5"/>
    <w:rsid w:val="00BC228E"/>
    <w:rsid w:val="00BC46EB"/>
    <w:rsid w:val="00BE4B96"/>
    <w:rsid w:val="00C025F7"/>
    <w:rsid w:val="00C16270"/>
    <w:rsid w:val="00C40BCB"/>
    <w:rsid w:val="00C529EF"/>
    <w:rsid w:val="00C63A7A"/>
    <w:rsid w:val="00C7497E"/>
    <w:rsid w:val="00C87E04"/>
    <w:rsid w:val="00C87F2B"/>
    <w:rsid w:val="00CC25AD"/>
    <w:rsid w:val="00CD68CE"/>
    <w:rsid w:val="00CE1BFD"/>
    <w:rsid w:val="00CE42FD"/>
    <w:rsid w:val="00D175FC"/>
    <w:rsid w:val="00D36572"/>
    <w:rsid w:val="00D425F7"/>
    <w:rsid w:val="00D65034"/>
    <w:rsid w:val="00D6784A"/>
    <w:rsid w:val="00DA6D3D"/>
    <w:rsid w:val="00DD57D7"/>
    <w:rsid w:val="00DE3597"/>
    <w:rsid w:val="00DF1B56"/>
    <w:rsid w:val="00E3012B"/>
    <w:rsid w:val="00E36EAC"/>
    <w:rsid w:val="00E4051F"/>
    <w:rsid w:val="00E63514"/>
    <w:rsid w:val="00E75822"/>
    <w:rsid w:val="00E91C91"/>
    <w:rsid w:val="00E94D45"/>
    <w:rsid w:val="00EA5AAC"/>
    <w:rsid w:val="00EA5C50"/>
    <w:rsid w:val="00ED08A2"/>
    <w:rsid w:val="00ED3F6B"/>
    <w:rsid w:val="00ED5949"/>
    <w:rsid w:val="00EE2B6B"/>
    <w:rsid w:val="00EF72E8"/>
    <w:rsid w:val="00F02563"/>
    <w:rsid w:val="00F033D3"/>
    <w:rsid w:val="00F04F3B"/>
    <w:rsid w:val="00F23DCF"/>
    <w:rsid w:val="00F324E5"/>
    <w:rsid w:val="00F3311C"/>
    <w:rsid w:val="00F3567A"/>
    <w:rsid w:val="00F35A29"/>
    <w:rsid w:val="00F42A25"/>
    <w:rsid w:val="00F67EE0"/>
    <w:rsid w:val="00F801FF"/>
    <w:rsid w:val="00FD1765"/>
    <w:rsid w:val="00FD450C"/>
    <w:rsid w:val="00FD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3567A"/>
    <w:rPr>
      <w:i/>
      <w:i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567A"/>
    <w:pPr>
      <w:keepNext/>
      <w:jc w:val="center"/>
      <w:outlineLvl w:val="0"/>
    </w:pPr>
    <w:rPr>
      <w:i w:val="0"/>
      <w:iCs w:val="0"/>
    </w:rPr>
  </w:style>
  <w:style w:type="paragraph" w:styleId="Nadpis2">
    <w:name w:val="heading 2"/>
    <w:basedOn w:val="Normlny"/>
    <w:next w:val="Normlny"/>
    <w:link w:val="Nadpis2Char"/>
    <w:uiPriority w:val="9"/>
    <w:qFormat/>
    <w:rsid w:val="00F3567A"/>
    <w:pPr>
      <w:keepNext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rsid w:val="00F3567A"/>
    <w:pPr>
      <w:keepNext/>
      <w:outlineLvl w:val="2"/>
    </w:pPr>
    <w:rPr>
      <w:b/>
      <w:bCs/>
      <w:i w:val="0"/>
      <w:iCs w:val="0"/>
      <w:sz w:val="18"/>
      <w:szCs w:val="18"/>
    </w:rPr>
  </w:style>
  <w:style w:type="paragraph" w:styleId="Nadpis4">
    <w:name w:val="heading 4"/>
    <w:basedOn w:val="Normlny"/>
    <w:next w:val="Normlny"/>
    <w:link w:val="Nadpis4Char"/>
    <w:uiPriority w:val="9"/>
    <w:qFormat/>
    <w:rsid w:val="00F3567A"/>
    <w:pPr>
      <w:keepNext/>
      <w:jc w:val="center"/>
      <w:outlineLvl w:val="3"/>
    </w:pPr>
    <w:rPr>
      <w:b/>
      <w:bCs/>
      <w:i w:val="0"/>
      <w:iCs w:val="0"/>
      <w:sz w:val="18"/>
      <w:szCs w:val="18"/>
    </w:rPr>
  </w:style>
  <w:style w:type="paragraph" w:styleId="Nadpis5">
    <w:name w:val="heading 5"/>
    <w:basedOn w:val="Normlny"/>
    <w:next w:val="Normlny"/>
    <w:link w:val="Nadpis5Char"/>
    <w:uiPriority w:val="9"/>
    <w:qFormat/>
    <w:rsid w:val="00F3567A"/>
    <w:pPr>
      <w:keepNext/>
      <w:jc w:val="center"/>
      <w:outlineLvl w:val="4"/>
    </w:pPr>
    <w:rPr>
      <w:b/>
      <w:bCs/>
      <w:i w:val="0"/>
      <w:iCs w:val="0"/>
      <w:sz w:val="16"/>
      <w:szCs w:val="16"/>
    </w:rPr>
  </w:style>
  <w:style w:type="paragraph" w:styleId="Nadpis6">
    <w:name w:val="heading 6"/>
    <w:basedOn w:val="Normlny"/>
    <w:next w:val="Normlny"/>
    <w:link w:val="Nadpis6Char"/>
    <w:uiPriority w:val="9"/>
    <w:qFormat/>
    <w:rsid w:val="00F3567A"/>
    <w:pPr>
      <w:keepNext/>
      <w:outlineLvl w:val="5"/>
    </w:pPr>
    <w:rPr>
      <w:b/>
      <w:bCs/>
      <w:i w:val="0"/>
      <w:iCs w:val="0"/>
      <w:sz w:val="16"/>
      <w:szCs w:val="16"/>
    </w:rPr>
  </w:style>
  <w:style w:type="paragraph" w:styleId="Nadpis7">
    <w:name w:val="heading 7"/>
    <w:basedOn w:val="Normlny"/>
    <w:next w:val="Normlny"/>
    <w:link w:val="Nadpis7Char"/>
    <w:uiPriority w:val="9"/>
    <w:qFormat/>
    <w:rsid w:val="00F3567A"/>
    <w:pPr>
      <w:keepNext/>
      <w:jc w:val="both"/>
      <w:outlineLvl w:val="6"/>
    </w:pPr>
    <w:rPr>
      <w:b/>
      <w:bCs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qFormat/>
    <w:rsid w:val="00F3567A"/>
    <w:pPr>
      <w:keepNext/>
      <w:jc w:val="both"/>
      <w:outlineLvl w:val="7"/>
    </w:pPr>
    <w:rPr>
      <w:iCs w:val="0"/>
      <w:sz w:val="1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567A"/>
    <w:rPr>
      <w:rFonts w:asciiTheme="majorHAnsi" w:eastAsiaTheme="majorEastAsia" w:hAnsiTheme="majorHAnsi" w:cstheme="majorBidi"/>
      <w:b/>
      <w:bCs/>
      <w:i/>
      <w:i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3567A"/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567A"/>
    <w:rPr>
      <w:rFonts w:asciiTheme="majorHAnsi" w:eastAsiaTheme="majorEastAsia" w:hAnsiTheme="majorHAnsi" w:cstheme="majorBidi"/>
      <w:b/>
      <w:bCs/>
      <w:i/>
      <w:i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567A"/>
    <w:rPr>
      <w:rFonts w:asciiTheme="minorHAnsi" w:eastAsiaTheme="minorEastAsia" w:hAnsiTheme="minorHAnsi" w:cstheme="minorBidi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3567A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3567A"/>
    <w:rPr>
      <w:rFonts w:asciiTheme="minorHAnsi" w:eastAsiaTheme="minorEastAsia" w:hAnsiTheme="minorHAnsi" w:cstheme="minorBidi"/>
      <w:b/>
      <w:bCs/>
      <w:i/>
      <w:iCs/>
      <w:sz w:val="22"/>
      <w:szCs w:val="22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3567A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3567A"/>
    <w:rPr>
      <w:rFonts w:asciiTheme="minorHAnsi" w:eastAsiaTheme="minorEastAsia" w:hAnsiTheme="minorHAnsi" w:cstheme="minorBidi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F3567A"/>
    <w:rPr>
      <w:i w:val="0"/>
      <w:iCs w:val="0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F3567A"/>
    <w:pPr>
      <w:tabs>
        <w:tab w:val="center" w:pos="4536"/>
        <w:tab w:val="right" w:pos="9072"/>
      </w:tabs>
    </w:pPr>
    <w:rPr>
      <w:i w:val="0"/>
      <w:iCs w:val="0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356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3567A"/>
    <w:rPr>
      <w:i/>
      <w:iCs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F3567A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F3567A"/>
    <w:pPr>
      <w:ind w:left="-1"/>
      <w:jc w:val="both"/>
    </w:pPr>
    <w:rPr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F3567A"/>
    <w:rPr>
      <w:b/>
      <w:bCs/>
      <w:i w:val="0"/>
      <w:iCs w:val="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3567A"/>
    <w:rPr>
      <w:i/>
      <w:iCs/>
      <w:sz w:val="16"/>
      <w:szCs w:val="16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F3567A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rsid w:val="00F3567A"/>
    <w:pPr>
      <w:ind w:left="-1"/>
      <w:jc w:val="both"/>
    </w:pPr>
    <w:rPr>
      <w:i w:val="0"/>
      <w:iCs w:val="0"/>
      <w:sz w:val="16"/>
      <w:szCs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F3567A"/>
    <w:pPr>
      <w:spacing w:line="240" w:lineRule="atLeast"/>
      <w:ind w:firstLine="708"/>
      <w:jc w:val="both"/>
    </w:pPr>
    <w:rPr>
      <w:i w:val="0"/>
      <w:iCs w:val="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3567A"/>
    <w:rPr>
      <w:i/>
      <w:iCs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F3567A"/>
    <w:rPr>
      <w:rFonts w:cs="Times New Roman"/>
      <w:b/>
      <w:bCs/>
      <w:color w:val="002579"/>
      <w:u w:val="single"/>
    </w:rPr>
  </w:style>
  <w:style w:type="paragraph" w:styleId="Normlnywebov">
    <w:name w:val="Normal (Web)"/>
    <w:basedOn w:val="Normlny"/>
    <w:uiPriority w:val="99"/>
    <w:rsid w:val="00F3567A"/>
    <w:pPr>
      <w:spacing w:before="150" w:after="150"/>
      <w:ind w:left="675" w:right="525"/>
    </w:pPr>
    <w:rPr>
      <w:rFonts w:ascii="Arial Unicode MS" w:eastAsia="Arial Unicode MS" w:hAnsi="Arial Unicode MS" w:cs="Arial Unicode MS"/>
      <w:i w:val="0"/>
      <w:iCs w:val="0"/>
      <w:sz w:val="19"/>
      <w:szCs w:val="19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F3567A"/>
    <w:rPr>
      <w:i w:val="0"/>
      <w:sz w:val="1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3567A"/>
    <w:rPr>
      <w:i/>
      <w:iCs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F18BF"/>
    <w:rPr>
      <w:i w:val="0"/>
      <w:iCs w:val="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567A"/>
    <w:rPr>
      <w:i/>
      <w:iC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90A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67A"/>
    <w:rPr>
      <w:rFonts w:ascii="Tahoma" w:hAnsi="Tahoma" w:cs="Tahoma"/>
      <w:i/>
      <w:iCs/>
      <w:sz w:val="16"/>
      <w:szCs w:val="16"/>
      <w:lang w:eastAsia="cs-CZ"/>
    </w:rPr>
  </w:style>
  <w:style w:type="paragraph" w:customStyle="1" w:styleId="Styl2">
    <w:name w:val="Styl2"/>
    <w:basedOn w:val="Textpoznmkypodiarou"/>
    <w:rsid w:val="00285775"/>
    <w:pPr>
      <w:ind w:left="360" w:hanging="360"/>
    </w:pPr>
    <w:rPr>
      <w:lang w:eastAsia="cs-CZ"/>
    </w:rPr>
  </w:style>
  <w:style w:type="paragraph" w:styleId="Odsekzoznamu">
    <w:name w:val="List Paragraph"/>
    <w:basedOn w:val="Normlny"/>
    <w:uiPriority w:val="34"/>
    <w:rsid w:val="004F054D"/>
    <w:pPr>
      <w:spacing w:after="200" w:line="276" w:lineRule="auto"/>
      <w:ind w:left="720"/>
      <w:contextualSpacing/>
    </w:pPr>
    <w:rPr>
      <w:rFonts w:ascii="Calibri" w:hAnsi="Calibri"/>
      <w:i w:val="0"/>
      <w:i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279015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9053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279031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9008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279037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9070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279061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9046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279040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9022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279051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9039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C328AB-4B53-4E39-8CFF-4903D54B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MPSVaR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MPSVaR</dc:creator>
  <cp:keywords/>
  <dc:description/>
  <cp:lastModifiedBy>cebulakova</cp:lastModifiedBy>
  <cp:revision>2</cp:revision>
  <cp:lastPrinted>2002-12-03T12:31:00Z</cp:lastPrinted>
  <dcterms:created xsi:type="dcterms:W3CDTF">2013-05-16T08:20:00Z</dcterms:created>
  <dcterms:modified xsi:type="dcterms:W3CDTF">2013-05-16T08:20:00Z</dcterms:modified>
</cp:coreProperties>
</file>