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00" w:rsidRDefault="00676F00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30E62">
        <w:rPr>
          <w:rFonts w:ascii="Times New Roman" w:hAnsi="Times New Roman"/>
          <w:caps/>
          <w:sz w:val="24"/>
          <w:szCs w:val="24"/>
        </w:rPr>
        <w:t>N</w:t>
      </w:r>
      <w:r w:rsidR="003B2515">
        <w:rPr>
          <w:rFonts w:ascii="Times New Roman" w:hAnsi="Times New Roman"/>
          <w:sz w:val="24"/>
          <w:szCs w:val="24"/>
        </w:rPr>
        <w:t>ÁVRH</w:t>
      </w:r>
    </w:p>
    <w:p w:rsidR="00676F00" w:rsidRPr="00C30E62" w:rsidRDefault="00676F00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6F00" w:rsidRDefault="00676F00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7F3E">
        <w:rPr>
          <w:rFonts w:ascii="Times New Roman" w:hAnsi="Times New Roman"/>
          <w:b/>
          <w:caps/>
          <w:sz w:val="24"/>
          <w:szCs w:val="24"/>
        </w:rPr>
        <w:t>Nariadenie vlády</w:t>
      </w:r>
    </w:p>
    <w:p w:rsidR="003B2515" w:rsidRPr="00537F3E" w:rsidRDefault="003B2515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76F00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3E">
        <w:rPr>
          <w:rFonts w:ascii="Times New Roman" w:hAnsi="Times New Roman"/>
          <w:b/>
          <w:caps/>
          <w:sz w:val="24"/>
          <w:szCs w:val="24"/>
        </w:rPr>
        <w:t>S</w:t>
      </w:r>
      <w:r w:rsidRPr="00537F3E">
        <w:rPr>
          <w:rFonts w:ascii="Times New Roman" w:hAnsi="Times New Roman"/>
          <w:b/>
          <w:sz w:val="24"/>
          <w:szCs w:val="24"/>
        </w:rPr>
        <w:t>lovenskej republiky</w:t>
      </w:r>
    </w:p>
    <w:p w:rsidR="003B2515" w:rsidRPr="00537F3E" w:rsidRDefault="003B2515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6F00" w:rsidRPr="0051326F" w:rsidRDefault="0051326F" w:rsidP="00DE4B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 2015,</w:t>
      </w:r>
    </w:p>
    <w:p w:rsidR="00676F00" w:rsidRPr="00537F3E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6F00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F3E">
        <w:rPr>
          <w:rFonts w:ascii="Times New Roman" w:hAnsi="Times New Roman"/>
          <w:b/>
          <w:bCs/>
          <w:sz w:val="24"/>
          <w:szCs w:val="24"/>
        </w:rPr>
        <w:t>ktorým sa vyhlasuje</w:t>
      </w:r>
      <w:r>
        <w:rPr>
          <w:rFonts w:ascii="Times New Roman" w:hAnsi="Times New Roman"/>
          <w:b/>
          <w:bCs/>
          <w:sz w:val="24"/>
          <w:szCs w:val="24"/>
        </w:rPr>
        <w:t xml:space="preserve"> prírodná rezervácia Borsukov vrch</w:t>
      </w:r>
    </w:p>
    <w:p w:rsidR="003B2515" w:rsidRDefault="003B2515" w:rsidP="00DE4B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6F00" w:rsidRPr="00537F3E" w:rsidRDefault="00676F00" w:rsidP="00DE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6F00" w:rsidRPr="00537F3E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7F3E">
        <w:rPr>
          <w:rFonts w:ascii="Times New Roman" w:hAnsi="Times New Roman"/>
          <w:sz w:val="24"/>
          <w:szCs w:val="24"/>
        </w:rPr>
        <w:t xml:space="preserve">Vláda Slovenskej republiky </w:t>
      </w:r>
      <w:r>
        <w:rPr>
          <w:rFonts w:ascii="Times New Roman" w:hAnsi="Times New Roman"/>
        </w:rPr>
        <w:t xml:space="preserve">podľa § 17 ods. 9 a § 22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</w:rPr>
          <w:t>1 a</w:t>
        </w:r>
      </w:smartTag>
      <w:r>
        <w:rPr>
          <w:rFonts w:ascii="Times New Roman" w:hAnsi="Times New Roman"/>
        </w:rPr>
        <w:t xml:space="preserve"> 6</w:t>
      </w:r>
      <w:r w:rsidRPr="00537F3E">
        <w:rPr>
          <w:rFonts w:ascii="Times New Roman" w:hAnsi="Times New Roman"/>
        </w:rPr>
        <w:t xml:space="preserve"> zákona </w:t>
      </w:r>
      <w:r w:rsidRPr="00537F3E">
        <w:rPr>
          <w:rFonts w:ascii="Times New Roman" w:hAnsi="Times New Roman"/>
          <w:sz w:val="24"/>
          <w:szCs w:val="24"/>
        </w:rPr>
        <w:t>č. 543/2002 Z. z. o ochrane prírody a krajiny v znení neskorších predpisov (ďalej len „zákon“) nariaďuje:</w:t>
      </w:r>
    </w:p>
    <w:p w:rsidR="00676F00" w:rsidRPr="00537F3E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00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F3E">
        <w:rPr>
          <w:rFonts w:ascii="Times New Roman" w:hAnsi="Times New Roman"/>
          <w:b/>
          <w:bCs/>
          <w:sz w:val="24"/>
          <w:szCs w:val="24"/>
        </w:rPr>
        <w:t>§ 1</w:t>
      </w:r>
    </w:p>
    <w:p w:rsidR="005538A0" w:rsidRPr="00537F3E" w:rsidRDefault="005538A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4B28" w:rsidRDefault="00676F0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3D0599">
        <w:rPr>
          <w:rFonts w:ascii="Times New Roman" w:hAnsi="Times New Roman"/>
          <w:sz w:val="24"/>
          <w:szCs w:val="24"/>
        </w:rPr>
        <w:t>Vyhlasuje sa</w:t>
      </w:r>
      <w:r>
        <w:rPr>
          <w:rFonts w:ascii="Times New Roman" w:hAnsi="Times New Roman"/>
          <w:sz w:val="24"/>
          <w:szCs w:val="24"/>
        </w:rPr>
        <w:t xml:space="preserve"> prírodn</w:t>
      </w:r>
      <w:r w:rsidRPr="005F2804">
        <w:rPr>
          <w:rFonts w:ascii="Times New Roman" w:hAnsi="Times New Roman"/>
          <w:sz w:val="24"/>
          <w:szCs w:val="24"/>
        </w:rPr>
        <w:t>á rezervácia Borsukov vrch</w:t>
      </w:r>
      <w:r w:rsidRPr="003D0599">
        <w:rPr>
          <w:rFonts w:ascii="Times New Roman" w:hAnsi="Times New Roman"/>
          <w:sz w:val="24"/>
          <w:szCs w:val="24"/>
        </w:rPr>
        <w:t xml:space="preserve"> (ďalej len „</w:t>
      </w:r>
      <w:r>
        <w:rPr>
          <w:rFonts w:ascii="Times New Roman" w:hAnsi="Times New Roman"/>
          <w:sz w:val="24"/>
          <w:szCs w:val="24"/>
        </w:rPr>
        <w:t>prírodná rezervácia</w:t>
      </w:r>
      <w:r w:rsidRPr="003D0599">
        <w:rPr>
          <w:rFonts w:ascii="Times New Roman" w:hAnsi="Times New Roman"/>
          <w:sz w:val="24"/>
          <w:szCs w:val="24"/>
        </w:rPr>
        <w:t>“).</w:t>
      </w:r>
    </w:p>
    <w:p w:rsidR="00676F00" w:rsidRDefault="00676F0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599">
        <w:rPr>
          <w:rFonts w:ascii="Times New Roman" w:hAnsi="Times New Roman"/>
          <w:sz w:val="24"/>
          <w:szCs w:val="24"/>
        </w:rPr>
        <w:t xml:space="preserve"> </w:t>
      </w:r>
    </w:p>
    <w:p w:rsidR="00676F00" w:rsidRDefault="00676F0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D0599">
        <w:rPr>
          <w:rFonts w:ascii="Times New Roman" w:hAnsi="Times New Roman"/>
          <w:sz w:val="24"/>
          <w:szCs w:val="24"/>
        </w:rPr>
        <w:t>(2) Predmet ochrany</w:t>
      </w:r>
      <w:r>
        <w:rPr>
          <w:rFonts w:ascii="Times New Roman" w:hAnsi="Times New Roman"/>
          <w:sz w:val="24"/>
          <w:szCs w:val="24"/>
        </w:rPr>
        <w:t xml:space="preserve"> prírodnej rezervácie</w:t>
      </w:r>
      <w:r w:rsidRPr="003D0599">
        <w:rPr>
          <w:rFonts w:ascii="Times New Roman" w:hAnsi="Times New Roman"/>
          <w:sz w:val="24"/>
          <w:szCs w:val="24"/>
        </w:rPr>
        <w:t xml:space="preserve"> je uvedený v prílohe č. 1.</w:t>
      </w:r>
    </w:p>
    <w:p w:rsidR="00676F00" w:rsidRPr="00537F3E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00" w:rsidRPr="00537F3E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F3E">
        <w:rPr>
          <w:rFonts w:ascii="Times New Roman" w:hAnsi="Times New Roman"/>
          <w:b/>
          <w:bCs/>
          <w:sz w:val="24"/>
          <w:szCs w:val="24"/>
        </w:rPr>
        <w:t>§ 2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676F00" w:rsidRDefault="00676F00" w:rsidP="00DE4B28">
      <w:pPr>
        <w:pStyle w:val="l2"/>
        <w:spacing w:before="0" w:beforeAutospacing="0" w:after="0" w:afterAutospacing="0"/>
        <w:jc w:val="both"/>
      </w:pPr>
      <w:r w:rsidRPr="00537F3E">
        <w:t>(1)</w:t>
      </w:r>
      <w:r>
        <w:t xml:space="preserve"> Prírodná rezervácia</w:t>
      </w:r>
      <w:r w:rsidRPr="00537F3E">
        <w:t xml:space="preserve"> sa nachádza</w:t>
      </w:r>
      <w:r>
        <w:t xml:space="preserve"> </w:t>
      </w:r>
      <w:r w:rsidRPr="00537F3E">
        <w:t>v okres</w:t>
      </w:r>
      <w:r>
        <w:t>e</w:t>
      </w:r>
      <w:r w:rsidRPr="00537F3E">
        <w:t xml:space="preserve"> S</w:t>
      </w:r>
      <w:r>
        <w:t>nina v katastrálnych územiach Nová Sedlica a Zboj</w:t>
      </w:r>
      <w:r w:rsidRPr="00537F3E">
        <w:t>.</w:t>
      </w:r>
    </w:p>
    <w:p w:rsidR="00DE4B28" w:rsidRPr="00537F3E" w:rsidRDefault="00DE4B28" w:rsidP="00DE4B28">
      <w:pPr>
        <w:pStyle w:val="l2"/>
        <w:spacing w:before="0" w:beforeAutospacing="0" w:after="0" w:afterAutospacing="0"/>
        <w:jc w:val="both"/>
      </w:pPr>
    </w:p>
    <w:p w:rsidR="00676F00" w:rsidRDefault="00676F00" w:rsidP="00DE4B28">
      <w:pPr>
        <w:pStyle w:val="l2"/>
        <w:spacing w:before="0" w:beforeAutospacing="0" w:after="0" w:afterAutospacing="0"/>
        <w:jc w:val="both"/>
        <w:rPr>
          <w:bCs/>
        </w:rPr>
      </w:pPr>
      <w:r w:rsidRPr="00537F3E">
        <w:rPr>
          <w:rStyle w:val="num"/>
        </w:rPr>
        <w:t>(2)</w:t>
      </w:r>
      <w:r>
        <w:t xml:space="preserve"> Prírodn</w:t>
      </w:r>
      <w:r>
        <w:rPr>
          <w:bCs/>
        </w:rPr>
        <w:t>á rezervácia má výmeru 146</w:t>
      </w:r>
      <w:r>
        <w:rPr>
          <w:bCs/>
          <w:color w:val="000000"/>
        </w:rPr>
        <w:t>,79</w:t>
      </w:r>
      <w:r>
        <w:rPr>
          <w:bCs/>
          <w:color w:val="FF0000"/>
        </w:rPr>
        <w:t xml:space="preserve"> </w:t>
      </w:r>
      <w:r>
        <w:rPr>
          <w:bCs/>
        </w:rPr>
        <w:t>hektára.</w:t>
      </w:r>
    </w:p>
    <w:p w:rsidR="00DE4B28" w:rsidRDefault="00DE4B28" w:rsidP="00DE4B28">
      <w:pPr>
        <w:pStyle w:val="l2"/>
        <w:spacing w:before="0" w:beforeAutospacing="0" w:after="0" w:afterAutospacing="0"/>
        <w:jc w:val="both"/>
        <w:rPr>
          <w:b/>
          <w:bCs/>
        </w:rPr>
      </w:pPr>
    </w:p>
    <w:p w:rsidR="00676F00" w:rsidRDefault="00676F00" w:rsidP="00DE4B28">
      <w:pPr>
        <w:pStyle w:val="l2"/>
        <w:spacing w:before="0" w:beforeAutospacing="0" w:after="0" w:afterAutospacing="0"/>
        <w:jc w:val="both"/>
        <w:rPr>
          <w:bCs/>
          <w:color w:val="FF0000"/>
        </w:rPr>
      </w:pPr>
      <w:r w:rsidRPr="005058A6">
        <w:rPr>
          <w:bCs/>
        </w:rPr>
        <w:t>(3)</w:t>
      </w:r>
      <w:r>
        <w:rPr>
          <w:bCs/>
        </w:rPr>
        <w:t xml:space="preserve"> Hrani</w:t>
      </w:r>
      <w:r w:rsidRPr="005058A6">
        <w:rPr>
          <w:bCs/>
        </w:rPr>
        <w:t>c</w:t>
      </w:r>
      <w:r>
        <w:rPr>
          <w:bCs/>
        </w:rPr>
        <w:t>a prírodnej rezervácie</w:t>
      </w:r>
      <w:r w:rsidRPr="005058A6">
        <w:rPr>
          <w:bCs/>
        </w:rPr>
        <w:t xml:space="preserve"> </w:t>
      </w:r>
      <w:r>
        <w:rPr>
          <w:bCs/>
        </w:rPr>
        <w:t>je vymedzená v prílohe č. 2</w:t>
      </w:r>
      <w:r w:rsidRPr="00537F3E">
        <w:rPr>
          <w:bCs/>
        </w:rPr>
        <w:t>.</w:t>
      </w:r>
      <w:r w:rsidRPr="002F6FB7">
        <w:rPr>
          <w:bCs/>
          <w:color w:val="FF0000"/>
        </w:rPr>
        <w:t xml:space="preserve">  </w:t>
      </w:r>
    </w:p>
    <w:p w:rsidR="00676F00" w:rsidRPr="00537F3E" w:rsidRDefault="00676F00" w:rsidP="00DE4B28">
      <w:pPr>
        <w:pStyle w:val="l2"/>
        <w:spacing w:before="0" w:beforeAutospacing="0" w:after="0" w:afterAutospacing="0"/>
        <w:jc w:val="both"/>
      </w:pPr>
    </w:p>
    <w:p w:rsidR="00676F00" w:rsidRPr="00537F3E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F3E">
        <w:rPr>
          <w:rFonts w:ascii="Times New Roman" w:hAnsi="Times New Roman"/>
          <w:b/>
          <w:bCs/>
          <w:sz w:val="24"/>
          <w:szCs w:val="24"/>
        </w:rPr>
        <w:t>§ 3</w:t>
      </w:r>
    </w:p>
    <w:p w:rsidR="00676F00" w:rsidRDefault="00676F00" w:rsidP="00DE4B28">
      <w:pPr>
        <w:pStyle w:val="l2"/>
        <w:spacing w:before="0" w:beforeAutospacing="0" w:after="0" w:afterAutospacing="0"/>
        <w:jc w:val="both"/>
        <w:rPr>
          <w:rStyle w:val="num"/>
          <w:color w:val="000000"/>
        </w:rPr>
      </w:pPr>
    </w:p>
    <w:p w:rsidR="00676F00" w:rsidRDefault="00676F00" w:rsidP="00DE4B28">
      <w:pPr>
        <w:pStyle w:val="l2"/>
        <w:spacing w:before="0" w:beforeAutospacing="0" w:after="0" w:afterAutospacing="0"/>
        <w:jc w:val="both"/>
        <w:rPr>
          <w:color w:val="000000"/>
        </w:rPr>
      </w:pPr>
      <w:r w:rsidRPr="00393F32">
        <w:rPr>
          <w:rStyle w:val="num"/>
          <w:color w:val="000000"/>
        </w:rPr>
        <w:t>(1)</w:t>
      </w:r>
      <w:r w:rsidRPr="00393F32">
        <w:rPr>
          <w:color w:val="000000"/>
        </w:rPr>
        <w:t xml:space="preserve"> Na území</w:t>
      </w:r>
      <w:r>
        <w:rPr>
          <w:color w:val="000000"/>
        </w:rPr>
        <w:t xml:space="preserve"> prírodnej rezervácie platí piaty</w:t>
      </w:r>
      <w:r w:rsidRPr="00393F32">
        <w:rPr>
          <w:color w:val="000000"/>
        </w:rPr>
        <w:t xml:space="preserve"> stupeň ochrany.</w:t>
      </w:r>
    </w:p>
    <w:p w:rsidR="00DE4B28" w:rsidRPr="00393F32" w:rsidRDefault="00DE4B28" w:rsidP="00DE4B28">
      <w:pPr>
        <w:pStyle w:val="l2"/>
        <w:spacing w:before="0" w:beforeAutospacing="0" w:after="0" w:afterAutospacing="0"/>
        <w:jc w:val="both"/>
        <w:rPr>
          <w:color w:val="000000"/>
        </w:rPr>
      </w:pPr>
    </w:p>
    <w:p w:rsidR="00676F00" w:rsidRPr="00393F32" w:rsidRDefault="00676F00" w:rsidP="00DE4B2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F32">
        <w:rPr>
          <w:rStyle w:val="num"/>
          <w:rFonts w:ascii="Times New Roman" w:hAnsi="Times New Roman"/>
          <w:color w:val="000000"/>
          <w:sz w:val="24"/>
          <w:szCs w:val="24"/>
        </w:rPr>
        <w:t>(2) Pre</w:t>
      </w:r>
      <w:r>
        <w:rPr>
          <w:rStyle w:val="num"/>
          <w:rFonts w:ascii="Times New Roman" w:hAnsi="Times New Roman"/>
          <w:color w:val="000000"/>
          <w:sz w:val="24"/>
          <w:szCs w:val="24"/>
        </w:rPr>
        <w:t xml:space="preserve"> prírodn</w:t>
      </w:r>
      <w:r w:rsidRPr="00393F32">
        <w:rPr>
          <w:rStyle w:val="num"/>
          <w:rFonts w:ascii="Times New Roman" w:hAnsi="Times New Roman"/>
          <w:color w:val="000000"/>
          <w:sz w:val="24"/>
          <w:szCs w:val="24"/>
        </w:rPr>
        <w:t xml:space="preserve">ú rezerváciu </w:t>
      </w:r>
      <w:r>
        <w:rPr>
          <w:rStyle w:val="num"/>
          <w:rFonts w:ascii="Times New Roman" w:hAnsi="Times New Roman"/>
          <w:color w:val="000000"/>
          <w:sz w:val="24"/>
          <w:szCs w:val="24"/>
        </w:rPr>
        <w:t> </w:t>
      </w:r>
      <w:r w:rsidRPr="004E5254">
        <w:rPr>
          <w:rStyle w:val="num"/>
          <w:rFonts w:ascii="Times New Roman" w:hAnsi="Times New Roman"/>
          <w:color w:val="000000"/>
          <w:sz w:val="24"/>
          <w:szCs w:val="24"/>
        </w:rPr>
        <w:t>neplatí  ochranné pásmo podľa § 17 ods. 7 zákona</w:t>
      </w:r>
      <w:r w:rsidRPr="00393F32">
        <w:rPr>
          <w:rStyle w:val="num"/>
          <w:rFonts w:ascii="Times New Roman" w:hAnsi="Times New Roman"/>
          <w:color w:val="000000"/>
          <w:sz w:val="24"/>
          <w:szCs w:val="24"/>
        </w:rPr>
        <w:t>.</w:t>
      </w:r>
    </w:p>
    <w:p w:rsidR="00676F00" w:rsidRDefault="00676F00" w:rsidP="00DE4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6F00" w:rsidRPr="00537F3E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7F3E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5538A0" w:rsidRDefault="005538A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76F00" w:rsidRPr="00273D31" w:rsidRDefault="00676F00" w:rsidP="00DE4B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Mapa, v ktorej</w:t>
      </w:r>
      <w:r w:rsidRPr="000B6A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Pr="000B6A6C">
        <w:rPr>
          <w:rFonts w:ascii="Times New Roman" w:hAnsi="Times New Roman"/>
          <w:sz w:val="24"/>
          <w:szCs w:val="24"/>
        </w:rPr>
        <w:t xml:space="preserve"> zakreslen</w:t>
      </w:r>
      <w:r>
        <w:rPr>
          <w:rFonts w:ascii="Times New Roman" w:hAnsi="Times New Roman"/>
          <w:sz w:val="24"/>
          <w:szCs w:val="24"/>
        </w:rPr>
        <w:t>á</w:t>
      </w:r>
      <w:r w:rsidRPr="000B6A6C">
        <w:rPr>
          <w:rFonts w:ascii="Times New Roman" w:hAnsi="Times New Roman"/>
          <w:sz w:val="24"/>
          <w:szCs w:val="24"/>
        </w:rPr>
        <w:t xml:space="preserve"> hranic</w:t>
      </w:r>
      <w:r>
        <w:rPr>
          <w:rFonts w:ascii="Times New Roman" w:hAnsi="Times New Roman"/>
          <w:sz w:val="24"/>
          <w:szCs w:val="24"/>
        </w:rPr>
        <w:t>a prírodnej rezervácie, je uložená</w:t>
      </w:r>
      <w:r w:rsidRPr="000B6A6C">
        <w:rPr>
          <w:rFonts w:ascii="Times New Roman" w:hAnsi="Times New Roman"/>
          <w:sz w:val="24"/>
          <w:szCs w:val="24"/>
        </w:rPr>
        <w:t xml:space="preserve"> na Ministerstve životného prostredia Slovenskej republiky. </w:t>
      </w:r>
      <w:r w:rsidRPr="003200F4">
        <w:rPr>
          <w:rFonts w:ascii="Times New Roman" w:hAnsi="Times New Roman"/>
          <w:iCs/>
          <w:sz w:val="24"/>
          <w:szCs w:val="24"/>
        </w:rPr>
        <w:t>Grafické podklady, v ktorých je zakreslená hranica prírodnej rezervácie sú uložené na Okresnom úrade Snina.</w:t>
      </w:r>
    </w:p>
    <w:p w:rsidR="00676F00" w:rsidRPr="00537F3E" w:rsidRDefault="00676F00" w:rsidP="00DE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00" w:rsidRPr="00537F3E" w:rsidRDefault="00676F00" w:rsidP="00DE4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37F3E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676F00" w:rsidRDefault="00676F00" w:rsidP="00DE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00" w:rsidRPr="00537F3E" w:rsidRDefault="00676F00" w:rsidP="00DE4B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7F3E">
        <w:rPr>
          <w:rFonts w:ascii="Times New Roman" w:hAnsi="Times New Roman"/>
          <w:sz w:val="24"/>
          <w:szCs w:val="24"/>
        </w:rPr>
        <w:t xml:space="preserve">Toto nariadenie vlády nadobúda účinnosť </w:t>
      </w:r>
      <w:r>
        <w:rPr>
          <w:rFonts w:ascii="Times New Roman" w:hAnsi="Times New Roman"/>
          <w:sz w:val="24"/>
          <w:szCs w:val="24"/>
        </w:rPr>
        <w:t xml:space="preserve">1. </w:t>
      </w:r>
      <w:r w:rsidR="005538A0">
        <w:rPr>
          <w:rFonts w:ascii="Times New Roman" w:hAnsi="Times New Roman"/>
          <w:sz w:val="24"/>
          <w:szCs w:val="24"/>
        </w:rPr>
        <w:t>januára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7F3E">
        <w:rPr>
          <w:rFonts w:ascii="Times New Roman" w:hAnsi="Times New Roman"/>
          <w:sz w:val="24"/>
          <w:szCs w:val="24"/>
        </w:rPr>
        <w:t>201</w:t>
      </w:r>
      <w:r w:rsidR="005538A0">
        <w:rPr>
          <w:rFonts w:ascii="Times New Roman" w:hAnsi="Times New Roman"/>
          <w:sz w:val="24"/>
          <w:szCs w:val="24"/>
        </w:rPr>
        <w:t>6</w:t>
      </w:r>
      <w:r w:rsidRPr="00537F3E">
        <w:rPr>
          <w:rFonts w:ascii="Times New Roman" w:hAnsi="Times New Roman"/>
          <w:sz w:val="24"/>
          <w:szCs w:val="24"/>
        </w:rPr>
        <w:t>.</w:t>
      </w:r>
    </w:p>
    <w:p w:rsidR="00676F00" w:rsidRDefault="00676F00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537F3E">
        <w:rPr>
          <w:rFonts w:ascii="Times New Roman" w:hAnsi="Times New Roman"/>
          <w:sz w:val="24"/>
          <w:szCs w:val="24"/>
        </w:rPr>
        <w:br w:type="page"/>
      </w:r>
      <w:bookmarkStart w:id="1" w:name="p2-a"/>
      <w:bookmarkStart w:id="2" w:name="p4-1"/>
      <w:bookmarkEnd w:id="1"/>
      <w:bookmarkEnd w:id="2"/>
      <w:r>
        <w:rPr>
          <w:rFonts w:ascii="Times New Roman" w:hAnsi="Times New Roman"/>
          <w:sz w:val="24"/>
          <w:szCs w:val="24"/>
        </w:rPr>
        <w:lastRenderedPageBreak/>
        <w:t>Príloha č. 1</w:t>
      </w:r>
    </w:p>
    <w:p w:rsidR="00676F00" w:rsidRDefault="00676F00" w:rsidP="00DE4B28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 w:rsidRPr="00C30E62">
        <w:rPr>
          <w:rFonts w:ascii="Times New Roman" w:hAnsi="Times New Roman"/>
          <w:sz w:val="24"/>
          <w:szCs w:val="24"/>
        </w:rPr>
        <w:t>k nariadeniu vlády č. ... Z. z.</w:t>
      </w:r>
    </w:p>
    <w:p w:rsidR="00273D31" w:rsidRDefault="00273D31" w:rsidP="00DE4B28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76F00" w:rsidRPr="003200F4" w:rsidRDefault="00676F00" w:rsidP="00DE4B28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200F4">
        <w:rPr>
          <w:rFonts w:ascii="Times New Roman" w:hAnsi="Times New Roman"/>
          <w:b/>
          <w:caps/>
          <w:sz w:val="24"/>
          <w:szCs w:val="24"/>
        </w:rPr>
        <w:t>Predmet ochrany prírodnej rezervácie</w:t>
      </w:r>
    </w:p>
    <w:p w:rsidR="00676F00" w:rsidRDefault="00676F00" w:rsidP="00DE4B28">
      <w:pPr>
        <w:autoSpaceDE w:val="0"/>
        <w:autoSpaceDN w:val="0"/>
        <w:spacing w:after="0" w:line="240" w:lineRule="auto"/>
      </w:pPr>
    </w:p>
    <w:p w:rsidR="00676F00" w:rsidRPr="003943FF" w:rsidRDefault="00676F00" w:rsidP="00DE4B2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43FF">
        <w:rPr>
          <w:rFonts w:ascii="Times New Roman" w:hAnsi="Times New Roman"/>
          <w:sz w:val="24"/>
          <w:szCs w:val="24"/>
        </w:rPr>
        <w:t>Komplex lesných spoločenstiev, podstatne nezmenených ľudskou či</w:t>
      </w:r>
      <w:r>
        <w:rPr>
          <w:rFonts w:ascii="Times New Roman" w:hAnsi="Times New Roman"/>
          <w:sz w:val="24"/>
          <w:szCs w:val="24"/>
        </w:rPr>
        <w:t>nnosťou, ktoré sú súčasťou územia</w:t>
      </w:r>
      <w:r w:rsidRPr="003943FF">
        <w:rPr>
          <w:rFonts w:ascii="Times New Roman" w:hAnsi="Times New Roman"/>
          <w:sz w:val="24"/>
          <w:szCs w:val="24"/>
        </w:rPr>
        <w:t xml:space="preserve"> medzinárodného významu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43FF">
        <w:rPr>
          <w:rFonts w:ascii="Times New Roman" w:hAnsi="Times New Roman"/>
          <w:sz w:val="24"/>
          <w:szCs w:val="24"/>
        </w:rPr>
        <w:t>lokality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3943FF">
        <w:rPr>
          <w:rFonts w:ascii="Times New Roman" w:hAnsi="Times New Roman"/>
          <w:sz w:val="24"/>
          <w:szCs w:val="24"/>
        </w:rPr>
        <w:t>Karpatské bukové prales</w:t>
      </w:r>
      <w:r>
        <w:rPr>
          <w:rFonts w:ascii="Times New Roman" w:hAnsi="Times New Roman"/>
          <w:sz w:val="24"/>
          <w:szCs w:val="24"/>
        </w:rPr>
        <w:t>y a staré bukové lesy Nemecka“</w:t>
      </w:r>
      <w:r w:rsidRPr="003943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zapísanej v Zozname</w:t>
      </w:r>
      <w:r w:rsidRPr="003943FF">
        <w:rPr>
          <w:rFonts w:ascii="Times New Roman" w:hAnsi="Times New Roman"/>
          <w:sz w:val="24"/>
          <w:szCs w:val="24"/>
        </w:rPr>
        <w:t xml:space="preserve"> svetového </w:t>
      </w:r>
      <w:r>
        <w:rPr>
          <w:rFonts w:ascii="Times New Roman" w:hAnsi="Times New Roman"/>
          <w:sz w:val="24"/>
          <w:szCs w:val="24"/>
        </w:rPr>
        <w:t>dedičstva.</w:t>
      </w:r>
      <w:r w:rsidR="005471E3" w:rsidRPr="005471E3">
        <w:rPr>
          <w:rFonts w:ascii="Times New Roman" w:hAnsi="Times New Roman"/>
          <w:sz w:val="24"/>
          <w:szCs w:val="24"/>
          <w:vertAlign w:val="superscript"/>
        </w:rPr>
        <w:t>1</w:t>
      </w:r>
      <w:r w:rsidR="005471E3">
        <w:rPr>
          <w:rFonts w:ascii="Times New Roman" w:hAnsi="Times New Roman"/>
          <w:sz w:val="24"/>
          <w:szCs w:val="24"/>
        </w:rPr>
        <w:t xml:space="preserve">) </w:t>
      </w:r>
    </w:p>
    <w:p w:rsidR="00676F00" w:rsidRPr="003943FF" w:rsidRDefault="00676F00" w:rsidP="00DE4B2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6F00" w:rsidRPr="003943FF" w:rsidRDefault="00676F00" w:rsidP="00DE4B2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43FF">
        <w:rPr>
          <w:rFonts w:ascii="Times New Roman" w:hAnsi="Times New Roman"/>
          <w:sz w:val="24"/>
          <w:szCs w:val="24"/>
        </w:rPr>
        <w:t>Biotopy európskeho významu: Ls4 Lipovo-javorové sutinové lesy (</w:t>
      </w:r>
      <w:r w:rsidR="00C32D81" w:rsidRPr="003943FF">
        <w:rPr>
          <w:rFonts w:ascii="Times New Roman" w:hAnsi="Times New Roman"/>
          <w:sz w:val="24"/>
          <w:szCs w:val="24"/>
        </w:rPr>
        <w:t>*</w:t>
      </w:r>
      <w:r w:rsidR="00C32D81">
        <w:rPr>
          <w:rFonts w:ascii="Times New Roman" w:hAnsi="Times New Roman"/>
          <w:sz w:val="24"/>
          <w:szCs w:val="24"/>
        </w:rPr>
        <w:t xml:space="preserve"> </w:t>
      </w:r>
      <w:r w:rsidRPr="003943FF">
        <w:rPr>
          <w:rFonts w:ascii="Times New Roman" w:hAnsi="Times New Roman"/>
          <w:sz w:val="24"/>
          <w:szCs w:val="24"/>
        </w:rPr>
        <w:t xml:space="preserve">9180), Ls5.1 Bukové a jedľovo-bukové kvetnaté lesy (9130), Ls5.2 </w:t>
      </w:r>
      <w:proofErr w:type="spellStart"/>
      <w:r w:rsidRPr="003943FF">
        <w:rPr>
          <w:rFonts w:ascii="Times New Roman" w:hAnsi="Times New Roman"/>
          <w:sz w:val="24"/>
          <w:szCs w:val="24"/>
        </w:rPr>
        <w:t>Kyslomilné</w:t>
      </w:r>
      <w:proofErr w:type="spellEnd"/>
      <w:r w:rsidRPr="003943FF">
        <w:rPr>
          <w:rFonts w:ascii="Times New Roman" w:hAnsi="Times New Roman"/>
          <w:sz w:val="24"/>
          <w:szCs w:val="24"/>
        </w:rPr>
        <w:t xml:space="preserve"> bukové lesy (9110), Ls5.3 Javorovo-bukové horské lesy (9140)</w:t>
      </w:r>
      <w:r w:rsidR="009A025B">
        <w:rPr>
          <w:rFonts w:ascii="Times New Roman" w:hAnsi="Times New Roman"/>
          <w:sz w:val="24"/>
          <w:szCs w:val="24"/>
        </w:rPr>
        <w:t>.</w:t>
      </w:r>
      <w:r w:rsidR="005471E3">
        <w:rPr>
          <w:rFonts w:ascii="Times New Roman" w:hAnsi="Times New Roman"/>
          <w:sz w:val="24"/>
          <w:szCs w:val="24"/>
        </w:rPr>
        <w:t xml:space="preserve"> </w:t>
      </w:r>
    </w:p>
    <w:p w:rsidR="00676F00" w:rsidRPr="003943FF" w:rsidRDefault="00676F00" w:rsidP="00DE4B28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76F00" w:rsidRPr="003943FF" w:rsidRDefault="00676F00" w:rsidP="00DE4B28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43FF">
        <w:rPr>
          <w:rFonts w:ascii="Times New Roman" w:hAnsi="Times New Roman"/>
          <w:sz w:val="24"/>
          <w:szCs w:val="24"/>
        </w:rPr>
        <w:t xml:space="preserve">Druhy živočíchov európskeho významu: </w:t>
      </w:r>
      <w:proofErr w:type="spellStart"/>
      <w:r w:rsidRPr="003943FF">
        <w:rPr>
          <w:rFonts w:ascii="Times New Roman" w:hAnsi="Times New Roman"/>
          <w:sz w:val="24"/>
          <w:szCs w:val="24"/>
        </w:rPr>
        <w:t>kunka</w:t>
      </w:r>
      <w:proofErr w:type="spellEnd"/>
      <w:r w:rsidRPr="003943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sz w:val="24"/>
          <w:szCs w:val="24"/>
        </w:rPr>
        <w:t>žltobruchá</w:t>
      </w:r>
      <w:proofErr w:type="spellEnd"/>
      <w:r w:rsidRPr="003943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Bombina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variegata</w:t>
      </w:r>
      <w:proofErr w:type="spellEnd"/>
      <w:r w:rsidRPr="003943FF">
        <w:rPr>
          <w:rFonts w:ascii="Times New Roman" w:hAnsi="Times New Roman"/>
          <w:sz w:val="24"/>
          <w:szCs w:val="24"/>
        </w:rPr>
        <w:t>), mlok karpatský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Triturus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montandoni</w:t>
      </w:r>
      <w:proofErr w:type="spellEnd"/>
      <w:r w:rsidRPr="003943FF">
        <w:rPr>
          <w:rFonts w:ascii="Times New Roman" w:hAnsi="Times New Roman"/>
          <w:sz w:val="24"/>
          <w:szCs w:val="24"/>
        </w:rPr>
        <w:t>), jariabok hôrny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Bonasa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bonasia</w:t>
      </w:r>
      <w:proofErr w:type="spellEnd"/>
      <w:r w:rsidRPr="003943FF">
        <w:rPr>
          <w:rFonts w:ascii="Times New Roman" w:hAnsi="Times New Roman"/>
          <w:sz w:val="24"/>
          <w:szCs w:val="24"/>
        </w:rPr>
        <w:t xml:space="preserve">), ďateľ </w:t>
      </w:r>
      <w:proofErr w:type="spellStart"/>
      <w:r w:rsidRPr="003943FF">
        <w:rPr>
          <w:rFonts w:ascii="Times New Roman" w:hAnsi="Times New Roman"/>
          <w:sz w:val="24"/>
          <w:szCs w:val="24"/>
        </w:rPr>
        <w:t>bielochrbtý</w:t>
      </w:r>
      <w:proofErr w:type="spellEnd"/>
      <w:r w:rsidRPr="003943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943FF">
        <w:rPr>
          <w:rFonts w:ascii="Times New Roman" w:hAnsi="Times New Roman"/>
          <w:sz w:val="24"/>
          <w:szCs w:val="24"/>
        </w:rPr>
        <w:t>Dendrocopos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leucotos</w:t>
      </w:r>
      <w:proofErr w:type="spellEnd"/>
      <w:r w:rsidRPr="003943FF">
        <w:rPr>
          <w:rFonts w:ascii="Times New Roman" w:hAnsi="Times New Roman"/>
          <w:sz w:val="24"/>
          <w:szCs w:val="24"/>
        </w:rPr>
        <w:t>), ďateľ čierny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Dryocopus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martius</w:t>
      </w:r>
      <w:proofErr w:type="spellEnd"/>
      <w:r w:rsidRPr="003943FF">
        <w:rPr>
          <w:rFonts w:ascii="Times New Roman" w:hAnsi="Times New Roman"/>
          <w:sz w:val="24"/>
          <w:szCs w:val="24"/>
        </w:rPr>
        <w:t xml:space="preserve">), muchárik </w:t>
      </w:r>
      <w:proofErr w:type="spellStart"/>
      <w:r w:rsidRPr="003943FF">
        <w:rPr>
          <w:rFonts w:ascii="Times New Roman" w:hAnsi="Times New Roman"/>
          <w:sz w:val="24"/>
          <w:szCs w:val="24"/>
        </w:rPr>
        <w:t>červenohrdlý</w:t>
      </w:r>
      <w:proofErr w:type="spellEnd"/>
      <w:r w:rsidRPr="003943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Ficedula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parva</w:t>
      </w:r>
      <w:proofErr w:type="spellEnd"/>
      <w:r w:rsidRPr="003943FF">
        <w:rPr>
          <w:rFonts w:ascii="Times New Roman" w:hAnsi="Times New Roman"/>
          <w:sz w:val="24"/>
          <w:szCs w:val="24"/>
        </w:rPr>
        <w:t xml:space="preserve">), muchárik </w:t>
      </w:r>
      <w:proofErr w:type="spellStart"/>
      <w:r w:rsidRPr="003943FF">
        <w:rPr>
          <w:rFonts w:ascii="Times New Roman" w:hAnsi="Times New Roman"/>
          <w:sz w:val="24"/>
          <w:szCs w:val="24"/>
        </w:rPr>
        <w:t>bielokrký</w:t>
      </w:r>
      <w:proofErr w:type="spellEnd"/>
      <w:r w:rsidRPr="003943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Ficedula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albicollis</w:t>
      </w:r>
      <w:proofErr w:type="spellEnd"/>
      <w:r w:rsidRPr="003943FF">
        <w:rPr>
          <w:rFonts w:ascii="Times New Roman" w:hAnsi="Times New Roman"/>
          <w:sz w:val="24"/>
          <w:szCs w:val="24"/>
        </w:rPr>
        <w:t>), včelár lesný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Pernis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apivorus</w:t>
      </w:r>
      <w:proofErr w:type="spellEnd"/>
      <w:r w:rsidRPr="003943FF">
        <w:rPr>
          <w:rFonts w:ascii="Times New Roman" w:hAnsi="Times New Roman"/>
          <w:sz w:val="24"/>
          <w:szCs w:val="24"/>
        </w:rPr>
        <w:t>), žlna sivá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Picus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canus</w:t>
      </w:r>
      <w:proofErr w:type="spellEnd"/>
      <w:r w:rsidRPr="003943FF">
        <w:rPr>
          <w:rFonts w:ascii="Times New Roman" w:hAnsi="Times New Roman"/>
          <w:sz w:val="24"/>
          <w:szCs w:val="24"/>
        </w:rPr>
        <w:t>), sova dlhochvostá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Strix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uralensis</w:t>
      </w:r>
      <w:proofErr w:type="spellEnd"/>
      <w:r w:rsidRPr="003943F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943FF">
        <w:rPr>
          <w:rFonts w:ascii="Times New Roman" w:hAnsi="Times New Roman"/>
          <w:sz w:val="24"/>
          <w:szCs w:val="24"/>
        </w:rPr>
        <w:t>myšovka</w:t>
      </w:r>
      <w:proofErr w:type="spellEnd"/>
      <w:r w:rsidRPr="003943FF">
        <w:rPr>
          <w:rFonts w:ascii="Times New Roman" w:hAnsi="Times New Roman"/>
          <w:sz w:val="24"/>
          <w:szCs w:val="24"/>
        </w:rPr>
        <w:t xml:space="preserve"> horská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Sicista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betulina</w:t>
      </w:r>
      <w:proofErr w:type="spellEnd"/>
      <w:r w:rsidRPr="003943FF">
        <w:rPr>
          <w:rFonts w:ascii="Times New Roman" w:hAnsi="Times New Roman"/>
          <w:sz w:val="24"/>
          <w:szCs w:val="24"/>
        </w:rPr>
        <w:t>), zubor hrivnatý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Bison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bonasus</w:t>
      </w:r>
      <w:proofErr w:type="spellEnd"/>
      <w:r w:rsidRPr="003943FF">
        <w:rPr>
          <w:rFonts w:ascii="Times New Roman" w:hAnsi="Times New Roman"/>
          <w:sz w:val="24"/>
          <w:szCs w:val="24"/>
        </w:rPr>
        <w:t>), vlk obyčajný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Canis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lupus</w:t>
      </w:r>
      <w:proofErr w:type="spellEnd"/>
      <w:r w:rsidRPr="003943FF">
        <w:rPr>
          <w:rFonts w:ascii="Times New Roman" w:hAnsi="Times New Roman"/>
          <w:sz w:val="24"/>
          <w:szCs w:val="24"/>
        </w:rPr>
        <w:t>), rys ostrovid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Lynx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lynx</w:t>
      </w:r>
      <w:proofErr w:type="spellEnd"/>
      <w:r w:rsidRPr="003943FF">
        <w:rPr>
          <w:rFonts w:ascii="Times New Roman" w:hAnsi="Times New Roman"/>
          <w:sz w:val="24"/>
          <w:szCs w:val="24"/>
        </w:rPr>
        <w:t>), medveď hnedý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Ursus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arctos</w:t>
      </w:r>
      <w:proofErr w:type="spellEnd"/>
      <w:r w:rsidRPr="003943FF">
        <w:rPr>
          <w:rFonts w:ascii="Times New Roman" w:hAnsi="Times New Roman"/>
          <w:sz w:val="24"/>
          <w:szCs w:val="24"/>
        </w:rPr>
        <w:t>) a fuzáč alpský (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Rosalia</w:t>
      </w:r>
      <w:proofErr w:type="spellEnd"/>
      <w:r w:rsidRPr="003943FF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3943FF">
        <w:rPr>
          <w:rFonts w:ascii="Times New Roman" w:hAnsi="Times New Roman"/>
          <w:i/>
          <w:iCs/>
          <w:sz w:val="24"/>
          <w:szCs w:val="24"/>
        </w:rPr>
        <w:t>alpina</w:t>
      </w:r>
      <w:proofErr w:type="spellEnd"/>
      <w:r w:rsidRPr="003943FF">
        <w:rPr>
          <w:rFonts w:ascii="Times New Roman" w:hAnsi="Times New Roman"/>
          <w:sz w:val="24"/>
          <w:szCs w:val="24"/>
        </w:rPr>
        <w:t xml:space="preserve">). </w:t>
      </w:r>
    </w:p>
    <w:p w:rsidR="00676F00" w:rsidRPr="003943FF" w:rsidRDefault="00676F00" w:rsidP="00DE4B2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3FF">
        <w:rPr>
          <w:rFonts w:ascii="Times New Roman" w:hAnsi="Times New Roman"/>
          <w:sz w:val="24"/>
          <w:szCs w:val="24"/>
        </w:rPr>
        <w:t> </w:t>
      </w:r>
    </w:p>
    <w:p w:rsidR="00111F23" w:rsidRDefault="00111F23" w:rsidP="00DE4B2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</w:t>
      </w:r>
      <w:r w:rsidR="00676F00">
        <w:rPr>
          <w:rFonts w:ascii="Times New Roman" w:hAnsi="Times New Roman"/>
          <w:sz w:val="24"/>
          <w:szCs w:val="24"/>
        </w:rPr>
        <w:t>:</w:t>
      </w:r>
      <w:r w:rsidRPr="00111F23">
        <w:rPr>
          <w:rFonts w:ascii="Times New Roman" w:hAnsi="Times New Roman"/>
          <w:sz w:val="24"/>
          <w:szCs w:val="24"/>
        </w:rPr>
        <w:t xml:space="preserve"> </w:t>
      </w:r>
    </w:p>
    <w:p w:rsidR="00676F00" w:rsidRDefault="00111F23" w:rsidP="00DE4B2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Biotopy európskeho významu sú označené v súlade s prílohou č. 1 časť B k vyhláške                č. 24/2003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 xml:space="preserve">., ktorou sa </w:t>
      </w:r>
      <w:r w:rsidRPr="005471E3">
        <w:rPr>
          <w:rFonts w:ascii="Times New Roman" w:hAnsi="Times New Roman"/>
          <w:sz w:val="24"/>
          <w:szCs w:val="24"/>
        </w:rPr>
        <w:t xml:space="preserve">vykonáva zákon č. 543/2002 </w:t>
      </w:r>
      <w:proofErr w:type="spellStart"/>
      <w:r w:rsidRPr="005471E3">
        <w:rPr>
          <w:rFonts w:ascii="Times New Roman" w:hAnsi="Times New Roman"/>
          <w:sz w:val="24"/>
          <w:szCs w:val="24"/>
        </w:rPr>
        <w:t>Z.z</w:t>
      </w:r>
      <w:proofErr w:type="spellEnd"/>
      <w:r w:rsidRPr="005471E3">
        <w:rPr>
          <w:rFonts w:ascii="Times New Roman" w:hAnsi="Times New Roman"/>
          <w:sz w:val="24"/>
          <w:szCs w:val="24"/>
        </w:rPr>
        <w:t>. o ochrane prírody a</w:t>
      </w:r>
      <w:r>
        <w:rPr>
          <w:rFonts w:ascii="Times New Roman" w:hAnsi="Times New Roman"/>
          <w:sz w:val="24"/>
          <w:szCs w:val="24"/>
        </w:rPr>
        <w:t> </w:t>
      </w:r>
      <w:r w:rsidRPr="005471E3">
        <w:rPr>
          <w:rFonts w:ascii="Times New Roman" w:hAnsi="Times New Roman"/>
          <w:sz w:val="24"/>
          <w:szCs w:val="24"/>
        </w:rPr>
        <w:t>krajiny</w:t>
      </w:r>
      <w:r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111F23" w:rsidRDefault="00111F23" w:rsidP="00DE4B2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1F23" w:rsidRDefault="00111F23" w:rsidP="00DE4B2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 odkazu 1 znie: </w:t>
      </w:r>
    </w:p>
    <w:p w:rsidR="00676F00" w:rsidRPr="003943FF" w:rsidRDefault="00111F23" w:rsidP="00DE4B2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32D81">
        <w:rPr>
          <w:rFonts w:ascii="Times New Roman" w:hAnsi="Times New Roman"/>
          <w:sz w:val="24"/>
          <w:szCs w:val="24"/>
        </w:rPr>
        <w:t>1</w:t>
      </w:r>
      <w:r w:rsidR="005471E3">
        <w:rPr>
          <w:rFonts w:ascii="Times New Roman" w:hAnsi="Times New Roman"/>
          <w:sz w:val="24"/>
          <w:szCs w:val="24"/>
        </w:rPr>
        <w:t>)</w:t>
      </w:r>
      <w:r w:rsidR="00C32D81">
        <w:rPr>
          <w:rFonts w:ascii="Times New Roman" w:hAnsi="Times New Roman"/>
          <w:sz w:val="24"/>
          <w:szCs w:val="24"/>
        </w:rPr>
        <w:t xml:space="preserve"> </w:t>
      </w:r>
      <w:r w:rsidR="009A025B">
        <w:rPr>
          <w:rFonts w:ascii="Times New Roman" w:hAnsi="Times New Roman"/>
          <w:sz w:val="24"/>
          <w:szCs w:val="24"/>
        </w:rPr>
        <w:t>Čl. 11 ods. 2 D</w:t>
      </w:r>
      <w:r w:rsidR="00676F00" w:rsidRPr="00E9100E">
        <w:rPr>
          <w:rFonts w:ascii="Times New Roman" w:hAnsi="Times New Roman"/>
          <w:sz w:val="24"/>
          <w:szCs w:val="24"/>
        </w:rPr>
        <w:t>ohovor</w:t>
      </w:r>
      <w:r w:rsidR="00676F00">
        <w:rPr>
          <w:rFonts w:ascii="Times New Roman" w:hAnsi="Times New Roman"/>
          <w:sz w:val="24"/>
          <w:szCs w:val="24"/>
        </w:rPr>
        <w:t>u</w:t>
      </w:r>
      <w:r w:rsidR="00676F00" w:rsidRPr="00E9100E">
        <w:rPr>
          <w:rFonts w:ascii="Times New Roman" w:hAnsi="Times New Roman"/>
          <w:sz w:val="24"/>
          <w:szCs w:val="24"/>
        </w:rPr>
        <w:t xml:space="preserve"> o ochrane svetového kultúrneho a prírodného dedičstva (oznámenie Federálneho ministerstva zahraničných vecí č. 159/1991 Zb.)</w:t>
      </w:r>
      <w:r>
        <w:rPr>
          <w:rFonts w:ascii="Times New Roman" w:hAnsi="Times New Roman"/>
          <w:sz w:val="24"/>
          <w:szCs w:val="24"/>
        </w:rPr>
        <w:t>.“.</w:t>
      </w:r>
    </w:p>
    <w:p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00" w:rsidRPr="00DE4B28" w:rsidRDefault="00676F00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DE4B28">
        <w:rPr>
          <w:rFonts w:ascii="Times New Roman" w:hAnsi="Times New Roman"/>
          <w:sz w:val="24"/>
          <w:szCs w:val="24"/>
        </w:rPr>
        <w:t>Príloha č. 2</w:t>
      </w:r>
    </w:p>
    <w:p w:rsidR="00676F00" w:rsidRPr="00DE4B28" w:rsidRDefault="00676F00" w:rsidP="00DE4B28">
      <w:pPr>
        <w:spacing w:after="0" w:line="240" w:lineRule="auto"/>
        <w:ind w:left="4963" w:firstLine="709"/>
        <w:rPr>
          <w:rFonts w:ascii="Times New Roman" w:hAnsi="Times New Roman"/>
          <w:sz w:val="24"/>
          <w:szCs w:val="24"/>
        </w:rPr>
      </w:pPr>
      <w:r w:rsidRPr="00DE4B28">
        <w:rPr>
          <w:rFonts w:ascii="Times New Roman" w:hAnsi="Times New Roman"/>
          <w:sz w:val="24"/>
          <w:szCs w:val="24"/>
        </w:rPr>
        <w:t>k nariadeniu vlády č. ... Z. z.</w:t>
      </w:r>
    </w:p>
    <w:p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00" w:rsidRPr="003200F4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VYMEDZENIE HRANice</w:t>
      </w:r>
      <w:r w:rsidRPr="003200F4">
        <w:rPr>
          <w:rFonts w:ascii="Times New Roman" w:hAnsi="Times New Roman"/>
          <w:b/>
          <w:caps/>
          <w:sz w:val="24"/>
          <w:szCs w:val="24"/>
        </w:rPr>
        <w:t xml:space="preserve"> Prírodnej rezervácie</w:t>
      </w:r>
    </w:p>
    <w:p w:rsidR="00676F00" w:rsidRPr="00C30E62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1F" w:rsidRPr="00666E1F" w:rsidRDefault="00666E1F" w:rsidP="00DE4B28">
      <w:pPr>
        <w:pStyle w:val="l2"/>
        <w:spacing w:before="0" w:beforeAutospacing="0" w:after="0" w:afterAutospacing="0"/>
        <w:ind w:firstLine="708"/>
        <w:jc w:val="both"/>
        <w:rPr>
          <w:rFonts w:cs="Calibri"/>
        </w:rPr>
      </w:pPr>
      <w:r w:rsidRPr="00666E1F">
        <w:rPr>
          <w:rFonts w:cs="Calibri"/>
        </w:rPr>
        <w:t>Územie prírodnej rezervácie je vymedzené podľa vektorových katastrálnych máp so stavom katastra nehnuteľností k 1. januáru 2015 a podľa digitálnej lesníckej porastovej mapy pre Lesný hospodársky celok Zboj Lesný celok Lesy LPM Zboj (kód plánu LA073) so stavom k 1. januáru 2014, z ktorých bola hranica prírodnej rezervácie prenesená do digitálnej Základnej mapy Slovenskej republiky (SVM50) v mierke 1:50 000.</w:t>
      </w:r>
    </w:p>
    <w:p w:rsidR="00666E1F" w:rsidRPr="00666E1F" w:rsidRDefault="00666E1F" w:rsidP="00DE4B28">
      <w:pPr>
        <w:pStyle w:val="l2"/>
        <w:spacing w:before="0" w:beforeAutospacing="0" w:after="0" w:afterAutospacing="0"/>
        <w:jc w:val="both"/>
        <w:rPr>
          <w:b/>
        </w:rPr>
      </w:pPr>
    </w:p>
    <w:p w:rsidR="00666E1F" w:rsidRPr="003200F4" w:rsidRDefault="00666E1F" w:rsidP="00DE4B28">
      <w:pPr>
        <w:pStyle w:val="l2"/>
        <w:spacing w:before="0" w:beforeAutospacing="0" w:after="0" w:afterAutospacing="0"/>
        <w:jc w:val="center"/>
        <w:rPr>
          <w:b/>
        </w:rPr>
      </w:pPr>
      <w:r>
        <w:rPr>
          <w:b/>
        </w:rPr>
        <w:t>Popis hranice</w:t>
      </w:r>
      <w:r w:rsidRPr="003200F4">
        <w:rPr>
          <w:b/>
        </w:rPr>
        <w:t xml:space="preserve"> prírodnej rezervácie</w:t>
      </w:r>
    </w:p>
    <w:p w:rsidR="00676F00" w:rsidRPr="00BD165B" w:rsidRDefault="00676F00" w:rsidP="00DE4B28">
      <w:pPr>
        <w:pStyle w:val="Zkladntext2"/>
        <w:spacing w:after="0" w:line="240" w:lineRule="auto"/>
        <w:rPr>
          <w:sz w:val="24"/>
          <w:szCs w:val="24"/>
          <w:lang w:val="sk-SK"/>
        </w:rPr>
      </w:pPr>
    </w:p>
    <w:p w:rsidR="00676F00" w:rsidRDefault="00676F00" w:rsidP="00DE4B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0030">
        <w:rPr>
          <w:rFonts w:ascii="Times New Roman" w:hAnsi="Times New Roman"/>
          <w:sz w:val="24"/>
          <w:szCs w:val="24"/>
        </w:rPr>
        <w:t xml:space="preserve">Hranica </w:t>
      </w:r>
      <w:r>
        <w:rPr>
          <w:rFonts w:ascii="Times New Roman" w:hAnsi="Times New Roman"/>
          <w:sz w:val="24"/>
          <w:szCs w:val="24"/>
        </w:rPr>
        <w:t>prírodnej rezervácie</w:t>
      </w:r>
      <w:r w:rsidRPr="004B0030">
        <w:rPr>
          <w:rFonts w:ascii="Times New Roman" w:hAnsi="Times New Roman"/>
          <w:sz w:val="24"/>
          <w:szCs w:val="24"/>
        </w:rPr>
        <w:t xml:space="preserve"> vychádza </w:t>
      </w:r>
      <w:r>
        <w:rPr>
          <w:rFonts w:ascii="Times New Roman" w:hAnsi="Times New Roman"/>
          <w:sz w:val="24"/>
          <w:szCs w:val="24"/>
        </w:rPr>
        <w:t xml:space="preserve">z kóty Čierťaž </w:t>
      </w:r>
      <w:smartTag w:uri="urn:schemas-microsoft-com:office:smarttags" w:element="metricconverter">
        <w:smartTagPr>
          <w:attr w:name="ProductID" w:val="1 071 m"/>
        </w:smartTagPr>
        <w:r>
          <w:rPr>
            <w:rFonts w:ascii="Times New Roman" w:hAnsi="Times New Roman"/>
            <w:sz w:val="24"/>
            <w:szCs w:val="24"/>
          </w:rPr>
          <w:t>1 071 m</w:t>
        </w:r>
      </w:smartTag>
      <w:r>
        <w:rPr>
          <w:rFonts w:ascii="Times New Roman" w:hAnsi="Times New Roman"/>
          <w:sz w:val="24"/>
          <w:szCs w:val="24"/>
        </w:rPr>
        <w:t xml:space="preserve"> n. m. na </w:t>
      </w:r>
      <w:proofErr w:type="spellStart"/>
      <w:r>
        <w:rPr>
          <w:rFonts w:ascii="Times New Roman" w:hAnsi="Times New Roman"/>
          <w:sz w:val="24"/>
          <w:szCs w:val="24"/>
        </w:rPr>
        <w:t>slovensko</w:t>
      </w:r>
      <w:proofErr w:type="spellEnd"/>
      <w:r w:rsidR="009A02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-poľskej štátnej hranici, odtiaľ schádza po bočnom hrebienku </w:t>
      </w:r>
      <w:proofErr w:type="spellStart"/>
      <w:r>
        <w:rPr>
          <w:rFonts w:ascii="Times New Roman" w:hAnsi="Times New Roman"/>
          <w:sz w:val="24"/>
          <w:szCs w:val="24"/>
        </w:rPr>
        <w:t>juhojuhozápadným</w:t>
      </w:r>
      <w:proofErr w:type="spellEnd"/>
      <w:r>
        <w:rPr>
          <w:rFonts w:ascii="Times New Roman" w:hAnsi="Times New Roman"/>
          <w:sz w:val="24"/>
          <w:szCs w:val="24"/>
        </w:rPr>
        <w:t xml:space="preserve"> smerom po hranici medzi lesnými dielcami 148 a 189 až po hospodársky kopec č. 89. Tu pokračuje najprv západným neskôr juhozápadným smerom </w:t>
      </w:r>
      <w:r w:rsidRPr="007E14C1">
        <w:rPr>
          <w:rFonts w:ascii="Times New Roman" w:hAnsi="Times New Roman"/>
          <w:sz w:val="24"/>
          <w:szCs w:val="24"/>
        </w:rPr>
        <w:t>po hranici medzi lesnými dielcami 1</w:t>
      </w:r>
      <w:r>
        <w:rPr>
          <w:rFonts w:ascii="Times New Roman" w:hAnsi="Times New Roman"/>
          <w:sz w:val="24"/>
          <w:szCs w:val="24"/>
        </w:rPr>
        <w:t>8</w:t>
      </w:r>
      <w:r w:rsidRPr="007E14C1">
        <w:rPr>
          <w:rFonts w:ascii="Times New Roman" w:hAnsi="Times New Roman"/>
          <w:sz w:val="24"/>
          <w:szCs w:val="24"/>
        </w:rPr>
        <w:t>8 a</w:t>
      </w:r>
      <w:r>
        <w:rPr>
          <w:rFonts w:ascii="Times New Roman" w:hAnsi="Times New Roman"/>
          <w:sz w:val="24"/>
          <w:szCs w:val="24"/>
        </w:rPr>
        <w:t> </w:t>
      </w:r>
      <w:r w:rsidRPr="007E14C1">
        <w:rPr>
          <w:rFonts w:ascii="Times New Roman" w:hAnsi="Times New Roman"/>
          <w:sz w:val="24"/>
          <w:szCs w:val="24"/>
        </w:rPr>
        <w:t>189</w:t>
      </w:r>
      <w:r>
        <w:rPr>
          <w:rFonts w:ascii="Times New Roman" w:hAnsi="Times New Roman"/>
          <w:sz w:val="24"/>
          <w:szCs w:val="24"/>
        </w:rPr>
        <w:t xml:space="preserve"> a schádza na lesnú cestu – zvážnicu C11 idúcu z doliny Zbojského potoka na poľovnícku chatu </w:t>
      </w:r>
      <w:proofErr w:type="spellStart"/>
      <w:r>
        <w:rPr>
          <w:rFonts w:ascii="Times New Roman" w:hAnsi="Times New Roman"/>
          <w:sz w:val="24"/>
          <w:szCs w:val="24"/>
        </w:rPr>
        <w:t>Kýčera</w:t>
      </w:r>
      <w:proofErr w:type="spellEnd"/>
      <w:r>
        <w:rPr>
          <w:rFonts w:ascii="Times New Roman" w:hAnsi="Times New Roman"/>
          <w:sz w:val="24"/>
          <w:szCs w:val="24"/>
        </w:rPr>
        <w:t xml:space="preserve">. Odtiaľto pokračuje severným okrajom zvážnice č. C11 približne západným a potom juhozápadným smerom až po hranicu lesného porastu 193B, ktorý tvorí mladina. </w:t>
      </w:r>
      <w:r>
        <w:rPr>
          <w:rFonts w:ascii="Times New Roman" w:hAnsi="Times New Roman"/>
          <w:sz w:val="24"/>
          <w:szCs w:val="24"/>
        </w:rPr>
        <w:lastRenderedPageBreak/>
        <w:t xml:space="preserve">Hranica prírodnej rezervácie potom obchádza túto mladinu najprv po východnej strane, potom po severnej a nakoniec opäť schádza južným smerom na zvážnicu č. C11. Odtiaľto zase pokračuje severným okrajom tejto zvážnice až po rázcestie zvážnice so starou lesnou cestou v miestnom názvosloví nazývanou ako Maďarská cesta. Tu sa hranica prudko stáča a pokračuje </w:t>
      </w:r>
      <w:proofErr w:type="spellStart"/>
      <w:r>
        <w:rPr>
          <w:rFonts w:ascii="Times New Roman" w:hAnsi="Times New Roman"/>
          <w:sz w:val="24"/>
          <w:szCs w:val="24"/>
        </w:rPr>
        <w:t>východoseverovýchodným</w:t>
      </w:r>
      <w:proofErr w:type="spellEnd"/>
      <w:r>
        <w:rPr>
          <w:rFonts w:ascii="Times New Roman" w:hAnsi="Times New Roman"/>
          <w:sz w:val="24"/>
          <w:szCs w:val="24"/>
        </w:rPr>
        <w:t xml:space="preserve">, neskôr približne severným  smerom </w:t>
      </w:r>
      <w:r w:rsidRPr="00BB6CDC">
        <w:rPr>
          <w:rFonts w:ascii="Times New Roman" w:hAnsi="Times New Roman"/>
          <w:sz w:val="24"/>
          <w:szCs w:val="24"/>
        </w:rPr>
        <w:t xml:space="preserve">východným okrajom </w:t>
      </w:r>
      <w:r>
        <w:rPr>
          <w:rFonts w:ascii="Times New Roman" w:hAnsi="Times New Roman"/>
          <w:sz w:val="24"/>
          <w:szCs w:val="24"/>
        </w:rPr>
        <w:t>tejto kľukatej</w:t>
      </w:r>
      <w:r w:rsidRPr="00BB6CDC">
        <w:rPr>
          <w:rFonts w:ascii="Times New Roman" w:hAnsi="Times New Roman"/>
          <w:sz w:val="24"/>
          <w:szCs w:val="24"/>
        </w:rPr>
        <w:t xml:space="preserve"> cesty </w:t>
      </w:r>
      <w:r>
        <w:rPr>
          <w:rFonts w:ascii="Times New Roman" w:hAnsi="Times New Roman"/>
          <w:sz w:val="24"/>
          <w:szCs w:val="24"/>
        </w:rPr>
        <w:t xml:space="preserve">až po rázcestie so zvážnicou č. C14. Odtiaľto hranica prírodnej rezervácie ide približne severozápadným smerom po severnom okraji zvážnice č. C14, pričom reže lesné porasty č. 194, 205A, 206, 207 a 223 na dve časti. V mieste, kde táto zvážnica pretína poľovnícky chodník hranica prírodnej rezervácie opúšťa severný okraj zvážnice a vedie približne severozápadným smerom po poľovníckom chodníčku, ktorý tvorí zároveň juhozápadnú hranicu lesných dielcov 223, 237, 235, 240, 248 a 249. Pri hospodárskom kopci č. 125 potom opúšťa poľovnícky chodník a vedie najprv približne </w:t>
      </w:r>
      <w:proofErr w:type="spellStart"/>
      <w:r>
        <w:rPr>
          <w:rFonts w:ascii="Times New Roman" w:hAnsi="Times New Roman"/>
          <w:sz w:val="24"/>
          <w:szCs w:val="24"/>
        </w:rPr>
        <w:t>severoseverozápadným</w:t>
      </w:r>
      <w:proofErr w:type="spellEnd"/>
      <w:r>
        <w:rPr>
          <w:rFonts w:ascii="Times New Roman" w:hAnsi="Times New Roman"/>
          <w:sz w:val="24"/>
          <w:szCs w:val="24"/>
        </w:rPr>
        <w:t xml:space="preserve"> a potom </w:t>
      </w:r>
      <w:proofErr w:type="spellStart"/>
      <w:r>
        <w:rPr>
          <w:rFonts w:ascii="Times New Roman" w:hAnsi="Times New Roman"/>
          <w:sz w:val="24"/>
          <w:szCs w:val="24"/>
        </w:rPr>
        <w:t>východoseverovýchodným</w:t>
      </w:r>
      <w:proofErr w:type="spellEnd"/>
      <w:r>
        <w:rPr>
          <w:rFonts w:ascii="Times New Roman" w:hAnsi="Times New Roman"/>
          <w:sz w:val="24"/>
          <w:szCs w:val="24"/>
        </w:rPr>
        <w:t xml:space="preserve"> smerom po hranici medzi lesnými porastmi č. 249 a 251A a vychádza na okraj takzvaných </w:t>
      </w:r>
      <w:proofErr w:type="spellStart"/>
      <w:r>
        <w:rPr>
          <w:rFonts w:ascii="Times New Roman" w:hAnsi="Times New Roman"/>
          <w:sz w:val="24"/>
          <w:szCs w:val="24"/>
        </w:rPr>
        <w:t>Bunguľských</w:t>
      </w:r>
      <w:proofErr w:type="spellEnd"/>
      <w:r>
        <w:rPr>
          <w:rFonts w:ascii="Times New Roman" w:hAnsi="Times New Roman"/>
          <w:sz w:val="24"/>
          <w:szCs w:val="24"/>
        </w:rPr>
        <w:t xml:space="preserve"> lúk tiahnucich sa pozdĺž </w:t>
      </w:r>
      <w:proofErr w:type="spellStart"/>
      <w:r>
        <w:rPr>
          <w:rFonts w:ascii="Times New Roman" w:hAnsi="Times New Roman"/>
          <w:sz w:val="24"/>
          <w:szCs w:val="24"/>
        </w:rPr>
        <w:t>slovensko</w:t>
      </w:r>
      <w:proofErr w:type="spellEnd"/>
      <w:r w:rsidR="009A025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poľskej štátnej hranice. Tu vedie hranica prírodnej rezervácie južným okrajom týchto lúk približne juhovýchodným smerom a vychádza na štátnu hranicu </w:t>
      </w:r>
      <w:smartTag w:uri="urn:schemas-microsoft-com:office:smarttags" w:element="metricconverter">
        <w:smartTagPr>
          <w:attr w:name="ProductID" w:val="991 m"/>
        </w:smartTagPr>
        <w:r>
          <w:rPr>
            <w:rFonts w:ascii="Times New Roman" w:hAnsi="Times New Roman"/>
            <w:sz w:val="24"/>
            <w:szCs w:val="24"/>
          </w:rPr>
          <w:t>130 m</w:t>
        </w:r>
      </w:smartTag>
      <w:r>
        <w:rPr>
          <w:rFonts w:ascii="Times New Roman" w:hAnsi="Times New Roman"/>
          <w:sz w:val="24"/>
          <w:szCs w:val="24"/>
        </w:rPr>
        <w:t xml:space="preserve"> východne od kóty Čelo </w:t>
      </w:r>
      <w:r>
        <w:rPr>
          <w:rFonts w:ascii="Times New Roman" w:hAnsi="Times New Roman"/>
          <w:sz w:val="24"/>
          <w:szCs w:val="24"/>
        </w:rPr>
        <w:br/>
        <w:t>1 159 m n. m. Odtiaľto prechádzajúc cez kóty Čelo a Borsukov vrch (</w:t>
      </w:r>
      <w:smartTag w:uri="urn:schemas-microsoft-com:office:smarttags" w:element="metricconverter">
        <w:smartTagPr>
          <w:attr w:name="ProductID" w:val="991 m"/>
        </w:smartTagPr>
        <w:r>
          <w:rPr>
            <w:rFonts w:ascii="Times New Roman" w:hAnsi="Times New Roman"/>
            <w:sz w:val="24"/>
            <w:szCs w:val="24"/>
          </w:rPr>
          <w:t>991 m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n.m</w:t>
      </w:r>
      <w:proofErr w:type="spellEnd"/>
      <w:r>
        <w:rPr>
          <w:rFonts w:ascii="Times New Roman" w:hAnsi="Times New Roman"/>
          <w:sz w:val="24"/>
          <w:szCs w:val="24"/>
        </w:rPr>
        <w:t xml:space="preserve">.) smerom najprv na východ, potom na juhovýchod a neskôr na </w:t>
      </w:r>
      <w:proofErr w:type="spellStart"/>
      <w:r>
        <w:rPr>
          <w:rFonts w:ascii="Times New Roman" w:hAnsi="Times New Roman"/>
          <w:sz w:val="24"/>
          <w:szCs w:val="24"/>
        </w:rPr>
        <w:t>severoseverovýchod</w:t>
      </w:r>
      <w:proofErr w:type="spellEnd"/>
      <w:r>
        <w:rPr>
          <w:rFonts w:ascii="Times New Roman" w:hAnsi="Times New Roman"/>
          <w:sz w:val="24"/>
          <w:szCs w:val="24"/>
        </w:rPr>
        <w:t xml:space="preserve"> až po lúku č. PH141 v Sedle pod Čierťažou je hranica prírodnej rezervácie totožná so štátnou slovensko-poľskou hranicou. Lúku č. PH141 v Sedle pod Čierťažou obchádza po východnom okraji, najprv približne východným smerom a potom približne na </w:t>
      </w:r>
      <w:proofErr w:type="spellStart"/>
      <w:r>
        <w:rPr>
          <w:rFonts w:ascii="Times New Roman" w:hAnsi="Times New Roman"/>
          <w:sz w:val="24"/>
          <w:szCs w:val="24"/>
        </w:rPr>
        <w:t>severoseverovýchod</w:t>
      </w:r>
      <w:proofErr w:type="spellEnd"/>
      <w:r>
        <w:rPr>
          <w:rFonts w:ascii="Times New Roman" w:hAnsi="Times New Roman"/>
          <w:sz w:val="24"/>
          <w:szCs w:val="24"/>
        </w:rPr>
        <w:t xml:space="preserve"> a znovu sa vracia na štátnu hranicu, odkiaľ sa potom vracia po štátnej hranici približne severovýchodným smerom na východiskový bod na kótu Čierťaž.</w:t>
      </w:r>
      <w:bookmarkStart w:id="3" w:name="OLE_LINK11"/>
      <w:bookmarkStart w:id="4" w:name="OLE_LINK12"/>
    </w:p>
    <w:p w:rsidR="00676F00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00" w:rsidRPr="00A42571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2571">
        <w:rPr>
          <w:rFonts w:ascii="Times New Roman" w:hAnsi="Times New Roman"/>
          <w:b/>
          <w:sz w:val="24"/>
          <w:szCs w:val="24"/>
        </w:rPr>
        <w:t>Zoznam parciel prírodnej rezervácie</w:t>
      </w:r>
    </w:p>
    <w:p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76F00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571">
        <w:rPr>
          <w:rFonts w:ascii="Times New Roman" w:hAnsi="Times New Roman"/>
          <w:sz w:val="24"/>
          <w:szCs w:val="24"/>
        </w:rPr>
        <w:t>Okres Snina</w:t>
      </w:r>
    </w:p>
    <w:p w:rsidR="00676F00" w:rsidRPr="00A42571" w:rsidRDefault="00676F00" w:rsidP="00DE4B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F00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OLE_LINK9"/>
      <w:bookmarkStart w:id="6" w:name="OLE_LINK10"/>
      <w:r w:rsidRPr="00A42571">
        <w:rPr>
          <w:rFonts w:ascii="Times New Roman" w:hAnsi="Times New Roman"/>
          <w:sz w:val="24"/>
          <w:szCs w:val="24"/>
        </w:rPr>
        <w:t xml:space="preserve">Katastrálne územie Nová Sedlica: </w:t>
      </w:r>
    </w:p>
    <w:p w:rsidR="00676F00" w:rsidRPr="00A42571" w:rsidRDefault="00676F00" w:rsidP="00DE4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42571">
        <w:rPr>
          <w:rFonts w:ascii="Times New Roman" w:eastAsia="Times New Roman" w:hAnsi="Times New Roman"/>
          <w:b/>
          <w:sz w:val="24"/>
          <w:szCs w:val="24"/>
          <w:lang w:eastAsia="sk-SK"/>
        </w:rPr>
        <w:t>1084/1</w:t>
      </w:r>
      <w:bookmarkStart w:id="7" w:name="OLE_LINK7"/>
      <w:bookmarkStart w:id="8" w:name="OLE_LINK8"/>
      <w:r w:rsidRPr="00A4257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– časť</w:t>
      </w:r>
      <w:bookmarkEnd w:id="7"/>
      <w:bookmarkEnd w:id="8"/>
      <w:r w:rsidRPr="00A42571">
        <w:rPr>
          <w:rFonts w:ascii="Times New Roman" w:eastAsia="Times New Roman" w:hAnsi="Times New Roman"/>
          <w:b/>
          <w:sz w:val="24"/>
          <w:szCs w:val="24"/>
          <w:lang w:eastAsia="sk-SK"/>
        </w:rPr>
        <w:t>, 1085, 1086 – časť,  1088/4 – časť, 1096/1 – časť, 1099 – časť, 1100 – časť, 1104 – časť, 1120 – časť</w:t>
      </w:r>
    </w:p>
    <w:p w:rsidR="00676F00" w:rsidRDefault="00676F00" w:rsidP="00DE4B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76F00" w:rsidRDefault="00676F00" w:rsidP="00DE4B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42571">
        <w:rPr>
          <w:rFonts w:ascii="Times New Roman" w:eastAsia="Times New Roman" w:hAnsi="Times New Roman"/>
          <w:sz w:val="24"/>
          <w:szCs w:val="24"/>
          <w:lang w:eastAsia="sk-SK"/>
        </w:rPr>
        <w:t xml:space="preserve">Katastrálne územie </w:t>
      </w:r>
      <w:r w:rsidRPr="00A4257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Zboj: </w:t>
      </w:r>
    </w:p>
    <w:p w:rsidR="00676F00" w:rsidRPr="00A42571" w:rsidRDefault="00676F00" w:rsidP="00DE4B2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42571">
        <w:rPr>
          <w:rFonts w:ascii="Times New Roman" w:eastAsia="Times New Roman" w:hAnsi="Times New Roman"/>
          <w:b/>
          <w:sz w:val="24"/>
          <w:szCs w:val="24"/>
          <w:lang w:eastAsia="sk-SK"/>
        </w:rPr>
        <w:t>3790 – časť, 3844</w:t>
      </w:r>
    </w:p>
    <w:p w:rsidR="00676F00" w:rsidRPr="00A42571" w:rsidRDefault="00676F00" w:rsidP="00DE4B28">
      <w:pPr>
        <w:spacing w:after="0" w:line="240" w:lineRule="auto"/>
        <w:jc w:val="both"/>
        <w:rPr>
          <w:rFonts w:ascii="Times New Roman" w:eastAsia="Times New Roman" w:hAnsi="Times New Roman"/>
          <w:b/>
          <w:lang w:eastAsia="sk-SK"/>
        </w:rPr>
      </w:pPr>
    </w:p>
    <w:bookmarkEnd w:id="3"/>
    <w:bookmarkEnd w:id="4"/>
    <w:bookmarkEnd w:id="5"/>
    <w:bookmarkEnd w:id="6"/>
    <w:p w:rsidR="00676F00" w:rsidRPr="00A42571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571">
        <w:rPr>
          <w:rFonts w:ascii="Times New Roman" w:hAnsi="Times New Roman"/>
          <w:sz w:val="24"/>
          <w:szCs w:val="24"/>
        </w:rPr>
        <w:t xml:space="preserve">Poznámka: </w:t>
      </w:r>
    </w:p>
    <w:p w:rsidR="00676F00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Parcely územia</w:t>
      </w:r>
      <w:r w:rsidRPr="00A42571">
        <w:rPr>
          <w:rFonts w:ascii="Times New Roman" w:hAnsi="Times New Roman"/>
          <w:sz w:val="24"/>
          <w:szCs w:val="24"/>
        </w:rPr>
        <w:t xml:space="preserve"> európskeho významu sú vyznačené tučným písmom (§ 27 ods. 9 zákona). Celé územie prírodnej rezervácie Borsukov vrch je súčasťou územia európskeho významu SKUEV0229 </w:t>
      </w:r>
      <w:proofErr w:type="spellStart"/>
      <w:r w:rsidRPr="00A42571">
        <w:rPr>
          <w:rFonts w:ascii="Times New Roman" w:hAnsi="Times New Roman"/>
          <w:sz w:val="24"/>
          <w:szCs w:val="24"/>
        </w:rPr>
        <w:t>Bukovské</w:t>
      </w:r>
      <w:proofErr w:type="spellEnd"/>
      <w:r w:rsidRPr="00A42571">
        <w:rPr>
          <w:rFonts w:ascii="Times New Roman" w:hAnsi="Times New Roman"/>
          <w:sz w:val="24"/>
          <w:szCs w:val="24"/>
        </w:rPr>
        <w:t xml:space="preserve"> vrchy. </w:t>
      </w:r>
    </w:p>
    <w:p w:rsidR="00676F00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00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00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00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00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00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00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F00" w:rsidRDefault="00676F00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D31" w:rsidRDefault="00273D31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D31" w:rsidRDefault="00273D31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D31" w:rsidRDefault="00273D31" w:rsidP="00DE4B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D31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59A">
        <w:rPr>
          <w:rFonts w:ascii="Times New Roman" w:hAnsi="Times New Roman"/>
          <w:b/>
          <w:sz w:val="24"/>
          <w:szCs w:val="24"/>
        </w:rPr>
        <w:lastRenderedPageBreak/>
        <w:t xml:space="preserve">Mapa hranice prírodnej </w:t>
      </w:r>
      <w:r>
        <w:rPr>
          <w:rFonts w:ascii="Times New Roman" w:hAnsi="Times New Roman"/>
          <w:b/>
          <w:sz w:val="24"/>
          <w:szCs w:val="24"/>
        </w:rPr>
        <w:t>rezervácie</w:t>
      </w:r>
    </w:p>
    <w:p w:rsidR="00676F00" w:rsidRPr="0036059A" w:rsidRDefault="00676F00" w:rsidP="00DE4B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>
        <w:rPr>
          <w:noProof/>
          <w:lang w:eastAsia="sk-SK"/>
        </w:rPr>
        <w:drawing>
          <wp:inline distT="0" distB="0" distL="0" distR="0" wp14:anchorId="03BDB15C" wp14:editId="1F49C148">
            <wp:extent cx="5210175" cy="65722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F00" w:rsidRDefault="00676F00" w:rsidP="00DE4B28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676F00" w:rsidRPr="0036059A" w:rsidRDefault="00676F00" w:rsidP="00DE4B28">
      <w:pPr>
        <w:pStyle w:val="l2"/>
        <w:spacing w:before="0" w:beforeAutospacing="0" w:after="0" w:afterAutospacing="0"/>
        <w:jc w:val="both"/>
      </w:pPr>
      <w:r w:rsidRPr="0036059A">
        <w:t>Technickým po</w:t>
      </w:r>
      <w:r>
        <w:t>dkladom na zápis priebehu hranice</w:t>
      </w:r>
      <w:r w:rsidRPr="0036059A">
        <w:t xml:space="preserve"> prírodnej rezervácie je zjednodušený operát geometrického plánu.</w:t>
      </w:r>
    </w:p>
    <w:p w:rsidR="00676F00" w:rsidRPr="0036059A" w:rsidRDefault="00676F00" w:rsidP="00DE4B28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76F00" w:rsidRPr="0036059A" w:rsidRDefault="00676F00" w:rsidP="00DE4B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0328" w:rsidRDefault="007B0328" w:rsidP="00DE4B28">
      <w:pPr>
        <w:spacing w:after="0" w:line="240" w:lineRule="auto"/>
      </w:pPr>
    </w:p>
    <w:sectPr w:rsidR="007B0328" w:rsidSect="00E517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9D" w:rsidRDefault="00F8279D">
      <w:pPr>
        <w:spacing w:after="0" w:line="240" w:lineRule="auto"/>
      </w:pPr>
      <w:r>
        <w:separator/>
      </w:r>
    </w:p>
  </w:endnote>
  <w:endnote w:type="continuationSeparator" w:id="0">
    <w:p w:rsidR="00F8279D" w:rsidRDefault="00F8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62" w:rsidRDefault="00F8279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62" w:rsidRPr="00303192" w:rsidRDefault="00676F00" w:rsidP="009C477C">
    <w:pPr>
      <w:pStyle w:val="Pta"/>
      <w:jc w:val="center"/>
      <w:rPr>
        <w:rFonts w:ascii="Times New Roman" w:hAnsi="Times New Roman"/>
      </w:rPr>
    </w:pPr>
    <w:r w:rsidRPr="00303192">
      <w:rPr>
        <w:rFonts w:ascii="Times New Roman" w:hAnsi="Times New Roman"/>
      </w:rPr>
      <w:fldChar w:fldCharType="begin"/>
    </w:r>
    <w:r w:rsidRPr="00303192">
      <w:rPr>
        <w:rFonts w:ascii="Times New Roman" w:hAnsi="Times New Roman"/>
      </w:rPr>
      <w:instrText>PAGE   \* MERGEFORMAT</w:instrText>
    </w:r>
    <w:r w:rsidRPr="00303192">
      <w:rPr>
        <w:rFonts w:ascii="Times New Roman" w:hAnsi="Times New Roman"/>
      </w:rPr>
      <w:fldChar w:fldCharType="separate"/>
    </w:r>
    <w:r w:rsidR="00663DCF">
      <w:rPr>
        <w:rFonts w:ascii="Times New Roman" w:hAnsi="Times New Roman"/>
        <w:noProof/>
      </w:rPr>
      <w:t>1</w:t>
    </w:r>
    <w:r w:rsidRPr="00303192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62" w:rsidRDefault="00F827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9D" w:rsidRDefault="00F8279D">
      <w:pPr>
        <w:spacing w:after="0" w:line="240" w:lineRule="auto"/>
      </w:pPr>
      <w:r>
        <w:separator/>
      </w:r>
    </w:p>
  </w:footnote>
  <w:footnote w:type="continuationSeparator" w:id="0">
    <w:p w:rsidR="00F8279D" w:rsidRDefault="00F8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62" w:rsidRDefault="00F8279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62" w:rsidRDefault="00F8279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62" w:rsidRDefault="00F827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770"/>
    <w:multiLevelType w:val="hybridMultilevel"/>
    <w:tmpl w:val="4F0A8D58"/>
    <w:lvl w:ilvl="0" w:tplc="B8F659D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12"/>
    <w:rsid w:val="000E030C"/>
    <w:rsid w:val="00111F23"/>
    <w:rsid w:val="00252782"/>
    <w:rsid w:val="00273D31"/>
    <w:rsid w:val="003B2515"/>
    <w:rsid w:val="004147A3"/>
    <w:rsid w:val="0051326F"/>
    <w:rsid w:val="005471E3"/>
    <w:rsid w:val="005538A0"/>
    <w:rsid w:val="005C5322"/>
    <w:rsid w:val="006310FE"/>
    <w:rsid w:val="00663DCF"/>
    <w:rsid w:val="00666E1F"/>
    <w:rsid w:val="00676F00"/>
    <w:rsid w:val="00694C1D"/>
    <w:rsid w:val="007B0328"/>
    <w:rsid w:val="00804028"/>
    <w:rsid w:val="008971C1"/>
    <w:rsid w:val="009A025B"/>
    <w:rsid w:val="009A231B"/>
    <w:rsid w:val="009C63FF"/>
    <w:rsid w:val="00A915B5"/>
    <w:rsid w:val="00C32D81"/>
    <w:rsid w:val="00C513C0"/>
    <w:rsid w:val="00DE4B28"/>
    <w:rsid w:val="00EA7512"/>
    <w:rsid w:val="00F8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F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F0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6F00"/>
    <w:pPr>
      <w:ind w:left="720"/>
      <w:contextualSpacing/>
    </w:pPr>
  </w:style>
  <w:style w:type="paragraph" w:customStyle="1" w:styleId="l2">
    <w:name w:val="l2"/>
    <w:basedOn w:val="Normlny"/>
    <w:rsid w:val="00676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um">
    <w:name w:val="num"/>
    <w:rsid w:val="00676F00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rsid w:val="00676F0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676F0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kladntext2">
    <w:name w:val="Body Text 2"/>
    <w:basedOn w:val="Normlny"/>
    <w:link w:val="Zkladntext2Char"/>
    <w:uiPriority w:val="99"/>
    <w:semiHidden/>
    <w:rsid w:val="00676F00"/>
    <w:pPr>
      <w:spacing w:after="120" w:line="48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76F00"/>
    <w:rPr>
      <w:rFonts w:ascii="Times New Roman" w:eastAsia="Calibri" w:hAnsi="Times New Roman" w:cs="Times New Roman"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6F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1671D6-3758-4456-962C-FD6B68F89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D01B0-10B2-4F19-9FF8-277B04DC9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F13A5A6-A29C-4CC7-BEAF-1EA106BF4DA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Kozlíková Barbora</dc:creator>
  <cp:lastModifiedBy>Beláňová Sylvia</cp:lastModifiedBy>
  <cp:revision>2</cp:revision>
  <cp:lastPrinted>2015-11-11T13:58:00Z</cp:lastPrinted>
  <dcterms:created xsi:type="dcterms:W3CDTF">2015-11-25T11:47:00Z</dcterms:created>
  <dcterms:modified xsi:type="dcterms:W3CDTF">2015-11-25T11:47:00Z</dcterms:modified>
</cp:coreProperties>
</file>