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694F61" w:rsidRDefault="00694F61" w:rsidP="002000C5">
      <w:pPr>
        <w:pStyle w:val="Normlnywebov"/>
        <w:ind w:firstLine="720"/>
        <w:jc w:val="both"/>
        <w:divId w:val="287005629"/>
      </w:pPr>
      <w:r>
        <w:t>Na základe ustanovenia § 70 ods. 2 zákona Národnej rady Slovenskej republiky č. 350/1996 Z. z. o rokovacom poriadku Národnej rady Slovenskej republiky</w:t>
      </w:r>
      <w:r w:rsidR="005F21EB">
        <w:t xml:space="preserve"> v znení neskorších predpisov</w:t>
      </w:r>
      <w:r>
        <w:t xml:space="preserve"> a podľa článku 31 Legislatívnych pravidiel vlády Slovenskej republiky Ministerstvo spravodlivosti Slovenskej republiky (ďalej len</w:t>
      </w:r>
      <w:r w:rsidR="009B3304">
        <w:t xml:space="preserve"> </w:t>
      </w:r>
      <w:r>
        <w:t>,,ministerstvo spravodlivosti“) predkladá na rokovanie vlády Slovenskej republiky Návrh poslanca Národnej rady Slovenskej republiky Gábora Gála na vydanie zákona, ktorým sa mení a dopĺňa zákon č. 4/2001 Z. z. o Zbore väzenskej a justičnej stráže v znení neskorších predpisov (tlač 123) (ďalej len</w:t>
      </w:r>
      <w:r w:rsidR="009B3304">
        <w:t xml:space="preserve"> </w:t>
      </w:r>
      <w:r>
        <w:t>,,poslanecký návrh“).</w:t>
      </w:r>
    </w:p>
    <w:p w:rsidR="00694F61" w:rsidRDefault="00694F61" w:rsidP="002000C5">
      <w:pPr>
        <w:pStyle w:val="Normlnywebov"/>
        <w:ind w:firstLine="720"/>
        <w:jc w:val="both"/>
        <w:divId w:val="287005629"/>
      </w:pPr>
      <w:bookmarkStart w:id="0" w:name="_GoBack"/>
      <w:bookmarkEnd w:id="0"/>
      <w:r>
        <w:t>Ministerstvo spravodlivosti k poslaneckému návrhu uvádza nasledovné:</w:t>
      </w:r>
    </w:p>
    <w:p w:rsidR="005F21EB" w:rsidRDefault="005F21EB">
      <w:pPr>
        <w:pStyle w:val="Normlnywebov"/>
        <w:jc w:val="both"/>
        <w:divId w:val="287005629"/>
        <w:rPr>
          <w:rStyle w:val="Siln"/>
        </w:rPr>
      </w:pPr>
    </w:p>
    <w:p w:rsidR="00694F61" w:rsidRDefault="00694F61">
      <w:pPr>
        <w:pStyle w:val="Normlnywebov"/>
        <w:jc w:val="both"/>
        <w:divId w:val="287005629"/>
      </w:pPr>
      <w:r>
        <w:rPr>
          <w:rStyle w:val="Siln"/>
        </w:rPr>
        <w:t>Všeobecne</w:t>
      </w:r>
    </w:p>
    <w:p w:rsidR="00694F61" w:rsidRDefault="00694F61" w:rsidP="002000C5">
      <w:pPr>
        <w:pStyle w:val="Normlnywebov"/>
        <w:ind w:firstLine="720"/>
        <w:jc w:val="both"/>
        <w:divId w:val="287005629"/>
      </w:pPr>
      <w:r>
        <w:t>Cieľom poslaneckého návrhu je rozšírenie právneho základu upravujúceho pôsobnosť príslušníkov Zboru väzenskej a justičnej stráže, pričom uvedené je nevyhnutnou reakciou na zmenu sídla Súdnej rady Slovenskej republiky a kancelárie Súdnej rady Slovenskej republiky (spolu ďalej len</w:t>
      </w:r>
      <w:r w:rsidR="009B3304">
        <w:t xml:space="preserve"> </w:t>
      </w:r>
      <w:r>
        <w:t>,,súdna rada“). Vo vzťahu k informáciám o zmene sídla súdnej rady, o týchto podrobnejšie informovala vedúca kancelárie Súdnej rady na 39. zasadnutí súdnej rady, ako je uvedené aj v zápisnici z predmetného zasadnutia na str. 18, bod 17 tejto zápisnice. Faktická zmena sídla súdnej rady bola realizovaná dňa 30. mája 2016, kedy sa uskutočnilo slávnostné otvorenie nových priestorov sídla Súdnej rady.</w:t>
      </w:r>
    </w:p>
    <w:p w:rsidR="00694F61" w:rsidRDefault="00694F61" w:rsidP="002000C5">
      <w:pPr>
        <w:pStyle w:val="Normlnywebov"/>
        <w:ind w:firstLine="720"/>
        <w:jc w:val="both"/>
        <w:divId w:val="287005629"/>
      </w:pPr>
      <w:r>
        <w:t>V zmysle znenia dôvodovej správy k poslaneckému návrhu (ďalej len</w:t>
      </w:r>
      <w:r w:rsidR="005F21EB">
        <w:t xml:space="preserve"> </w:t>
      </w:r>
      <w:r>
        <w:t xml:space="preserve">,,dôvodová správa“), </w:t>
      </w:r>
      <w:r>
        <w:rPr>
          <w:rStyle w:val="Zvraznenie"/>
        </w:rPr>
        <w:t>in concreto</w:t>
      </w:r>
      <w:r>
        <w:t xml:space="preserve"> jej všeobecnej časti je účelom predkladateľov: </w:t>
      </w:r>
      <w:r>
        <w:rPr>
          <w:rStyle w:val="Zvraznenie"/>
        </w:rPr>
        <w:t>,,(...) vytvoriť zákonné predpoklady pre zabezpečenie ochrany objektov, v ktorých sídli Súdna rada Slovenskej republiky vrátane poriadku v týchto objektoch, a to zo strany príslušníkov Zboru väzenskej a justičnej stráže.“</w:t>
      </w:r>
    </w:p>
    <w:p w:rsidR="005F21EB" w:rsidRDefault="005F21EB">
      <w:pPr>
        <w:pStyle w:val="Normlnywebov"/>
        <w:jc w:val="both"/>
        <w:divId w:val="287005629"/>
        <w:rPr>
          <w:rStyle w:val="Siln"/>
        </w:rPr>
      </w:pPr>
    </w:p>
    <w:p w:rsidR="00694F61" w:rsidRDefault="00694F61">
      <w:pPr>
        <w:pStyle w:val="Normlnywebov"/>
        <w:jc w:val="both"/>
        <w:divId w:val="287005629"/>
      </w:pPr>
      <w:r>
        <w:rPr>
          <w:rStyle w:val="Siln"/>
        </w:rPr>
        <w:t>Stanovisko</w:t>
      </w:r>
    </w:p>
    <w:p w:rsidR="00694F61" w:rsidRDefault="00694F61" w:rsidP="002000C5">
      <w:pPr>
        <w:pStyle w:val="Normlnywebov"/>
        <w:ind w:firstLine="720"/>
        <w:jc w:val="both"/>
        <w:divId w:val="287005629"/>
      </w:pPr>
      <w:r>
        <w:t>Ministerstvo spravodlivosti zaujíma k poslaneckému návrhu nasledovné stanovisko:</w:t>
      </w:r>
    </w:p>
    <w:p w:rsidR="00694F61" w:rsidRDefault="00694F61">
      <w:pPr>
        <w:pStyle w:val="Normlnywebov"/>
        <w:jc w:val="both"/>
        <w:divId w:val="287005629"/>
      </w:pPr>
      <w:r>
        <w:rPr>
          <w:rStyle w:val="Siln"/>
        </w:rPr>
        <w:t>K návrhu zákona, k Čl. I</w:t>
      </w:r>
    </w:p>
    <w:p w:rsidR="009B3304" w:rsidRDefault="009B3304" w:rsidP="002000C5">
      <w:pPr>
        <w:pStyle w:val="Normlnywebov"/>
        <w:ind w:firstLine="720"/>
        <w:jc w:val="both"/>
        <w:divId w:val="287005629"/>
      </w:pPr>
      <w:r>
        <w:t>K úvodnému odseku Čl. I predloženého Poslaneckého návrhu má Ministerstvo spravodlivosti nasledovné legislatívno-technické pripomienky:</w:t>
      </w:r>
    </w:p>
    <w:p w:rsidR="009B3304" w:rsidRDefault="009B3304" w:rsidP="009B3304">
      <w:pPr>
        <w:pStyle w:val="Normlnywebov"/>
        <w:ind w:firstLine="720"/>
        <w:jc w:val="both"/>
        <w:divId w:val="287005629"/>
      </w:pPr>
      <w:r>
        <w:t xml:space="preserve">V Čl. I v úvodnom odseku, v rámci ktorého sa uvádza výpočet zákonov, ktoré doposiaľ novelizovali pôvodný Zákon o ZVJS odporúčame v závere úvodnej vety za ,,zákona č. 386/2015 Z. z.“ nahradiť slovo ,,a“ čiarkou a za ,,zákona č. 444/2015 Z. z.“ vložiť slová ,,a zákona č. 125/2016 Z. z.“, tak aby znenie úvodného odseku Čl. I bolo nasledovné: </w:t>
      </w:r>
    </w:p>
    <w:p w:rsidR="009B3304" w:rsidRDefault="009B3304" w:rsidP="002000C5">
      <w:pPr>
        <w:pStyle w:val="Normlnywebov"/>
        <w:ind w:firstLine="720"/>
        <w:jc w:val="both"/>
        <w:divId w:val="287005629"/>
      </w:pPr>
      <w:r>
        <w:lastRenderedPageBreak/>
        <w:t>,,Zákon č. 4/2001 Z. z. o Zbore väzenskej a justičnej stráže v 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a zákona č. 125/2016 Z. z. sa mení a dopĺňa takto:“</w:t>
      </w:r>
    </w:p>
    <w:p w:rsidR="009B3304" w:rsidRDefault="009B3304" w:rsidP="009B3304">
      <w:pPr>
        <w:pStyle w:val="Normlnywebov"/>
        <w:jc w:val="both"/>
        <w:divId w:val="287005629"/>
      </w:pPr>
      <w:r>
        <w:tab/>
        <w:t xml:space="preserve">V Čl. I odporúčame pod slová ,,VII. Volebné obdobie“ vložiť slovo ,,(Návrh)“. </w:t>
      </w:r>
    </w:p>
    <w:p w:rsidR="009B3304" w:rsidRDefault="009B3304" w:rsidP="002000C5">
      <w:pPr>
        <w:pStyle w:val="Normlnywebov"/>
        <w:ind w:firstLine="720"/>
        <w:jc w:val="both"/>
        <w:divId w:val="287005629"/>
      </w:pPr>
      <w:r>
        <w:t>K úvodnému Čl. I predloženého Poslaneckého návrhu má Ministerstvo spravodlivosti okrem vyššie uvedených legislatívno-technických pripomienok nasledovnú pripomienku:</w:t>
      </w:r>
    </w:p>
    <w:p w:rsidR="009B3304" w:rsidRDefault="009B3304" w:rsidP="009B3304">
      <w:pPr>
        <w:pStyle w:val="Normlnywebov"/>
        <w:jc w:val="both"/>
        <w:divId w:val="287005629"/>
      </w:pPr>
      <w:r>
        <w:tab/>
        <w:t>V Čl. I odporúčame za slovo ,,sídli“ vložiť slová ,,a zasadá“</w:t>
      </w:r>
      <w:r w:rsidR="000B637D">
        <w:t>.</w:t>
      </w:r>
      <w:r>
        <w:t xml:space="preserve"> </w:t>
      </w:r>
      <w:r w:rsidR="000B637D">
        <w:t xml:space="preserve">Nakoľko súdna rada zasadá aj mimo jej sídla, je účelné aby bola prostredníctvom príslušníkov Zboru väzenskej a justičnej stráže zabezpečená ochrana objektov a poriadku v týchto objektoch </w:t>
      </w:r>
      <w:r w:rsidR="00041EA1">
        <w:t xml:space="preserve">aj </w:t>
      </w:r>
      <w:r w:rsidR="000B637D">
        <w:t>mimo sídla súdnej rady, kde súdna rada fakticky zasadá,</w:t>
      </w:r>
      <w:r w:rsidR="00041EA1">
        <w:t xml:space="preserve"> pričom uvedené ma za cieľ zabezpečenie riadneho a nerušeného priebehu zasadania.</w:t>
      </w:r>
      <w:r w:rsidR="000B637D">
        <w:t xml:space="preserve"> </w:t>
      </w:r>
    </w:p>
    <w:p w:rsidR="00694F61" w:rsidRDefault="009B3304" w:rsidP="009B3304">
      <w:pPr>
        <w:pStyle w:val="Normlnywebov"/>
        <w:jc w:val="both"/>
        <w:divId w:val="287005629"/>
      </w:pPr>
      <w:r>
        <w:t xml:space="preserve"> </w:t>
      </w:r>
      <w:r w:rsidR="002000C5">
        <w:tab/>
      </w:r>
      <w:r w:rsidR="00694F61">
        <w:t xml:space="preserve">Predložený poslanecký návrh ďalej v Čl. I rozširuje pôsobnosť resp. oprávnenia príslušníkov Zboru väzenskej a justičnej stráže, </w:t>
      </w:r>
      <w:r w:rsidR="00694F61">
        <w:rPr>
          <w:rStyle w:val="Zvraznenie"/>
        </w:rPr>
        <w:t>in concreto</w:t>
      </w:r>
      <w:r w:rsidR="00694F61">
        <w:t xml:space="preserve"> príslušníkov uvedeného zboru, ktorí zabezpečujú ochranu poriadku a bezpečnosti v objektoch súdu a v objektoch prokuratúry na účel zachovania nerušeného priebehu konania pred súdom a bezpečnosti osôb, pričom v zmysle § 47 ods. 1 zákona o ZVJS sa títo označujú ako </w:t>
      </w:r>
      <w:r w:rsidR="00694F61">
        <w:rPr>
          <w:rStyle w:val="Zvraznenie"/>
        </w:rPr>
        <w:t>,,Justičná stráž“</w:t>
      </w:r>
      <w:r w:rsidR="00694F61">
        <w:t>. Doposiaľ boli v § 47 Zákona o ZVJS vo vzťahu k oprávneniam Justičnej stráže, smerujúcim k zabezpečeniu ochrany objektov explicitne uvedené objekty súdov, objekty prokuratúry, a objekty ministerstva.</w:t>
      </w:r>
    </w:p>
    <w:p w:rsidR="00694F61" w:rsidRDefault="00694F61" w:rsidP="002000C5">
      <w:pPr>
        <w:pStyle w:val="Normlnywebov"/>
        <w:ind w:firstLine="720"/>
        <w:jc w:val="both"/>
        <w:divId w:val="287005629"/>
      </w:pPr>
      <w:r>
        <w:t xml:space="preserve">Sídlo Súdnej rady bolo v minulosti v objekte súdu a ministerstva, </w:t>
      </w:r>
      <w:r>
        <w:rPr>
          <w:rStyle w:val="Zvraznenie"/>
        </w:rPr>
        <w:t>in concreto</w:t>
      </w:r>
      <w:r>
        <w:t xml:space="preserve"> v budove Najvyššieho súdu Slovenskej republiky, ktorá je súčasne budovou Ministerstva spravodlivosti. Z uvedeného je zrejmé, že zabezpečenie ochrany objektu, v ktorom sídlila Súdna rada nebolo potrebné explicitne zavádzať do ustanovení zákona o ZVJS, nakoľko Justičná stráž odvodzovala svoje oprávnenia z ustanovení § 47 zákona o ZVJS, ktoré sa vzťahovali na objekty súdov resp. ministerstva. Avšak súvislosti s uvedeným treba poukázať na skutočnosť, že došlo k zmene sídla súdnej rady, pričom v súčasnosti je ním budova Miestodržiteľského paláca, ktorá nespĺňa kritériá objektu, v ktorom sú príslušníci Zboru väzenskej a justičnej stráže schopní realizovať svoje oprávnenia v zmysle § 47 zákona o </w:t>
      </w:r>
      <w:r w:rsidR="009B3304">
        <w:t>Z</w:t>
      </w:r>
      <w:r>
        <w:t>VJS, nakoľko nie je objektom inštitúcii explicitne vymenovaných v už spomínanom § 47 zákona o ZVJS.</w:t>
      </w:r>
    </w:p>
    <w:p w:rsidR="00694F61" w:rsidRDefault="00694F61" w:rsidP="002000C5">
      <w:pPr>
        <w:pStyle w:val="Normlnywebov"/>
        <w:ind w:firstLine="720"/>
        <w:jc w:val="both"/>
        <w:divId w:val="287005629"/>
      </w:pPr>
      <w:r>
        <w:t>Z vyššie uvedeného tak vyplýva nevyhnutnosť rozšírenia oprávnení príslušníkov spomenutej Justičnej stráže, ktorá sa bude vzťahovať aj na zabezpečenie ochrany objektu, v ktorom sídli súdna rada, pričom uvedené s ohľadom na znenie § 47 zákona o ZVJS nie je možné dosiahnuť inak, ako zmenou príslušného ustanovenia predmetného zákona.</w:t>
      </w:r>
    </w:p>
    <w:p w:rsidR="004E342E" w:rsidRDefault="00694F61" w:rsidP="002000C5">
      <w:pPr>
        <w:pStyle w:val="Normlnywebov"/>
        <w:ind w:firstLine="720"/>
        <w:jc w:val="both"/>
        <w:divId w:val="287005629"/>
      </w:pPr>
      <w:r>
        <w:t>Ministerstvo spravodlivosti má na základe vyššie uvedeného za preukázané, že poslanecký návrh je dôvodný a po zohľadnení uplatnen</w:t>
      </w:r>
      <w:r w:rsidR="009B3304">
        <w:t>ých</w:t>
      </w:r>
      <w:r>
        <w:t xml:space="preserve"> legislatívno-technick</w:t>
      </w:r>
      <w:r w:rsidR="009B3304">
        <w:t>ých a ostatných</w:t>
      </w:r>
      <w:r>
        <w:t xml:space="preserve"> pripomien</w:t>
      </w:r>
      <w:r w:rsidR="009B3304">
        <w:t>ok</w:t>
      </w:r>
      <w:r>
        <w:t xml:space="preserve"> sa stotožňuje s formuláciou navrhovaného znenia poslaneckého návrhu.</w:t>
      </w:r>
    </w:p>
    <w:p w:rsidR="00F96DB7" w:rsidRDefault="00F96DB7">
      <w:pPr>
        <w:pStyle w:val="Normlnywebov"/>
        <w:jc w:val="both"/>
        <w:divId w:val="287005629"/>
      </w:pPr>
    </w:p>
    <w:p w:rsidR="00F96DB7" w:rsidRDefault="00F96DB7">
      <w:pPr>
        <w:pStyle w:val="Normlnywebov"/>
        <w:jc w:val="both"/>
        <w:divId w:val="287005629"/>
      </w:pPr>
    </w:p>
    <w:p w:rsidR="00694F61" w:rsidRDefault="00694F61">
      <w:pPr>
        <w:pStyle w:val="Normlnywebov"/>
        <w:jc w:val="both"/>
        <w:divId w:val="287005629"/>
      </w:pPr>
      <w:r>
        <w:rPr>
          <w:rStyle w:val="Siln"/>
        </w:rPr>
        <w:lastRenderedPageBreak/>
        <w:t>K návrhu zákona, k Čl. II</w:t>
      </w:r>
    </w:p>
    <w:p w:rsidR="00694F61" w:rsidRDefault="00694F61" w:rsidP="002000C5">
      <w:pPr>
        <w:pStyle w:val="Normlnywebov"/>
        <w:ind w:firstLine="720"/>
        <w:jc w:val="both"/>
        <w:divId w:val="287005629"/>
      </w:pPr>
      <w:r>
        <w:t>Predkladateľ navrhuje nadobudnutie účinnosti na 1. októbra 2016. S uvedeným sa ministerstvo spravodlivosti stotožňuje, nakoľko má za to, že účinnosť zákona bola navrhnutá adekvátne po zohľadnení legisvakančnej lehoty a štandardnej dĺžky legislatívneho procesu.</w:t>
      </w:r>
    </w:p>
    <w:p w:rsidR="00694F61" w:rsidRDefault="00694F61">
      <w:pPr>
        <w:pStyle w:val="Normlnywebov"/>
        <w:jc w:val="both"/>
        <w:divId w:val="287005629"/>
      </w:pPr>
      <w:r>
        <w:t> </w:t>
      </w:r>
    </w:p>
    <w:p w:rsidR="00694F61" w:rsidRDefault="00694F61">
      <w:pPr>
        <w:pStyle w:val="Normlnywebov"/>
        <w:jc w:val="both"/>
        <w:divId w:val="287005629"/>
      </w:pPr>
      <w:r>
        <w:rPr>
          <w:rStyle w:val="Siln"/>
        </w:rPr>
        <w:t>Záver</w:t>
      </w:r>
    </w:p>
    <w:p w:rsidR="00694F61" w:rsidRDefault="00694F61">
      <w:pPr>
        <w:pStyle w:val="Normlnywebov"/>
        <w:jc w:val="both"/>
        <w:divId w:val="287005629"/>
      </w:pPr>
      <w:r>
        <w:t xml:space="preserve">            Ministerstvo spravodlivosti súhlasí s predloženým návrhom poslanca Národnej rady Slovenskej republiky Gábora Gála na vydanie zákona, ktorým sa mení a dopĺňa zákon č. 4/2001 Z. z. o Zbore väzenskej a justičnej stráže v znení neskorších predpisov (tlač 123) a po zohľadnení uplatnenej pripomienky odporúča vláde Slovenskej republiky vysloviť s poslaneckým návrhom </w:t>
      </w:r>
      <w:r>
        <w:rPr>
          <w:rStyle w:val="Siln"/>
        </w:rPr>
        <w:t>súhlas</w:t>
      </w:r>
      <w:r>
        <w:t>.</w:t>
      </w:r>
    </w:p>
    <w:p w:rsidR="00E14E7F" w:rsidRDefault="00694F61"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652" w:rsidRDefault="00A15652" w:rsidP="000A67D5">
      <w:pPr>
        <w:spacing w:after="0" w:line="240" w:lineRule="auto"/>
      </w:pPr>
      <w:r>
        <w:separator/>
      </w:r>
    </w:p>
  </w:endnote>
  <w:endnote w:type="continuationSeparator" w:id="0">
    <w:p w:rsidR="00A15652" w:rsidRDefault="00A15652"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652" w:rsidRDefault="00A15652" w:rsidP="000A67D5">
      <w:pPr>
        <w:spacing w:after="0" w:line="240" w:lineRule="auto"/>
      </w:pPr>
      <w:r>
        <w:separator/>
      </w:r>
    </w:p>
  </w:footnote>
  <w:footnote w:type="continuationSeparator" w:id="0">
    <w:p w:rsidR="00A15652" w:rsidRDefault="00A15652"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41EA1"/>
    <w:rsid w:val="000603AB"/>
    <w:rsid w:val="0006543E"/>
    <w:rsid w:val="00092DD6"/>
    <w:rsid w:val="000A67D5"/>
    <w:rsid w:val="000B637D"/>
    <w:rsid w:val="000C30FD"/>
    <w:rsid w:val="000E25CA"/>
    <w:rsid w:val="001034F7"/>
    <w:rsid w:val="00146547"/>
    <w:rsid w:val="00146B48"/>
    <w:rsid w:val="00150388"/>
    <w:rsid w:val="001A3641"/>
    <w:rsid w:val="002000C5"/>
    <w:rsid w:val="002109B0"/>
    <w:rsid w:val="0021228E"/>
    <w:rsid w:val="00230F3C"/>
    <w:rsid w:val="002614A0"/>
    <w:rsid w:val="0026610F"/>
    <w:rsid w:val="002702D6"/>
    <w:rsid w:val="002A5577"/>
    <w:rsid w:val="002F7EAB"/>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342E"/>
    <w:rsid w:val="004E70BA"/>
    <w:rsid w:val="00532574"/>
    <w:rsid w:val="0053385C"/>
    <w:rsid w:val="00581D58"/>
    <w:rsid w:val="0059081C"/>
    <w:rsid w:val="005F21EB"/>
    <w:rsid w:val="00634B9C"/>
    <w:rsid w:val="00642FB8"/>
    <w:rsid w:val="00657226"/>
    <w:rsid w:val="00694F61"/>
    <w:rsid w:val="006A3681"/>
    <w:rsid w:val="007055C1"/>
    <w:rsid w:val="00764FAC"/>
    <w:rsid w:val="00766598"/>
    <w:rsid w:val="007746DD"/>
    <w:rsid w:val="00777C34"/>
    <w:rsid w:val="007A1010"/>
    <w:rsid w:val="007D7AE6"/>
    <w:rsid w:val="00801BA1"/>
    <w:rsid w:val="0081645A"/>
    <w:rsid w:val="008354BD"/>
    <w:rsid w:val="0084052F"/>
    <w:rsid w:val="00880BB5"/>
    <w:rsid w:val="008A1964"/>
    <w:rsid w:val="008D2B72"/>
    <w:rsid w:val="008E2844"/>
    <w:rsid w:val="008E3D2E"/>
    <w:rsid w:val="0090100E"/>
    <w:rsid w:val="009239D9"/>
    <w:rsid w:val="009B2526"/>
    <w:rsid w:val="009B3304"/>
    <w:rsid w:val="009C6C5C"/>
    <w:rsid w:val="009D6F8B"/>
    <w:rsid w:val="00A05DD1"/>
    <w:rsid w:val="00A15652"/>
    <w:rsid w:val="00A54A16"/>
    <w:rsid w:val="00A95319"/>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96DB7"/>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694F61"/>
    <w:rPr>
      <w:b/>
      <w:bCs/>
    </w:rPr>
  </w:style>
  <w:style w:type="character" w:styleId="Zvraznenie">
    <w:name w:val="Emphasis"/>
    <w:uiPriority w:val="20"/>
    <w:qFormat/>
    <w:rsid w:val="00694F61"/>
    <w:rPr>
      <w:i/>
      <w:iCs/>
    </w:rPr>
  </w:style>
  <w:style w:type="character" w:styleId="Odkaznakomentr">
    <w:name w:val="annotation reference"/>
    <w:basedOn w:val="Predvolenpsmoodseku"/>
    <w:uiPriority w:val="99"/>
    <w:semiHidden/>
    <w:unhideWhenUsed/>
    <w:rsid w:val="002614A0"/>
    <w:rPr>
      <w:sz w:val="16"/>
      <w:szCs w:val="16"/>
    </w:rPr>
  </w:style>
  <w:style w:type="paragraph" w:styleId="Textkomentra">
    <w:name w:val="annotation text"/>
    <w:basedOn w:val="Normlny"/>
    <w:link w:val="TextkomentraChar"/>
    <w:uiPriority w:val="99"/>
    <w:semiHidden/>
    <w:unhideWhenUsed/>
    <w:rsid w:val="002614A0"/>
    <w:pPr>
      <w:spacing w:line="240" w:lineRule="auto"/>
    </w:pPr>
    <w:rPr>
      <w:sz w:val="20"/>
      <w:szCs w:val="20"/>
    </w:rPr>
  </w:style>
  <w:style w:type="character" w:customStyle="1" w:styleId="TextkomentraChar">
    <w:name w:val="Text komentára Char"/>
    <w:basedOn w:val="Predvolenpsmoodseku"/>
    <w:link w:val="Textkomentra"/>
    <w:uiPriority w:val="99"/>
    <w:semiHidden/>
    <w:rsid w:val="002614A0"/>
    <w:rPr>
      <w:noProof/>
      <w:sz w:val="20"/>
      <w:szCs w:val="20"/>
      <w:lang w:val="sk-SK"/>
    </w:rPr>
  </w:style>
  <w:style w:type="paragraph" w:styleId="Predmetkomentra">
    <w:name w:val="annotation subject"/>
    <w:basedOn w:val="Textkomentra"/>
    <w:next w:val="Textkomentra"/>
    <w:link w:val="PredmetkomentraChar"/>
    <w:uiPriority w:val="99"/>
    <w:semiHidden/>
    <w:unhideWhenUsed/>
    <w:rsid w:val="002614A0"/>
    <w:rPr>
      <w:b/>
      <w:bCs/>
    </w:rPr>
  </w:style>
  <w:style w:type="character" w:customStyle="1" w:styleId="PredmetkomentraChar">
    <w:name w:val="Predmet komentára Char"/>
    <w:basedOn w:val="TextkomentraChar"/>
    <w:link w:val="Predmetkomentra"/>
    <w:uiPriority w:val="99"/>
    <w:semiHidden/>
    <w:rsid w:val="002614A0"/>
    <w:rPr>
      <w:b/>
      <w:bCs/>
      <w:noProof/>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005629">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sprava"/>
    <f:field ref="objsubject" par="" edit="true" text=""/>
    <f:field ref="objcreatedby" par="" text="Kočišová, Simona"/>
    <f:field ref="objcreatedat" par="" text="26.7.2016 14:55:42"/>
    <f:field ref="objchangedby" par="" text="Administrator, System"/>
    <f:field ref="objmodifiedat" par="" text="26.7.2016 14:55: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0194F04-CC8D-4C85-979C-6C95572F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2016-07-26T12:56:00Z</dcterms:created>
  <dcterms:modified xsi:type="dcterms:W3CDTF">2016-07-26T12:56:00Z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Poslanecký návrh - zákon</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Trestné právo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Simona Kočišová</vt:lpwstr>
  </property>
  <property name="FSC#SKEDITIONSLOVLEX@103.510:zodppredkladatel" pid="9" fmtid="{D5CDD505-2E9C-101B-9397-08002B2CF9AE}">
    <vt:lpwstr>Lucia Žitňanská</vt:lpwstr>
  </property>
  <property name="FSC#SKEDITIONSLOVLEX@103.510:nazovpredpis" pid="10" fmtid="{D5CDD505-2E9C-101B-9397-08002B2CF9AE}">
    <vt:lpwstr> Návrh poslanca Národnej rady Slovenskej republiky Gábora Gála na vydanie zákona, ktorým sa mení a dopĺňa zákon č. 4/2001 Z. z. o Zbore väzenskej a justičnej stráže v znení neskorších predpisov (tlač 123) </vt:lpwstr>
  </property>
  <property name="FSC#SKEDITIONSLOVLEX@103.510:cislopredpis" pid="11" fmtid="{D5CDD505-2E9C-101B-9397-08002B2CF9AE}">
    <vt:lpwstr/>
  </property>
  <property name="FSC#SKEDITIONSLOVLEX@103.510:zodpinstitucia" pid="12" fmtid="{D5CDD505-2E9C-101B-9397-08002B2CF9AE}">
    <vt:lpwstr>Ministerstvo spravodlivosti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Na základe §70 ods. 2 zákona Národnej rady Slovenskej republiky č. 350/1996 Z. z. o rokovacom poriadku Národnej rady Slovenskej republiky v znení neskorších predpisov</vt:lpwstr>
  </property>
  <property name="FSC#SKEDITIONSLOVLEX@103.510:plnynazovpredpis" pid="16" fmtid="{D5CDD505-2E9C-101B-9397-08002B2CF9AE}">
    <vt:lpwstr> Návrh poslanca Národnej rady Slovenskej republiky Gábora Gála na vydanie zákona, ktorým sa mení a dopĺňa zákon č. 4/2001 Z. z. o Zbore väzenskej a justičnej stráže v znení neskorších predpisov (tlač 123) </vt:lpwstr>
  </property>
  <property name="FSC#SKEDITIONSLOVLEX@103.510:rezortcislopredpis" pid="17" fmtid="{D5CDD505-2E9C-101B-9397-08002B2CF9AE}">
    <vt:lpwstr>44812/2016/120</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LP/2016/708</vt:lpwstr>
  </property>
  <property name="FSC#SKEDITIONSLOVLEX@103.510:typsprievdok" pid="27" fmtid="{D5CDD505-2E9C-101B-9397-08002B2CF9AE}">
    <vt:lpwstr>Predkladacia správa</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
  </property>
  <property name="FSC#SKEDITIONSLOVLEX@103.510:AttrStrListDocPropGestorSpolupRezorty" pid="47" fmtid="{D5CDD505-2E9C-101B-9397-08002B2CF9AE}">
    <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
  </property>
  <property name="FSC#SKEDITIONSLOVLEX@103.510:AttrStrDocPropVplyvPodnikatelskeProstr" pid="51" fmtid="{D5CDD505-2E9C-101B-9397-08002B2CF9AE}">
    <vt:lpwstr/>
  </property>
  <property name="FSC#SKEDITIONSLOVLEX@103.510:AttrStrDocPropVplyvSocialny" pid="52" fmtid="{D5CDD505-2E9C-101B-9397-08002B2CF9AE}">
    <vt:lpwstr/>
  </property>
  <property name="FSC#SKEDITIONSLOVLEX@103.510:AttrStrDocPropVplyvNaZivotProstr" pid="53" fmtid="{D5CDD505-2E9C-101B-9397-08002B2CF9AE}">
    <vt:lpwstr/>
  </property>
  <property name="FSC#SKEDITIONSLOVLEX@103.510:AttrStrDocPropVplyvNaInformatizaciu" pid="54" fmtid="{D5CDD505-2E9C-101B-9397-08002B2CF9AE}">
    <vt:lpwstr/>
  </property>
  <property name="FSC#SKEDITIONSLOVLEX@103.510:AttrStrListDocPropPoznamkaVplyv" pid="55" fmtid="{D5CDD505-2E9C-101B-9397-08002B2CF9AE}">
    <vt:lpwstr/>
  </property>
  <property name="FSC#SKEDITIONSLOVLEX@103.510:AttrStrListDocPropAltRiesenia" pid="56" fmtid="{D5CDD505-2E9C-101B-9397-08002B2CF9AE}">
    <vt:lpwstr/>
  </property>
  <property name="FSC#SKEDITIONSLOVLEX@103.510:AttrStrListDocPropStanoviskoGest" pid="57" fmtid="{D5CDD505-2E9C-101B-9397-08002B2CF9AE}">
    <vt:lpwstr/>
  </property>
  <property name="FSC#SKEDITIONSLOVLEX@103.510:AttrStrListDocPropTextKomunike" pid="58" fmtid="{D5CDD505-2E9C-101B-9397-08002B2CF9AE}">
    <vt:lpwstr>Vláda Slovenskej republiky na svojom rokovaní dňa ....................... prerokovala a súhlasila s návrhom poslanca Národnej rady Slovenskej republiky Gábora Gála na vydanie zákona, ktorým sa mení a dopĺňa zákon č. 4/2001 Z. z. o Zbore väzenskej a justičnej stráže v znení neskorších predpisov (tlač 123).</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justify;"&gt;Na základe ustanovenia § 70 ods. 2 zákona Národnej rady Slovenskej republiky č.&amp;nbsp;350/1996 Z. z. o&amp;nbsp;rokovacom poriadku Národnej rady Slovenskej republiky a&amp;nbsp;podľa článku 31 Legislatívnych pravidiel vlády Slovenskej republiky Ministerstvo spravodlivosti Slovenskej republiky (ďalej len ako ,,ministerstvo spravodlivosti“) predkladá na rokovanie vlády Slovenskej republiky Návrh poslanca Národnej rady Slovenskej republiky Gábora Gála na vydanie zákona, ktorým sa mení a dopĺňa zákon č. 4/2001 Z. z. o Zbore väzenskej a justičnej stráže v znení neskorších predpisov (tlač 123) (ďalej len ako ,,poslanecký návrh“).&lt;/p&gt;&lt;p style="text-align: justify;"&gt;Ministerstvo spravodlivosti k&amp;nbsp;poslaneckému návrhu uvádza nasledovné:&lt;/p&gt;&lt;p style="text-align: justify;"&gt;&amp;nbsp;&lt;/p&gt;&lt;p style="text-align: justify;"&gt;&lt;strong&gt;Všeobecne&lt;/strong&gt;&lt;/p&gt;&lt;p style="text-align: justify;"&gt;Cieľom poslaneckého návrhu zákona je rozšírenie právneho základu upravujúceho&amp;nbsp;pôsobnosť príslušníkov Zboru väzenskej a&amp;nbsp;justičnej stráže, pričom uvedené je nevyhnutnou reakciou na zmenu sídla Súdnej rady Slovenskej republiky a&amp;nbsp;kancelárie Súdnej rady Slovenskej republiky (spolu ďalej len ako ,,súdna rada“). Vo vzťahu k&amp;nbsp;informáciám o zmene sídla súdnej rady, o&amp;nbsp;týchto podrobnejšie informovala vedúca kancelárie Súdnej rady na 39. zasadnutí súdnej rady, ako je uvedené aj v&amp;nbsp;zápisnici z&amp;nbsp;predmetného zasadnutia na str. 18, bod 17 tejto zápisnice. Faktická zmena sídla súdnej rady bola realizovaná dňa 30. mája 2016, kedy sa uskutočnilo slávnostné otvorenie nových priestorov sídla Súdnej rady.&lt;/p&gt;&lt;p style="text-align: justify;"&gt;V&amp;nbsp;zmysle znenia dôvodovej správy k&amp;nbsp;poslaneckému návrhu (ďalej len ako ,,dôvodová správa“), &lt;em&gt;in concreto&lt;/em&gt; jej všeobecnej časti je účelom predkladateľov: &lt;em&gt;,,(...)&lt;/em&gt;&lt;em&gt; vytvoriť zákonné predpoklady pre zabezpečenie ochrany objektov, v&amp;nbsp;ktorých sídli Súdna rada Slovenskej republiky vrátane poriadku v&amp;nbsp;týchto objektoch, a&amp;nbsp;to zo strany príslušníkov Zboru väzenskej a&amp;nbsp;justičnej stráže.“&lt;/em&gt;&lt;/p&gt;&lt;p style="text-align: justify;"&gt;&amp;nbsp;&lt;/p&gt;&lt;p style="text-align: justify;"&gt;&lt;strong&gt;Stanovisko&lt;/strong&gt;&lt;/p&gt;&lt;p style="text-align: justify;"&gt;Ministerstvo spravodlivosti zaujíma k&amp;nbsp;poslaneckému návrhu nasledovné stanovisko:&lt;/p&gt;&lt;p style="text-align: justify;"&gt;&lt;strong&gt;K&amp;nbsp;návrhu zákona&lt;/strong&gt;&lt;strong&gt;, k Čl. I&lt;/strong&gt;&lt;/p&gt;&lt;p style="text-align: justify;"&gt;K&amp;nbsp;úvodnému odseku Čl. I&amp;nbsp;predloženého poslaneckého návrhu má Ministerstvo spravodlivosti nasledovnú legislatívno-technickú pripomienku:&lt;/p&gt;&lt;p style="text-align: justify;"&gt;V&amp;nbsp;Čl. I&amp;nbsp;v&amp;nbsp;úvodnom odseku, v&amp;nbsp;rámci ktorého sa uvádza výpočet zákonov, ktoré doposiaľ novelizovali pôvodný zákon č. 4/2001 Z. z. o Zbore väzenskej a justičnej stráže (ďalej len „zákon o ZVJS“) odporúčame v&amp;nbsp;závere úvodnej vety za &lt;em&gt;,,zákona č. 386/2015 Z. z.“&lt;/em&gt; nahradiť slovo &lt;em&gt;,,a“&lt;/em&gt; čiarkou a&amp;nbsp;za &lt;em&gt;,,zákona č. 444/2015 Z. z.“&lt;/em&gt; vložiť slová &lt;em&gt;,,a zákona č. 125/2016 Z. z.“&lt;/em&gt;, tak aby znenie úvodného odseku Čl. I&amp;nbsp;bolo nasledovné:&lt;/p&gt;&lt;p style="text-align: justify;"&gt;&lt;em&gt;,,&lt;/em&gt;&lt;em&gt;Zákon č. 4/2001 Z. z. o&amp;nbsp;Zbore väzenskej a&amp;nbsp;justičnej stráže v&amp;nbsp;znení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a&amp;nbsp;zákona č. 125/2016 Z. z. sa&amp;nbsp;mení a dopĺňa takto:“&lt;/em&gt;&lt;/p&gt;&lt;p style="text-align: justify;"&gt;Predložený poslanecký návrh ďalej v&amp;nbsp;Čl. I rozširuje pôsobnosť resp. oprávnenia príslušníkov Zboru väzenskej a&amp;nbsp;justičnej stráže, &lt;em&gt;in concreto&lt;/em&gt; príslušníkov uvedeného zboru, ktorí zabezpečujú ochranu poriadku a bezpečnosti v objektoch súdu a v objektoch prokuratúry na účel zachovania nerušeného priebehu konania pred súdom a bezpečnosti osôb, pričom v&amp;nbsp;zmysle § 47 ods. 1 zákona o&amp;nbsp;ZVJS sa títo označujú ako &lt;em&gt;,,Justičná stráž“&lt;/em&gt;. Doposiaľ boli v § 47 Zákona o&amp;nbsp;ZVJS vo vzťahu k&amp;nbsp;oprávneniam Justičnej stráže, smerujúcim k zabezpečeniu ochrany objektov explicitne uvedené objekty súdov, objekty prokuratúry, a objekty ministerstva.&lt;/p&gt;&lt;p style="text-align: justify;"&gt;Sídlo Súdnej rady bolo v&amp;nbsp;minulosti v&amp;nbsp;objekte súdu a ministerstva, &lt;em&gt;in concreto&lt;/em&gt; v&amp;nbsp;budove Najvyššieho súdu Slovenskej republiky, ktorá je súčasne budovou Ministerstva spravodlivosti. Z&amp;nbsp;uvedeného je zrejmé, že zabezpečenie ochrany objektu, v&amp;nbsp;ktorom sídlila Súdna rada nebolo potrebné explicitne zavádzať do ustanovení zákona o&amp;nbsp;ZVJS, nakoľko Justičná stráž odvodzovala svoje oprávnenia z&amp;nbsp;ustanovení § 47 zákona o&amp;nbsp;ZVJS, ktoré sa vzťahovali na objekty súdov resp. ministerstva. Avšak&amp;nbsp;súvislosti s&amp;nbsp;uvedeným treba poukázať na skutočnosť, že došlo k&amp;nbsp;zmene sídla súdnej rady, pričom v&amp;nbsp;súčasnosti je ním budova Miestodržiteľského paláca, ktorá nespĺňa kritériá objektu, v&amp;nbsp;ktorom sú príslušníci Zboru väzenskej a&amp;nbsp;justičnej stráže schopní realizovať svoje oprávnenia v&amp;nbsp;zmysle § 47 zákona o&amp;nbsp;VJS, nakoľko nie je objektom inštitúcii explicitne vymenovaných v&amp;nbsp;už spomínanom § 47 zákona o&amp;nbsp;ZVJS.&lt;/p&gt;&lt;p style="text-align: justify;"&gt;Z&amp;nbsp;vyššie uvedeného tak vyplýva nevyhnutnosť rozšírenia oprávnení príslušníkov spomenutej Justičnej stráže, ktorá sa bude vzťahovať aj na zabezpečenie ochrany objektu, v&amp;nbsp;ktorom sídli súdna rada, pričom uvedené s&amp;nbsp;ohľadom na znenie § 47 zákona o&amp;nbsp;ZVJS nie je možné dosiahnuť inak, ako zmenou príslušného ustanovenia predmetného zákona.&lt;/p&gt;&lt;p style="text-align: justify;"&gt;Ministerstvo spravodlivosti má na základe vyššie uvedeného za preukázané, že poslanecký návrh je dôvodný a&amp;nbsp;po zohľadnení uplatnenej legislatívno- technickej pripomienky sa stotožňuje s&amp;nbsp;formuláciou navrhovaného znenia poslaneckého návrhu.&lt;/p&gt;&lt;p style="text-align: justify;"&gt;&lt;strong&gt;K&amp;nbsp;návrhu zákona&lt;/strong&gt;&lt;strong&gt;, k Čl. II&lt;/strong&gt;&lt;/p&gt;&lt;p style="text-align: justify;"&gt;Predkladateľ navrhuje nadobudnutie účinnosti na 1. októbra 2016. S&amp;nbsp;uvedeným sa ministerstvo spravodlivosti stotožňuje, nakoľko má za to, že účinnosť zákona bola navrhnutá adekvátne po zohľadnení legisvakančnej lehoty a štandardnej dĺžky legislatívneho procesu.&lt;/p&gt;&lt;p style="text-align: justify;"&gt;&amp;nbsp;&lt;/p&gt;&lt;p style="text-align: justify;"&gt;&lt;strong&gt;Záver&lt;/strong&gt;&lt;/p&gt;&lt;p style="text-align: justify;"&gt;&amp;nbsp;&amp;nbsp;&amp;nbsp;&amp;nbsp;&amp;nbsp;&amp;nbsp;&amp;nbsp;&amp;nbsp;&amp;nbsp;&amp;nbsp;&amp;nbsp; Ministerstvo spravodlivosti súhlasí s&amp;nbsp;predloženým návrhom poslanca Národnej rady Slovenskej republiky Gábora Gála na vydanie zákona, ktorým sa mení a dopĺňa zákon č. 4/2001 Z. z. o Zbore väzenskej a justičnej stráže v znení neskorších predpisov (tlač 123) a&amp;nbsp;po zohľadnení uplatnenej pripomienky odporúča vláde Slovenskej republiky vysloviť s&amp;nbsp;poslaneckým návrhom &lt;strong&gt;súhlas&lt;/strong&gt;.&lt;/p&gt;</vt:lpwstr>
  </property>
  <property name="FSC#COOSYSTEM@1.1:Container" pid="130" fmtid="{D5CDD505-2E9C-101B-9397-08002B2CF9AE}">
    <vt:lpwstr>COO.2145.1000.3.1535281</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Správa o účasti verejnosti na tvorbe právneho predpisu sa v prípade poslaneckých návrhov zákonov nevyhotovuje.</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podpredsedníčka vlády a ministerka spravodlivosti Slovenskej republiky</vt:lpwstr>
  </property>
  <property name="FSC#SKEDITIONSLOVLEX@103.510:funkciaZodpPredAkuzativ" pid="145" fmtid="{D5CDD505-2E9C-101B-9397-08002B2CF9AE}">
    <vt:lpwstr>podpredsedníčku vlády a ministerku spravodlivosti Slovenskej republiky</vt:lpwstr>
  </property>
  <property name="FSC#SKEDITIONSLOVLEX@103.510:funkciaZodpPredDativ" pid="146" fmtid="{D5CDD505-2E9C-101B-9397-08002B2CF9AE}">
    <vt:lpwstr>podpredsedníčke vlády a ministerke spravodlivosti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Lucia Žitňanská_x000d__x000a_podpredsedníčka vlády a ministerka spravodlivosti Slovenskej republiky</vt:lpwstr>
  </property>
  <property name="FSC#SKEDITIONSLOVLEX@103.510:aktualnyrok" pid="151" fmtid="{D5CDD505-2E9C-101B-9397-08002B2CF9AE}">
    <vt:lpwstr>2016</vt:lpwstr>
  </property>
</Properties>
</file>