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0E278780" w:rsidR="008570D4" w:rsidRPr="00117A7E" w:rsidRDefault="00AC43E2" w:rsidP="002B14DD">
            <w:pPr>
              <w:pStyle w:val="Odsekzoznamu"/>
              <w:numPr>
                <w:ilvl w:val="0"/>
                <w:numId w:val="7"/>
              </w:numPr>
              <w:tabs>
                <w:tab w:val="left" w:pos="360"/>
              </w:tabs>
            </w:pPr>
            <w:r>
              <w:rPr>
                <w:rFonts w:ascii="Times" w:hAnsi="Times" w:cs="Times"/>
                <w:sz w:val="25"/>
                <w:szCs w:val="25"/>
              </w:rPr>
              <w:t>je upravená v práve Európskej únie</w:t>
            </w:r>
          </w:p>
          <w:p w14:paraId="346DB90A" w14:textId="3FDCB0F2" w:rsidR="00AC43E2" w:rsidRDefault="00AC43E2">
            <w:pPr>
              <w:divId w:val="1764257128"/>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Zmluva o fungovaní Európskej únie – HLAVA VII SPOLOČNÉ PRAVIDLÁ PRE HOSPODÁRSKU SÚŤAŽ, ZDAŇOVANIE A APROXIMÁCIU PRÁVA, Kapitola 3 APROXIMÁCIA PRÁVA, Článok 114</w:t>
            </w:r>
          </w:p>
          <w:p w14:paraId="394454C0" w14:textId="107D0045" w:rsidR="00054456" w:rsidRPr="00117A7E" w:rsidRDefault="00054456" w:rsidP="00054456">
            <w:pPr>
              <w:pStyle w:val="Odsekzoznamu"/>
              <w:tabs>
                <w:tab w:val="left" w:pos="360"/>
              </w:tabs>
              <w:ind w:left="360"/>
            </w:pPr>
          </w:p>
          <w:p w14:paraId="6339C803" w14:textId="366385CF" w:rsidR="00AC43E2" w:rsidRDefault="00AC43E2">
            <w:pPr>
              <w:divId w:val="1808232061"/>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 Smernica Európskeho parlamentu a Rady 2014/90/EÚ z 23. júla 2014 o vybavení námorných lodí a o zrušení smernice Rady 96/98/ES (Ú. v. EÚ L 257, 28. 8. 2014)</w:t>
            </w:r>
          </w:p>
          <w:p w14:paraId="5C41D9D3" w14:textId="23111E6F" w:rsidR="006F3E6F" w:rsidRPr="00117A7E" w:rsidRDefault="006F3E6F" w:rsidP="006F3E6F">
            <w:pPr>
              <w:pStyle w:val="Odsekzoznamu"/>
              <w:tabs>
                <w:tab w:val="left" w:pos="360"/>
              </w:tabs>
              <w:ind w:left="360"/>
            </w:pPr>
          </w:p>
          <w:p w14:paraId="7FE7F7B2" w14:textId="51EF34BD" w:rsidR="00AC43E2" w:rsidRDefault="00AC43E2">
            <w:pPr>
              <w:divId w:val="2084179019"/>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w:t>
            </w:r>
          </w:p>
          <w:p w14:paraId="5DE3403E" w14:textId="60C71E36" w:rsidR="0023485C" w:rsidRPr="00117A7E" w:rsidRDefault="0023485C" w:rsidP="006F3E6F">
            <w:pPr>
              <w:pStyle w:val="Odsekzoznamu"/>
              <w:tabs>
                <w:tab w:val="left" w:pos="360"/>
              </w:tabs>
              <w:ind w:left="360"/>
            </w:pPr>
          </w:p>
          <w:p w14:paraId="47BCFDD6" w14:textId="408560B1" w:rsidR="00AC43E2" w:rsidRDefault="00AC43E2">
            <w:pPr>
              <w:divId w:val="471220242"/>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 Nariadenie Európskeho parlamentu a Rady (ES) č. 765/2008 z 9. júla 2008, ktorým sa stanovujú požiadavky akreditácie a dohľadu nad trhom v súvislosti s uvádzaním výrobkov na trh a ktorým sa zrušuje nariadenie (EHS) č. 339/93 (Ú. v. EÚ L 218, 13. 8. 2008).</w:t>
            </w:r>
          </w:p>
          <w:p w14:paraId="20F46682" w14:textId="57DB4037"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0174C02F" w:rsidR="001F0AA3" w:rsidRPr="00117A7E" w:rsidRDefault="00AC43E2"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1F26E365" w14:textId="1EF65214" w:rsidR="00AC43E2" w:rsidRDefault="00AC43E2">
            <w:pPr>
              <w:spacing w:after="250"/>
              <w:divId w:val="103235706"/>
              <w:rPr>
                <w:rFonts w:ascii="Times" w:hAnsi="Times" w:cs="Times"/>
                <w:sz w:val="25"/>
                <w:szCs w:val="25"/>
              </w:rPr>
            </w:pPr>
          </w:p>
          <w:p w14:paraId="10E820A7" w14:textId="6AB78FFF" w:rsidR="0023485C" w:rsidRPr="00117A7E" w:rsidRDefault="0023485C" w:rsidP="00AC43E2">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279598F5" w14:textId="126C497C" w:rsidR="00AC43E2" w:rsidRDefault="00AC43E2"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AC43E2" w14:paraId="3E1BFE30" w14:textId="77777777">
        <w:trPr>
          <w:divId w:val="89548333"/>
          <w:jc w:val="center"/>
        </w:trPr>
        <w:tc>
          <w:tcPr>
            <w:tcW w:w="250" w:type="pct"/>
            <w:tcBorders>
              <w:top w:val="nil"/>
              <w:left w:val="nil"/>
              <w:bottom w:val="nil"/>
              <w:right w:val="nil"/>
            </w:tcBorders>
            <w:hideMark/>
          </w:tcPr>
          <w:p w14:paraId="26E8C918" w14:textId="77777777" w:rsidR="00AC43E2" w:rsidRDefault="00AC43E2">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4B7762F4" w14:textId="77777777" w:rsidR="00AC43E2" w:rsidRDefault="00AC43E2">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AC43E2" w14:paraId="431AC91F" w14:textId="77777777">
        <w:trPr>
          <w:divId w:val="89548333"/>
          <w:jc w:val="center"/>
        </w:trPr>
        <w:tc>
          <w:tcPr>
            <w:tcW w:w="0" w:type="auto"/>
            <w:tcBorders>
              <w:top w:val="nil"/>
              <w:left w:val="nil"/>
              <w:bottom w:val="nil"/>
              <w:right w:val="nil"/>
            </w:tcBorders>
            <w:hideMark/>
          </w:tcPr>
          <w:p w14:paraId="52F33F38" w14:textId="77777777" w:rsidR="00AC43E2" w:rsidRDefault="00AC43E2">
            <w:pPr>
              <w:spacing w:after="250"/>
              <w:rPr>
                <w:rFonts w:ascii="Times" w:hAnsi="Times" w:cs="Times"/>
                <w:b/>
                <w:bCs/>
                <w:sz w:val="25"/>
                <w:szCs w:val="25"/>
              </w:rPr>
            </w:pPr>
          </w:p>
        </w:tc>
        <w:tc>
          <w:tcPr>
            <w:tcW w:w="150" w:type="pct"/>
            <w:tcBorders>
              <w:top w:val="nil"/>
              <w:left w:val="nil"/>
              <w:bottom w:val="nil"/>
              <w:right w:val="nil"/>
            </w:tcBorders>
            <w:hideMark/>
          </w:tcPr>
          <w:p w14:paraId="58CD21A2" w14:textId="77777777" w:rsidR="00AC43E2" w:rsidRDefault="00AC43E2">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509018F8" w14:textId="77777777" w:rsidR="00AC43E2" w:rsidRDefault="00AC43E2">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AC43E2" w14:paraId="16BBD6B6" w14:textId="77777777">
        <w:trPr>
          <w:divId w:val="89548333"/>
          <w:jc w:val="center"/>
        </w:trPr>
        <w:tc>
          <w:tcPr>
            <w:tcW w:w="0" w:type="auto"/>
            <w:tcBorders>
              <w:top w:val="nil"/>
              <w:left w:val="nil"/>
              <w:bottom w:val="nil"/>
              <w:right w:val="nil"/>
            </w:tcBorders>
            <w:hideMark/>
          </w:tcPr>
          <w:p w14:paraId="75A27ABB" w14:textId="77777777" w:rsidR="00AC43E2" w:rsidRDefault="00AC43E2">
            <w:pPr>
              <w:spacing w:after="250"/>
              <w:rPr>
                <w:rFonts w:ascii="Times" w:hAnsi="Times" w:cs="Times"/>
                <w:sz w:val="25"/>
                <w:szCs w:val="25"/>
              </w:rPr>
            </w:pPr>
          </w:p>
        </w:tc>
        <w:tc>
          <w:tcPr>
            <w:tcW w:w="0" w:type="auto"/>
            <w:tcBorders>
              <w:top w:val="nil"/>
              <w:left w:val="nil"/>
              <w:bottom w:val="nil"/>
              <w:right w:val="nil"/>
            </w:tcBorders>
            <w:hideMark/>
          </w:tcPr>
          <w:p w14:paraId="754B5B48" w14:textId="77777777" w:rsidR="00AC43E2" w:rsidRDefault="00AC43E2">
            <w:pPr>
              <w:rPr>
                <w:sz w:val="20"/>
                <w:szCs w:val="20"/>
              </w:rPr>
            </w:pPr>
          </w:p>
        </w:tc>
        <w:tc>
          <w:tcPr>
            <w:tcW w:w="0" w:type="auto"/>
            <w:tcBorders>
              <w:top w:val="nil"/>
              <w:left w:val="nil"/>
              <w:bottom w:val="nil"/>
              <w:right w:val="nil"/>
            </w:tcBorders>
            <w:vAlign w:val="center"/>
            <w:hideMark/>
          </w:tcPr>
          <w:p w14:paraId="66F9C307" w14:textId="77777777" w:rsidR="00AC43E2" w:rsidRDefault="00AC43E2">
            <w:pPr>
              <w:spacing w:after="250"/>
              <w:rPr>
                <w:rFonts w:ascii="Times" w:hAnsi="Times" w:cs="Times"/>
                <w:sz w:val="25"/>
                <w:szCs w:val="25"/>
              </w:rPr>
            </w:pPr>
            <w:r>
              <w:rPr>
                <w:rFonts w:ascii="Times" w:hAnsi="Times" w:cs="Times"/>
                <w:sz w:val="25"/>
                <w:szCs w:val="25"/>
              </w:rPr>
              <w:t>do 18. septembra 2016, podľa smernice (EÚ) č. 2014/90</w:t>
            </w:r>
            <w:r>
              <w:rPr>
                <w:rFonts w:ascii="Times" w:hAnsi="Times" w:cs="Times"/>
                <w:sz w:val="25"/>
                <w:szCs w:val="25"/>
              </w:rPr>
              <w:br/>
            </w:r>
          </w:p>
        </w:tc>
      </w:tr>
      <w:tr w:rsidR="00AC43E2" w14:paraId="0668B46E" w14:textId="77777777">
        <w:trPr>
          <w:divId w:val="89548333"/>
          <w:jc w:val="center"/>
        </w:trPr>
        <w:tc>
          <w:tcPr>
            <w:tcW w:w="0" w:type="auto"/>
            <w:tcBorders>
              <w:top w:val="nil"/>
              <w:left w:val="nil"/>
              <w:bottom w:val="nil"/>
              <w:right w:val="nil"/>
            </w:tcBorders>
            <w:hideMark/>
          </w:tcPr>
          <w:p w14:paraId="3F28BE90" w14:textId="77777777" w:rsidR="00AC43E2" w:rsidRDefault="00AC43E2">
            <w:pPr>
              <w:spacing w:after="250"/>
              <w:rPr>
                <w:rFonts w:ascii="Times" w:hAnsi="Times" w:cs="Times"/>
                <w:sz w:val="25"/>
                <w:szCs w:val="25"/>
              </w:rPr>
            </w:pPr>
          </w:p>
        </w:tc>
        <w:tc>
          <w:tcPr>
            <w:tcW w:w="0" w:type="auto"/>
            <w:tcBorders>
              <w:top w:val="nil"/>
              <w:left w:val="nil"/>
              <w:bottom w:val="nil"/>
              <w:right w:val="nil"/>
            </w:tcBorders>
            <w:hideMark/>
          </w:tcPr>
          <w:p w14:paraId="192367DE" w14:textId="77777777" w:rsidR="00AC43E2" w:rsidRDefault="00AC43E2">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7E54630C" w14:textId="77777777" w:rsidR="00AC43E2" w:rsidRDefault="00AC43E2">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AC43E2" w14:paraId="04ED4701" w14:textId="77777777">
        <w:trPr>
          <w:divId w:val="89548333"/>
          <w:jc w:val="center"/>
        </w:trPr>
        <w:tc>
          <w:tcPr>
            <w:tcW w:w="0" w:type="auto"/>
            <w:tcBorders>
              <w:top w:val="nil"/>
              <w:left w:val="nil"/>
              <w:bottom w:val="nil"/>
              <w:right w:val="nil"/>
            </w:tcBorders>
            <w:hideMark/>
          </w:tcPr>
          <w:p w14:paraId="79DE972E" w14:textId="77777777" w:rsidR="00AC43E2" w:rsidRDefault="00AC43E2">
            <w:pPr>
              <w:spacing w:after="250"/>
              <w:rPr>
                <w:rFonts w:ascii="Times" w:hAnsi="Times" w:cs="Times"/>
                <w:sz w:val="25"/>
                <w:szCs w:val="25"/>
              </w:rPr>
            </w:pPr>
          </w:p>
        </w:tc>
        <w:tc>
          <w:tcPr>
            <w:tcW w:w="0" w:type="auto"/>
            <w:tcBorders>
              <w:top w:val="nil"/>
              <w:left w:val="nil"/>
              <w:bottom w:val="nil"/>
              <w:right w:val="nil"/>
            </w:tcBorders>
            <w:hideMark/>
          </w:tcPr>
          <w:p w14:paraId="6B5ABAE4" w14:textId="77777777" w:rsidR="00AC43E2" w:rsidRDefault="00AC43E2">
            <w:pPr>
              <w:rPr>
                <w:sz w:val="20"/>
                <w:szCs w:val="20"/>
              </w:rPr>
            </w:pPr>
          </w:p>
        </w:tc>
        <w:tc>
          <w:tcPr>
            <w:tcW w:w="0" w:type="auto"/>
            <w:tcBorders>
              <w:top w:val="nil"/>
              <w:left w:val="nil"/>
              <w:bottom w:val="nil"/>
              <w:right w:val="nil"/>
            </w:tcBorders>
            <w:vAlign w:val="center"/>
            <w:hideMark/>
          </w:tcPr>
          <w:p w14:paraId="12C0AE59" w14:textId="77777777" w:rsidR="00AC43E2" w:rsidRDefault="00AC43E2">
            <w:pPr>
              <w:spacing w:after="250"/>
              <w:rPr>
                <w:rFonts w:ascii="Times" w:hAnsi="Times" w:cs="Times"/>
                <w:sz w:val="25"/>
                <w:szCs w:val="25"/>
              </w:rPr>
            </w:pPr>
            <w:r>
              <w:rPr>
                <w:rFonts w:ascii="Times" w:hAnsi="Times" w:cs="Times"/>
                <w:sz w:val="25"/>
                <w:szCs w:val="25"/>
              </w:rPr>
              <w:t>nebola určená</w:t>
            </w:r>
            <w:r>
              <w:rPr>
                <w:rFonts w:ascii="Times" w:hAnsi="Times" w:cs="Times"/>
                <w:sz w:val="25"/>
                <w:szCs w:val="25"/>
              </w:rPr>
              <w:br/>
            </w:r>
          </w:p>
        </w:tc>
      </w:tr>
      <w:tr w:rsidR="00AC43E2" w14:paraId="6062731E" w14:textId="77777777">
        <w:trPr>
          <w:divId w:val="89548333"/>
          <w:jc w:val="center"/>
        </w:trPr>
        <w:tc>
          <w:tcPr>
            <w:tcW w:w="0" w:type="auto"/>
            <w:tcBorders>
              <w:top w:val="nil"/>
              <w:left w:val="nil"/>
              <w:bottom w:val="nil"/>
              <w:right w:val="nil"/>
            </w:tcBorders>
            <w:hideMark/>
          </w:tcPr>
          <w:p w14:paraId="1DC9AD75" w14:textId="77777777" w:rsidR="00AC43E2" w:rsidRDefault="00AC43E2">
            <w:pPr>
              <w:spacing w:after="250"/>
              <w:rPr>
                <w:rFonts w:ascii="Times" w:hAnsi="Times" w:cs="Times"/>
                <w:sz w:val="25"/>
                <w:szCs w:val="25"/>
              </w:rPr>
            </w:pPr>
          </w:p>
        </w:tc>
        <w:tc>
          <w:tcPr>
            <w:tcW w:w="0" w:type="auto"/>
            <w:tcBorders>
              <w:top w:val="nil"/>
              <w:left w:val="nil"/>
              <w:bottom w:val="nil"/>
              <w:right w:val="nil"/>
            </w:tcBorders>
            <w:hideMark/>
          </w:tcPr>
          <w:p w14:paraId="5D102EE7" w14:textId="77777777" w:rsidR="00AC43E2" w:rsidRDefault="00AC43E2">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50E4461C" w14:textId="77777777" w:rsidR="00AC43E2" w:rsidRDefault="00AC43E2">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AC43E2" w14:paraId="17E3BA34" w14:textId="77777777">
        <w:trPr>
          <w:divId w:val="89548333"/>
          <w:jc w:val="center"/>
        </w:trPr>
        <w:tc>
          <w:tcPr>
            <w:tcW w:w="0" w:type="auto"/>
            <w:tcBorders>
              <w:top w:val="nil"/>
              <w:left w:val="nil"/>
              <w:bottom w:val="nil"/>
              <w:right w:val="nil"/>
            </w:tcBorders>
            <w:hideMark/>
          </w:tcPr>
          <w:p w14:paraId="3BE722A9" w14:textId="77777777" w:rsidR="00AC43E2" w:rsidRDefault="00AC43E2">
            <w:pPr>
              <w:spacing w:after="250"/>
              <w:rPr>
                <w:rFonts w:ascii="Times" w:hAnsi="Times" w:cs="Times"/>
                <w:sz w:val="25"/>
                <w:szCs w:val="25"/>
              </w:rPr>
            </w:pPr>
          </w:p>
        </w:tc>
        <w:tc>
          <w:tcPr>
            <w:tcW w:w="0" w:type="auto"/>
            <w:tcBorders>
              <w:top w:val="nil"/>
              <w:left w:val="nil"/>
              <w:bottom w:val="nil"/>
              <w:right w:val="nil"/>
            </w:tcBorders>
            <w:hideMark/>
          </w:tcPr>
          <w:p w14:paraId="2D29824A" w14:textId="77777777" w:rsidR="00AC43E2" w:rsidRDefault="00AC43E2">
            <w:pPr>
              <w:rPr>
                <w:sz w:val="20"/>
                <w:szCs w:val="20"/>
              </w:rPr>
            </w:pPr>
          </w:p>
        </w:tc>
        <w:tc>
          <w:tcPr>
            <w:tcW w:w="0" w:type="auto"/>
            <w:tcBorders>
              <w:top w:val="nil"/>
              <w:left w:val="nil"/>
              <w:bottom w:val="nil"/>
              <w:right w:val="nil"/>
            </w:tcBorders>
            <w:vAlign w:val="center"/>
            <w:hideMark/>
          </w:tcPr>
          <w:p w14:paraId="2C782301" w14:textId="77777777" w:rsidR="00AC43E2" w:rsidRDefault="00AC43E2">
            <w:pPr>
              <w:spacing w:after="250"/>
              <w:rPr>
                <w:rFonts w:ascii="Times" w:hAnsi="Times" w:cs="Times"/>
                <w:sz w:val="25"/>
                <w:szCs w:val="25"/>
              </w:rPr>
            </w:pPr>
            <w:r>
              <w:rPr>
                <w:rFonts w:ascii="Times" w:hAnsi="Times" w:cs="Times"/>
                <w:sz w:val="25"/>
                <w:szCs w:val="25"/>
              </w:rPr>
              <w:t>konanie nebolo začaté</w:t>
            </w:r>
            <w:r>
              <w:rPr>
                <w:rFonts w:ascii="Times" w:hAnsi="Times" w:cs="Times"/>
                <w:sz w:val="25"/>
                <w:szCs w:val="25"/>
              </w:rPr>
              <w:br/>
            </w:r>
          </w:p>
        </w:tc>
      </w:tr>
      <w:tr w:rsidR="00AC43E2" w14:paraId="299472EA" w14:textId="77777777">
        <w:trPr>
          <w:divId w:val="89548333"/>
          <w:jc w:val="center"/>
        </w:trPr>
        <w:tc>
          <w:tcPr>
            <w:tcW w:w="0" w:type="auto"/>
            <w:tcBorders>
              <w:top w:val="nil"/>
              <w:left w:val="nil"/>
              <w:bottom w:val="nil"/>
              <w:right w:val="nil"/>
            </w:tcBorders>
            <w:hideMark/>
          </w:tcPr>
          <w:p w14:paraId="166B1264" w14:textId="77777777" w:rsidR="00AC43E2" w:rsidRDefault="00AC43E2">
            <w:pPr>
              <w:spacing w:after="250"/>
              <w:rPr>
                <w:rFonts w:ascii="Times" w:hAnsi="Times" w:cs="Times"/>
                <w:sz w:val="25"/>
                <w:szCs w:val="25"/>
              </w:rPr>
            </w:pPr>
          </w:p>
        </w:tc>
        <w:tc>
          <w:tcPr>
            <w:tcW w:w="0" w:type="auto"/>
            <w:tcBorders>
              <w:top w:val="nil"/>
              <w:left w:val="nil"/>
              <w:bottom w:val="nil"/>
              <w:right w:val="nil"/>
            </w:tcBorders>
            <w:hideMark/>
          </w:tcPr>
          <w:p w14:paraId="24AD5455" w14:textId="77777777" w:rsidR="00AC43E2" w:rsidRDefault="00AC43E2">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2888F7BA" w14:textId="77777777" w:rsidR="00AC43E2" w:rsidRDefault="00AC43E2">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AC43E2" w14:paraId="626CC40A" w14:textId="77777777">
        <w:trPr>
          <w:divId w:val="89548333"/>
          <w:jc w:val="center"/>
        </w:trPr>
        <w:tc>
          <w:tcPr>
            <w:tcW w:w="0" w:type="auto"/>
            <w:tcBorders>
              <w:top w:val="nil"/>
              <w:left w:val="nil"/>
              <w:bottom w:val="nil"/>
              <w:right w:val="nil"/>
            </w:tcBorders>
            <w:hideMark/>
          </w:tcPr>
          <w:p w14:paraId="3F093467" w14:textId="77777777" w:rsidR="00AC43E2" w:rsidRDefault="00AC43E2">
            <w:pPr>
              <w:spacing w:after="250"/>
              <w:rPr>
                <w:rFonts w:ascii="Times" w:hAnsi="Times" w:cs="Times"/>
                <w:sz w:val="25"/>
                <w:szCs w:val="25"/>
              </w:rPr>
            </w:pPr>
          </w:p>
        </w:tc>
        <w:tc>
          <w:tcPr>
            <w:tcW w:w="0" w:type="auto"/>
            <w:tcBorders>
              <w:top w:val="nil"/>
              <w:left w:val="nil"/>
              <w:bottom w:val="nil"/>
              <w:right w:val="nil"/>
            </w:tcBorders>
            <w:hideMark/>
          </w:tcPr>
          <w:p w14:paraId="5F2C3280" w14:textId="77777777" w:rsidR="00AC43E2" w:rsidRDefault="00AC43E2">
            <w:pPr>
              <w:rPr>
                <w:sz w:val="20"/>
                <w:szCs w:val="20"/>
              </w:rPr>
            </w:pPr>
          </w:p>
        </w:tc>
        <w:tc>
          <w:tcPr>
            <w:tcW w:w="0" w:type="auto"/>
            <w:tcBorders>
              <w:top w:val="nil"/>
              <w:left w:val="nil"/>
              <w:bottom w:val="nil"/>
              <w:right w:val="nil"/>
            </w:tcBorders>
            <w:vAlign w:val="center"/>
            <w:hideMark/>
          </w:tcPr>
          <w:p w14:paraId="3D9A4599" w14:textId="77777777" w:rsidR="00AC43E2" w:rsidRDefault="00AC43E2">
            <w:pPr>
              <w:spacing w:after="250"/>
              <w:rPr>
                <w:rFonts w:ascii="Times" w:hAnsi="Times" w:cs="Times"/>
                <w:sz w:val="25"/>
                <w:szCs w:val="25"/>
              </w:rPr>
            </w:pPr>
            <w:r>
              <w:rPr>
                <w:rFonts w:ascii="Times" w:hAnsi="Times" w:cs="Times"/>
                <w:sz w:val="25"/>
                <w:szCs w:val="25"/>
              </w:rPr>
              <w:t>bezpredmetné</w:t>
            </w:r>
            <w:r>
              <w:rPr>
                <w:rFonts w:ascii="Times" w:hAnsi="Times" w:cs="Times"/>
                <w:sz w:val="25"/>
                <w:szCs w:val="25"/>
              </w:rPr>
              <w:br/>
            </w:r>
          </w:p>
        </w:tc>
      </w:tr>
      <w:tr w:rsidR="00AC43E2" w14:paraId="3B509E8F" w14:textId="77777777">
        <w:trPr>
          <w:divId w:val="89548333"/>
          <w:jc w:val="center"/>
        </w:trPr>
        <w:tc>
          <w:tcPr>
            <w:tcW w:w="0" w:type="auto"/>
            <w:tcBorders>
              <w:top w:val="nil"/>
              <w:left w:val="nil"/>
              <w:bottom w:val="nil"/>
              <w:right w:val="nil"/>
            </w:tcBorders>
            <w:hideMark/>
          </w:tcPr>
          <w:p w14:paraId="01A99C16" w14:textId="77777777" w:rsidR="00AC43E2" w:rsidRDefault="00AC43E2">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62D5B369" w14:textId="77777777" w:rsidR="00AC43E2" w:rsidRDefault="00AC43E2">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AC43E2" w14:paraId="3D9B7634" w14:textId="77777777">
        <w:trPr>
          <w:divId w:val="89548333"/>
          <w:jc w:val="center"/>
        </w:trPr>
        <w:tc>
          <w:tcPr>
            <w:tcW w:w="0" w:type="auto"/>
            <w:tcBorders>
              <w:top w:val="nil"/>
              <w:left w:val="nil"/>
              <w:bottom w:val="nil"/>
              <w:right w:val="nil"/>
            </w:tcBorders>
            <w:hideMark/>
          </w:tcPr>
          <w:p w14:paraId="1EDFA9F8" w14:textId="77777777" w:rsidR="00AC43E2" w:rsidRDefault="00AC43E2">
            <w:pPr>
              <w:spacing w:after="250"/>
              <w:rPr>
                <w:rFonts w:ascii="Times" w:hAnsi="Times" w:cs="Times"/>
                <w:b/>
                <w:bCs/>
                <w:sz w:val="25"/>
                <w:szCs w:val="25"/>
              </w:rPr>
            </w:pPr>
          </w:p>
        </w:tc>
        <w:tc>
          <w:tcPr>
            <w:tcW w:w="0" w:type="auto"/>
            <w:tcBorders>
              <w:top w:val="nil"/>
              <w:left w:val="nil"/>
              <w:bottom w:val="nil"/>
              <w:right w:val="nil"/>
            </w:tcBorders>
            <w:hideMark/>
          </w:tcPr>
          <w:p w14:paraId="058856A7" w14:textId="77777777" w:rsidR="00AC43E2" w:rsidRDefault="00AC43E2">
            <w:pPr>
              <w:rPr>
                <w:sz w:val="20"/>
                <w:szCs w:val="20"/>
              </w:rPr>
            </w:pPr>
          </w:p>
        </w:tc>
        <w:tc>
          <w:tcPr>
            <w:tcW w:w="0" w:type="auto"/>
            <w:tcBorders>
              <w:top w:val="nil"/>
              <w:left w:val="nil"/>
              <w:bottom w:val="nil"/>
              <w:right w:val="nil"/>
            </w:tcBorders>
            <w:vAlign w:val="center"/>
            <w:hideMark/>
          </w:tcPr>
          <w:p w14:paraId="5A710A0D" w14:textId="77777777" w:rsidR="00AC43E2" w:rsidRDefault="00AC43E2">
            <w:pPr>
              <w:spacing w:after="250"/>
              <w:rPr>
                <w:rFonts w:ascii="Times" w:hAnsi="Times" w:cs="Times"/>
                <w:sz w:val="25"/>
                <w:szCs w:val="25"/>
              </w:rPr>
            </w:pPr>
            <w:r>
              <w:rPr>
                <w:rFonts w:ascii="Times" w:hAnsi="Times" w:cs="Times"/>
                <w:sz w:val="25"/>
                <w:szCs w:val="25"/>
              </w:rPr>
              <w:t>úplný</w:t>
            </w:r>
          </w:p>
        </w:tc>
      </w:tr>
      <w:tr w:rsidR="00AC43E2" w14:paraId="29AED919" w14:textId="77777777">
        <w:trPr>
          <w:divId w:val="89548333"/>
          <w:jc w:val="center"/>
        </w:trPr>
        <w:tc>
          <w:tcPr>
            <w:tcW w:w="0" w:type="auto"/>
            <w:tcBorders>
              <w:top w:val="nil"/>
              <w:left w:val="nil"/>
              <w:bottom w:val="nil"/>
              <w:right w:val="nil"/>
            </w:tcBorders>
            <w:hideMark/>
          </w:tcPr>
          <w:p w14:paraId="10128ECC" w14:textId="77777777" w:rsidR="00AC43E2" w:rsidRDefault="00AC43E2">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32FCDCC9" w14:textId="77777777" w:rsidR="00AC43E2" w:rsidRDefault="00AC43E2">
            <w:pPr>
              <w:spacing w:after="250"/>
              <w:rPr>
                <w:rFonts w:ascii="Times" w:hAnsi="Times" w:cs="Times"/>
                <w:b/>
                <w:bCs/>
                <w:sz w:val="25"/>
                <w:szCs w:val="25"/>
              </w:rPr>
            </w:pPr>
            <w:r>
              <w:rPr>
                <w:rFonts w:ascii="Times" w:hAnsi="Times" w:cs="Times"/>
                <w:b/>
                <w:bCs/>
                <w:sz w:val="25"/>
                <w:szCs w:val="25"/>
              </w:rPr>
              <w:t>Gestor a spolupracujúce rezorty:</w:t>
            </w:r>
          </w:p>
        </w:tc>
      </w:tr>
      <w:tr w:rsidR="00AC43E2" w14:paraId="1F0D9561" w14:textId="77777777">
        <w:trPr>
          <w:divId w:val="89548333"/>
          <w:jc w:val="center"/>
        </w:trPr>
        <w:tc>
          <w:tcPr>
            <w:tcW w:w="0" w:type="auto"/>
            <w:tcBorders>
              <w:top w:val="nil"/>
              <w:left w:val="nil"/>
              <w:bottom w:val="nil"/>
              <w:right w:val="nil"/>
            </w:tcBorders>
            <w:hideMark/>
          </w:tcPr>
          <w:p w14:paraId="33CB51E6" w14:textId="77777777" w:rsidR="00AC43E2" w:rsidRDefault="00AC43E2">
            <w:pPr>
              <w:spacing w:after="250"/>
              <w:rPr>
                <w:rFonts w:ascii="Times" w:hAnsi="Times" w:cs="Times"/>
                <w:b/>
                <w:bCs/>
                <w:sz w:val="25"/>
                <w:szCs w:val="25"/>
              </w:rPr>
            </w:pPr>
          </w:p>
        </w:tc>
        <w:tc>
          <w:tcPr>
            <w:tcW w:w="0" w:type="auto"/>
            <w:tcBorders>
              <w:top w:val="nil"/>
              <w:left w:val="nil"/>
              <w:bottom w:val="nil"/>
              <w:right w:val="nil"/>
            </w:tcBorders>
            <w:hideMark/>
          </w:tcPr>
          <w:p w14:paraId="1A11B8C7" w14:textId="77777777" w:rsidR="00AC43E2" w:rsidRDefault="00AC43E2">
            <w:pPr>
              <w:rPr>
                <w:sz w:val="20"/>
                <w:szCs w:val="20"/>
              </w:rPr>
            </w:pPr>
          </w:p>
        </w:tc>
        <w:tc>
          <w:tcPr>
            <w:tcW w:w="0" w:type="auto"/>
            <w:tcBorders>
              <w:top w:val="nil"/>
              <w:left w:val="nil"/>
              <w:bottom w:val="nil"/>
              <w:right w:val="nil"/>
            </w:tcBorders>
            <w:vAlign w:val="center"/>
            <w:hideMark/>
          </w:tcPr>
          <w:p w14:paraId="34EA6410" w14:textId="77777777" w:rsidR="00AC43E2" w:rsidRDefault="00AC43E2">
            <w:pPr>
              <w:spacing w:after="250"/>
              <w:rPr>
                <w:rFonts w:ascii="Times" w:hAnsi="Times" w:cs="Times"/>
                <w:sz w:val="25"/>
                <w:szCs w:val="25"/>
              </w:rPr>
            </w:pPr>
            <w:r>
              <w:rPr>
                <w:rFonts w:ascii="Times" w:hAnsi="Times" w:cs="Times"/>
                <w:sz w:val="25"/>
                <w:szCs w:val="25"/>
              </w:rPr>
              <w:t>Úrad pre normalizáciu, metrológiu a skúšobníctvo Slovenskej republiky</w:t>
            </w:r>
            <w:r>
              <w:rPr>
                <w:rFonts w:ascii="Times" w:hAnsi="Times" w:cs="Times"/>
                <w:sz w:val="25"/>
                <w:szCs w:val="25"/>
              </w:rPr>
              <w:br/>
              <w:t>Ministerstvo dopravy, výstavby a regionálneho rozvoja Slovenskej republiky</w:t>
            </w:r>
            <w:r>
              <w:rPr>
                <w:rFonts w:ascii="Times" w:hAnsi="Times" w:cs="Times"/>
                <w:sz w:val="25"/>
                <w:szCs w:val="25"/>
              </w:rPr>
              <w:br/>
            </w:r>
          </w:p>
        </w:tc>
      </w:tr>
    </w:tbl>
    <w:p w14:paraId="0FF88273" w14:textId="5F4BCA86"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AC43E2"/>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D216063D-3B4C-4FB9-AEDC-099C1B40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8333">
      <w:bodyDiv w:val="1"/>
      <w:marLeft w:val="0"/>
      <w:marRight w:val="0"/>
      <w:marTop w:val="0"/>
      <w:marBottom w:val="0"/>
      <w:divBdr>
        <w:top w:val="none" w:sz="0" w:space="0" w:color="auto"/>
        <w:left w:val="none" w:sz="0" w:space="0" w:color="auto"/>
        <w:bottom w:val="none" w:sz="0" w:space="0" w:color="auto"/>
        <w:right w:val="none" w:sz="0" w:space="0" w:color="auto"/>
      </w:divBdr>
    </w:div>
    <w:div w:id="299654198">
      <w:bodyDiv w:val="1"/>
      <w:marLeft w:val="0"/>
      <w:marRight w:val="0"/>
      <w:marTop w:val="0"/>
      <w:marBottom w:val="0"/>
      <w:divBdr>
        <w:top w:val="none" w:sz="0" w:space="0" w:color="auto"/>
        <w:left w:val="none" w:sz="0" w:space="0" w:color="auto"/>
        <w:bottom w:val="none" w:sz="0" w:space="0" w:color="auto"/>
        <w:right w:val="none" w:sz="0" w:space="0" w:color="auto"/>
      </w:divBdr>
      <w:divsChild>
        <w:div w:id="103235706">
          <w:marLeft w:val="0"/>
          <w:marRight w:val="0"/>
          <w:marTop w:val="0"/>
          <w:marBottom w:val="0"/>
          <w:divBdr>
            <w:top w:val="none" w:sz="0" w:space="0" w:color="auto"/>
            <w:left w:val="none" w:sz="0" w:space="0" w:color="auto"/>
            <w:bottom w:val="none" w:sz="0" w:space="0" w:color="auto"/>
            <w:right w:val="none" w:sz="0" w:space="0" w:color="auto"/>
          </w:divBdr>
        </w:div>
      </w:divsChild>
    </w:div>
    <w:div w:id="335425567">
      <w:bodyDiv w:val="1"/>
      <w:marLeft w:val="0"/>
      <w:marRight w:val="0"/>
      <w:marTop w:val="0"/>
      <w:marBottom w:val="0"/>
      <w:divBdr>
        <w:top w:val="none" w:sz="0" w:space="0" w:color="auto"/>
        <w:left w:val="none" w:sz="0" w:space="0" w:color="auto"/>
        <w:bottom w:val="none" w:sz="0" w:space="0" w:color="auto"/>
        <w:right w:val="none" w:sz="0" w:space="0" w:color="auto"/>
      </w:divBdr>
      <w:divsChild>
        <w:div w:id="471220242">
          <w:marLeft w:val="0"/>
          <w:marRight w:val="0"/>
          <w:marTop w:val="0"/>
          <w:marBottom w:val="0"/>
          <w:divBdr>
            <w:top w:val="none" w:sz="0" w:space="0" w:color="auto"/>
            <w:left w:val="none" w:sz="0" w:space="0" w:color="auto"/>
            <w:bottom w:val="none" w:sz="0" w:space="0" w:color="auto"/>
            <w:right w:val="none" w:sz="0" w:space="0" w:color="auto"/>
          </w:divBdr>
        </w:div>
      </w:divsChild>
    </w:div>
    <w:div w:id="779616431">
      <w:bodyDiv w:val="1"/>
      <w:marLeft w:val="0"/>
      <w:marRight w:val="0"/>
      <w:marTop w:val="0"/>
      <w:marBottom w:val="0"/>
      <w:divBdr>
        <w:top w:val="none" w:sz="0" w:space="0" w:color="auto"/>
        <w:left w:val="none" w:sz="0" w:space="0" w:color="auto"/>
        <w:bottom w:val="none" w:sz="0" w:space="0" w:color="auto"/>
        <w:right w:val="none" w:sz="0" w:space="0" w:color="auto"/>
      </w:divBdr>
      <w:divsChild>
        <w:div w:id="2084179019">
          <w:marLeft w:val="0"/>
          <w:marRight w:val="0"/>
          <w:marTop w:val="0"/>
          <w:marBottom w:val="0"/>
          <w:divBdr>
            <w:top w:val="none" w:sz="0" w:space="0" w:color="auto"/>
            <w:left w:val="none" w:sz="0" w:space="0" w:color="auto"/>
            <w:bottom w:val="none" w:sz="0" w:space="0" w:color="auto"/>
            <w:right w:val="none" w:sz="0" w:space="0" w:color="auto"/>
          </w:divBdr>
        </w:div>
      </w:divsChild>
    </w:div>
    <w:div w:id="994992674">
      <w:bodyDiv w:val="1"/>
      <w:marLeft w:val="0"/>
      <w:marRight w:val="0"/>
      <w:marTop w:val="0"/>
      <w:marBottom w:val="0"/>
      <w:divBdr>
        <w:top w:val="none" w:sz="0" w:space="0" w:color="auto"/>
        <w:left w:val="none" w:sz="0" w:space="0" w:color="auto"/>
        <w:bottom w:val="none" w:sz="0" w:space="0" w:color="auto"/>
        <w:right w:val="none" w:sz="0" w:space="0" w:color="auto"/>
      </w:divBdr>
      <w:divsChild>
        <w:div w:id="1753812547">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452094749">
      <w:bodyDiv w:val="1"/>
      <w:marLeft w:val="0"/>
      <w:marRight w:val="0"/>
      <w:marTop w:val="0"/>
      <w:marBottom w:val="0"/>
      <w:divBdr>
        <w:top w:val="none" w:sz="0" w:space="0" w:color="auto"/>
        <w:left w:val="none" w:sz="0" w:space="0" w:color="auto"/>
        <w:bottom w:val="none" w:sz="0" w:space="0" w:color="auto"/>
        <w:right w:val="none" w:sz="0" w:space="0" w:color="auto"/>
      </w:divBdr>
      <w:divsChild>
        <w:div w:id="2009752572">
          <w:marLeft w:val="0"/>
          <w:marRight w:val="0"/>
          <w:marTop w:val="0"/>
          <w:marBottom w:val="0"/>
          <w:divBdr>
            <w:top w:val="none" w:sz="0" w:space="0" w:color="auto"/>
            <w:left w:val="none" w:sz="0" w:space="0" w:color="auto"/>
            <w:bottom w:val="none" w:sz="0" w:space="0" w:color="auto"/>
            <w:right w:val="none" w:sz="0" w:space="0" w:color="auto"/>
          </w:divBdr>
        </w:div>
      </w:divsChild>
    </w:div>
    <w:div w:id="1505244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7128">
          <w:marLeft w:val="0"/>
          <w:marRight w:val="0"/>
          <w:marTop w:val="0"/>
          <w:marBottom w:val="0"/>
          <w:divBdr>
            <w:top w:val="none" w:sz="0" w:space="0" w:color="auto"/>
            <w:left w:val="none" w:sz="0" w:space="0" w:color="auto"/>
            <w:bottom w:val="none" w:sz="0" w:space="0" w:color="auto"/>
            <w:right w:val="none" w:sz="0" w:space="0" w:color="auto"/>
          </w:divBdr>
        </w:div>
      </w:divsChild>
    </w:div>
    <w:div w:id="1770080743">
      <w:bodyDiv w:val="1"/>
      <w:marLeft w:val="0"/>
      <w:marRight w:val="0"/>
      <w:marTop w:val="0"/>
      <w:marBottom w:val="0"/>
      <w:divBdr>
        <w:top w:val="none" w:sz="0" w:space="0" w:color="auto"/>
        <w:left w:val="none" w:sz="0" w:space="0" w:color="auto"/>
        <w:bottom w:val="none" w:sz="0" w:space="0" w:color="auto"/>
        <w:right w:val="none" w:sz="0" w:space="0" w:color="auto"/>
      </w:divBdr>
      <w:divsChild>
        <w:div w:id="180823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3.7.2016 11:24:07"/>
    <f:field ref="objchangedby" par="" text="Administrator, System"/>
    <f:field ref="objmodifiedat" par="" text="13.7.2016 11:24:11"/>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686D56-BA86-419A-BB24-7786039F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4</DocSecurity>
  <Lines>18</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2641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2016-07-13T09:24:00Z</dcterms:created>
  <dc:creator>Pavol Gibala</dc:creator>
  <lastModifiedBy>ms.slx.P.fscsrv</lastModifiedBy>
  <dcterms:modified xsi:type="dcterms:W3CDTF">2016-07-13T09:24:00Z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COO.2145.1000.3.1502426</vt:lpwstr>
  </property>
  <property name="FSC#FSCFOLIO@1.1001:docpropproject" pid="3" fmtid="{D5CDD505-2E9C-101B-9397-08002B2CF9AE}">
    <vt:lpwstr/>
  </property>
  <property name="FSC#SKEDITIONSLOVLEX@103.510:typpredpis" pid="4" fmtid="{D5CDD505-2E9C-101B-9397-08002B2CF9AE}">
    <vt:lpwstr>Nariadenie vlády Slovenskej republiky</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Anežka Pankievičová</vt:lpwstr>
  </property>
  <property name="FSC#SKEDITIONSLOVLEX@103.510:zodppredkladatel" pid="11" fmtid="{D5CDD505-2E9C-101B-9397-08002B2CF9AE}">
    <vt:lpwstr>Prof. Ing. Jozef Mihok</vt:lpwstr>
  </property>
  <property name="FSC#SKEDITIONSLOVLEX@103.510:nazovpredpis" pid="12" fmtid="{D5CDD505-2E9C-101B-9397-08002B2CF9AE}">
    <vt:lpwstr> o vybavení námorných lodí</vt:lpwstr>
  </property>
  <property name="FSC#SKEDITIONSLOVLEX@103.510:cislopredpis" pid="13" fmtid="{D5CDD505-2E9C-101B-9397-08002B2CF9AE}">
    <vt:lpwstr/>
  </property>
  <property name="FSC#SKEDITIONSLOVLEX@103.510:zodpinstitucia" pid="14" fmtid="{D5CDD505-2E9C-101B-9397-08002B2CF9AE}">
    <vt:lpwstr>Úrad pre normalizáciu, metrológiu a skúšobníctvo Slovenskej republiky</vt:lpwstr>
  </property>
  <property name="FSC#SKEDITIONSLOVLEX@103.510:pripomienkovatelia" pid="15"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6" fmtid="{D5CDD505-2E9C-101B-9397-08002B2CF9AE}">
    <vt:lpwstr/>
  </property>
  <property name="FSC#SKEDITIONSLOVLEX@103.510:podnetpredpis" pid="17" fmtid="{D5CDD505-2E9C-101B-9397-08002B2CF9AE}">
    <vt:lpwstr>Bod B.23. uznesenia vlády Slovenskej republiky č. 148 z 1. apríla 2015</vt:lpwstr>
  </property>
  <property name="FSC#SKEDITIONSLOVLEX@103.510:plnynazovpredpis" pid="18" fmtid="{D5CDD505-2E9C-101B-9397-08002B2CF9AE}">
    <vt:lpwstr> Nariadenie vlády  Slovenskej republiky o vybavení námorných lodí</vt:lpwstr>
  </property>
  <property name="FSC#SKEDITIONSLOVLEX@103.510:rezortcislopredpis" pid="19" fmtid="{D5CDD505-2E9C-101B-9397-08002B2CF9AE}">
    <vt:lpwstr>2016/300/005646/01932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LP/2016/739</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39"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do 18. septembra 2016, podľa  smernice (EÚ) č. 2014/90</vt:lpwstr>
  </property>
  <property name="FSC#SKEDITIONSLOVLEX@103.510:AttrStrListDocPropLehotaNaPredlozenie" pid="45" fmtid="{D5CDD505-2E9C-101B-9397-08002B2CF9AE}">
    <vt:lpwstr>nebola určená </vt:lpwstr>
  </property>
  <property name="FSC#SKEDITIONSLOVLEX@103.510:AttrStrListDocPropInfoZaciatokKonania" pid="46" fmtid="{D5CDD505-2E9C-101B-9397-08002B2CF9AE}">
    <vt:lpwstr>konanie nebolo začaté </vt:lpwstr>
  </property>
  <property name="FSC#SKEDITIONSLOVLEX@103.510:AttrStrListDocPropInfoUzPreberanePP" pid="47" fmtid="{D5CDD505-2E9C-101B-9397-08002B2CF9AE}">
    <vt:lpwstr>bezpredmetné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0" fmtid="{D5CDD505-2E9C-101B-9397-08002B2CF9AE}">
    <vt:lpwstr>29. 6. 2016</vt:lpwstr>
  </property>
  <property name="FSC#SKEDITIONSLOVLEX@103.510:AttrDateDocPropUkonceniePKK" pid="51" fmtid="{D5CDD505-2E9C-101B-9397-08002B2CF9AE}">
    <vt:lpwstr>13. 7. 2016</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58" fmtid="{D5CDD505-2E9C-101B-9397-08002B2CF9AE}">
    <vt:lpwstr>Alternatívne riešenia neboli zvažované.</vt:lpwstr>
  </property>
  <property name="FSC#SKEDITIONSLOVLEX@103.510:AttrStrListDocPropStanoviskoGest" pid="59"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0"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vt:lpwstr>
  </property>
  <property name="FSC#SKEDITIONSLOVLEX@103.510:AttrStrListDocPropUznesenieNaVedomie" pid="129" fmtid="{D5CDD505-2E9C-101B-9397-08002B2CF9AE}">
    <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SKEDITIONSLOVLEX@103.510:dalsipredkladatel" pid="132" fmtid="{D5CDD505-2E9C-101B-9397-08002B2CF9AE}">
    <vt:lpwstr/>
  </property>
  <property name="FSC#SKEDITIONSLOVLEX@103.510:spravaucastverej" pid="133"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funkciaPred" pid="134" fmtid="{D5CDD505-2E9C-101B-9397-08002B2CF9AE}">
    <vt:lpwstr>hlavný radca</vt:lpwstr>
  </property>
  <property name="FSC#SKEDITIONSLOVLEX@103.510:funkciaPredAkuzativ" pid="135" fmtid="{D5CDD505-2E9C-101B-9397-08002B2CF9AE}">
    <vt:lpwstr>hlavného radcu</vt:lpwstr>
  </property>
  <property name="FSC#SKEDITIONSLOVLEX@103.510:funkciaPredDativ" pid="136" fmtid="{D5CDD505-2E9C-101B-9397-08002B2CF9AE}">
    <vt:lpwstr>hlavnému radcovi</vt:lpwstr>
  </property>
  <property name="FSC#SKEDITIONSLOVLEX@103.510:funkciaZodpPred" pid="137" fmtid="{D5CDD505-2E9C-101B-9397-08002B2CF9AE}">
    <vt:lpwstr>predseda Úradu pre normalizáciu, metrológiu a skúšobníctvo Slovenskej republiky</vt:lpwstr>
  </property>
  <property name="FSC#SKEDITIONSLOVLEX@103.510:funkciaZodpPredAkuzativ" pid="138" fmtid="{D5CDD505-2E9C-101B-9397-08002B2CF9AE}">
    <vt:lpwstr>predsedu Úradu pre normalizáciu, metrológiu a skúšobníctvo Slovenskej republiky</vt:lpwstr>
  </property>
  <property name="FSC#SKEDITIONSLOVLEX@103.510:funkciaZodpPredDativ" pid="139" fmtid="{D5CDD505-2E9C-101B-9397-08002B2CF9AE}">
    <vt:lpwstr>predsedovi Úradu pre normalizáciu, metrológiu a skúšobníctvo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Prof. Ing. Jozef Mihok_x000d__x000a_predseda Úradu pre normalizáciu, metrológiu a skúšobníctvo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