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1A67AF8E" w:rsidR="000C2162" w:rsidRDefault="00086C82" w:rsidP="00946CED">
            <w:pPr>
              <w:rPr>
                <w:rFonts w:ascii="Consolas" w:hAnsi="Consolas" w:cs="Consolas"/>
                <w:lang w:eastAsia="sk-SK"/>
              </w:rPr>
            </w:pPr>
            <w:bookmarkStart w:id="0" w:name="_GoBack"/>
            <w:bookmarkEnd w:id="0"/>
            <w:r>
              <w:rPr>
                <w:rFonts w:ascii="Times" w:hAnsi="Times" w:cs="Times"/>
                <w:b/>
                <w:bCs/>
                <w:sz w:val="25"/>
                <w:szCs w:val="25"/>
                <w:u w:val="single"/>
              </w:rPr>
              <w:t>ÚRAD PRE NORMALIZÁCIU, METROLÓGIU A SKÚŠOBNÍCTVO SLOVENSKEJ REPUBLIKY</w:t>
            </w:r>
          </w:p>
          <w:p w14:paraId="7DA5F24F" w14:textId="1FA70CBD"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7474D658" w14:textId="77777777" w:rsidR="0062016A" w:rsidRPr="00846CE4" w:rsidRDefault="0062016A" w:rsidP="0062016A">
      <w:pPr>
        <w:pStyle w:val="Zkladntext2"/>
        <w:jc w:val="both"/>
        <w:rPr>
          <w:sz w:val="25"/>
          <w:szCs w:val="25"/>
        </w:rPr>
      </w:pPr>
      <w:r w:rsidRPr="00846CE4">
        <w:rPr>
          <w:sz w:val="25"/>
          <w:szCs w:val="25"/>
        </w:rPr>
        <w:t>Materiál na rokovanie Legislatívnej rady vlády Slovenskej republiky</w:t>
      </w:r>
    </w:p>
    <w:p w14:paraId="57C33D04" w14:textId="77777777" w:rsidR="00D52766" w:rsidRPr="008E4F14" w:rsidRDefault="00D52766" w:rsidP="00D52766">
      <w:pPr>
        <w:pStyle w:val="Zkladntext2"/>
        <w:jc w:val="both"/>
        <w:rPr>
          <w:sz w:val="25"/>
          <w:szCs w:val="25"/>
        </w:rPr>
      </w:pPr>
    </w:p>
    <w:p w14:paraId="2218476A" w14:textId="0838D3FA" w:rsidR="0012409A" w:rsidRPr="00D52766" w:rsidRDefault="00086C82" w:rsidP="00D52766">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Nariadenie vlády Slovenskej republiky</w:t>
      </w:r>
      <w:r>
        <w:rPr>
          <w:rFonts w:ascii="Times" w:hAnsi="Times" w:cs="Times"/>
          <w:b/>
          <w:bCs/>
          <w:sz w:val="25"/>
          <w:szCs w:val="25"/>
        </w:rPr>
        <w:br/>
      </w:r>
      <w:r>
        <w:rPr>
          <w:rFonts w:ascii="Times" w:hAnsi="Times" w:cs="Times"/>
          <w:b/>
          <w:bCs/>
          <w:sz w:val="25"/>
          <w:szCs w:val="25"/>
        </w:rPr>
        <w:br/>
        <w:t>z ... 2016</w:t>
      </w:r>
      <w:r>
        <w:rPr>
          <w:rFonts w:ascii="Times" w:hAnsi="Times" w:cs="Times"/>
          <w:b/>
          <w:bCs/>
          <w:sz w:val="25"/>
          <w:szCs w:val="25"/>
        </w:rPr>
        <w:br/>
      </w:r>
      <w:r>
        <w:rPr>
          <w:rFonts w:ascii="Times" w:hAnsi="Times" w:cs="Times"/>
          <w:b/>
          <w:bCs/>
          <w:sz w:val="25"/>
          <w:szCs w:val="25"/>
        </w:rPr>
        <w:br/>
        <w:t>o vybavení námorných lodí</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D52766">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34A80A11" w:rsidR="00A56B40" w:rsidRPr="008E4F14" w:rsidRDefault="00086C82" w:rsidP="00086C82">
            <w:pPr>
              <w:pStyle w:val="Zkladntext2"/>
              <w:ind w:right="885"/>
              <w:jc w:val="left"/>
              <w:rPr>
                <w:sz w:val="25"/>
                <w:szCs w:val="25"/>
              </w:rPr>
            </w:pPr>
            <w:r>
              <w:rPr>
                <w:rFonts w:ascii="Times" w:hAnsi="Times" w:cs="Times"/>
                <w:sz w:val="25"/>
                <w:szCs w:val="25"/>
              </w:rPr>
              <w:t>Bod B.23. uznesenia vlády Slovenskej republiky č. 148 z 1. apríla 2015</w:t>
            </w:r>
          </w:p>
        </w:tc>
        <w:tc>
          <w:tcPr>
            <w:tcW w:w="5149" w:type="dxa"/>
          </w:tcPr>
          <w:p w14:paraId="49830328" w14:textId="2B697688" w:rsidR="00086C82" w:rsidRDefault="00086C82" w:rsidP="00086C82">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3"/>
            </w:tblGrid>
            <w:tr w:rsidR="00086C82" w14:paraId="2FFD5C5D" w14:textId="77777777">
              <w:trPr>
                <w:divId w:val="2143040235"/>
                <w:tblCellSpacing w:w="15" w:type="dxa"/>
              </w:trPr>
              <w:tc>
                <w:tcPr>
                  <w:tcW w:w="0" w:type="auto"/>
                  <w:vAlign w:val="center"/>
                  <w:hideMark/>
                </w:tcPr>
                <w:p w14:paraId="613100ED" w14:textId="77777777" w:rsidR="00086C82" w:rsidRDefault="00086C82">
                  <w:pPr>
                    <w:rPr>
                      <w:sz w:val="25"/>
                      <w:szCs w:val="25"/>
                    </w:rPr>
                  </w:pPr>
                  <w:r>
                    <w:rPr>
                      <w:sz w:val="25"/>
                      <w:szCs w:val="25"/>
                    </w:rPr>
                    <w:t>1. vlastný materiál</w:t>
                  </w:r>
                </w:p>
              </w:tc>
            </w:tr>
            <w:tr w:rsidR="00086C82" w14:paraId="4C66CE9B" w14:textId="77777777">
              <w:trPr>
                <w:divId w:val="2143040235"/>
                <w:tblCellSpacing w:w="15" w:type="dxa"/>
              </w:trPr>
              <w:tc>
                <w:tcPr>
                  <w:tcW w:w="0" w:type="auto"/>
                  <w:vAlign w:val="center"/>
                  <w:hideMark/>
                </w:tcPr>
                <w:p w14:paraId="25CD3494" w14:textId="77777777" w:rsidR="00086C82" w:rsidRDefault="00086C82">
                  <w:pPr>
                    <w:rPr>
                      <w:sz w:val="25"/>
                      <w:szCs w:val="25"/>
                    </w:rPr>
                  </w:pPr>
                  <w:r>
                    <w:rPr>
                      <w:sz w:val="25"/>
                      <w:szCs w:val="25"/>
                    </w:rPr>
                    <w:t>2. návrh uznesenia vlády SR</w:t>
                  </w:r>
                </w:p>
              </w:tc>
            </w:tr>
            <w:tr w:rsidR="00086C82" w14:paraId="69C7E4E2" w14:textId="77777777">
              <w:trPr>
                <w:divId w:val="2143040235"/>
                <w:tblCellSpacing w:w="15" w:type="dxa"/>
              </w:trPr>
              <w:tc>
                <w:tcPr>
                  <w:tcW w:w="0" w:type="auto"/>
                  <w:vAlign w:val="center"/>
                  <w:hideMark/>
                </w:tcPr>
                <w:p w14:paraId="1F10FD08" w14:textId="77777777" w:rsidR="00086C82" w:rsidRDefault="00086C82">
                  <w:pPr>
                    <w:rPr>
                      <w:sz w:val="25"/>
                      <w:szCs w:val="25"/>
                    </w:rPr>
                  </w:pPr>
                  <w:r>
                    <w:rPr>
                      <w:sz w:val="25"/>
                      <w:szCs w:val="25"/>
                    </w:rPr>
                    <w:t>3. predkladacia správa</w:t>
                  </w:r>
                </w:p>
              </w:tc>
            </w:tr>
            <w:tr w:rsidR="00086C82" w14:paraId="2CE07171" w14:textId="77777777">
              <w:trPr>
                <w:divId w:val="2143040235"/>
                <w:tblCellSpacing w:w="15" w:type="dxa"/>
              </w:trPr>
              <w:tc>
                <w:tcPr>
                  <w:tcW w:w="0" w:type="auto"/>
                  <w:vAlign w:val="center"/>
                  <w:hideMark/>
                </w:tcPr>
                <w:p w14:paraId="34A4AF28" w14:textId="77777777" w:rsidR="00086C82" w:rsidRDefault="00086C82">
                  <w:pPr>
                    <w:rPr>
                      <w:sz w:val="25"/>
                      <w:szCs w:val="25"/>
                    </w:rPr>
                  </w:pPr>
                  <w:r>
                    <w:rPr>
                      <w:sz w:val="25"/>
                      <w:szCs w:val="25"/>
                    </w:rPr>
                    <w:t>4. dôvodová správa - všeobecná časť</w:t>
                  </w:r>
                </w:p>
              </w:tc>
            </w:tr>
            <w:tr w:rsidR="00086C82" w14:paraId="1C767E9C" w14:textId="77777777">
              <w:trPr>
                <w:divId w:val="2143040235"/>
                <w:tblCellSpacing w:w="15" w:type="dxa"/>
              </w:trPr>
              <w:tc>
                <w:tcPr>
                  <w:tcW w:w="0" w:type="auto"/>
                  <w:vAlign w:val="center"/>
                  <w:hideMark/>
                </w:tcPr>
                <w:p w14:paraId="396CC2B5" w14:textId="77777777" w:rsidR="00086C82" w:rsidRDefault="00086C82">
                  <w:pPr>
                    <w:rPr>
                      <w:sz w:val="25"/>
                      <w:szCs w:val="25"/>
                    </w:rPr>
                  </w:pPr>
                  <w:r>
                    <w:rPr>
                      <w:sz w:val="25"/>
                      <w:szCs w:val="25"/>
                    </w:rPr>
                    <w:t>5. dôvodová správa - osobitná časť</w:t>
                  </w:r>
                </w:p>
              </w:tc>
            </w:tr>
            <w:tr w:rsidR="00086C82" w14:paraId="2B035526" w14:textId="77777777">
              <w:trPr>
                <w:divId w:val="2143040235"/>
                <w:tblCellSpacing w:w="15" w:type="dxa"/>
              </w:trPr>
              <w:tc>
                <w:tcPr>
                  <w:tcW w:w="0" w:type="auto"/>
                  <w:vAlign w:val="center"/>
                  <w:hideMark/>
                </w:tcPr>
                <w:p w14:paraId="08E3ECE2" w14:textId="77777777" w:rsidR="00086C82" w:rsidRDefault="00086C82">
                  <w:pPr>
                    <w:rPr>
                      <w:sz w:val="25"/>
                      <w:szCs w:val="25"/>
                    </w:rPr>
                  </w:pPr>
                  <w:r>
                    <w:rPr>
                      <w:sz w:val="25"/>
                      <w:szCs w:val="25"/>
                    </w:rPr>
                    <w:t>6. doložka vplyvov</w:t>
                  </w:r>
                </w:p>
              </w:tc>
            </w:tr>
            <w:tr w:rsidR="00086C82" w14:paraId="52E68108" w14:textId="77777777">
              <w:trPr>
                <w:divId w:val="2143040235"/>
                <w:tblCellSpacing w:w="15" w:type="dxa"/>
              </w:trPr>
              <w:tc>
                <w:tcPr>
                  <w:tcW w:w="0" w:type="auto"/>
                  <w:vAlign w:val="center"/>
                  <w:hideMark/>
                </w:tcPr>
                <w:p w14:paraId="39E64B60" w14:textId="77777777" w:rsidR="00086C82" w:rsidRDefault="00086C82">
                  <w:pPr>
                    <w:rPr>
                      <w:sz w:val="25"/>
                      <w:szCs w:val="25"/>
                    </w:rPr>
                  </w:pPr>
                  <w:r>
                    <w:rPr>
                      <w:sz w:val="25"/>
                      <w:szCs w:val="25"/>
                    </w:rPr>
                    <w:t>7. doložka zlučiteľnosti</w:t>
                  </w:r>
                </w:p>
              </w:tc>
            </w:tr>
            <w:tr w:rsidR="00086C82" w14:paraId="0C3228CC" w14:textId="77777777">
              <w:trPr>
                <w:divId w:val="2143040235"/>
                <w:tblCellSpacing w:w="15" w:type="dxa"/>
              </w:trPr>
              <w:tc>
                <w:tcPr>
                  <w:tcW w:w="0" w:type="auto"/>
                  <w:vAlign w:val="center"/>
                  <w:hideMark/>
                </w:tcPr>
                <w:p w14:paraId="6FF103F8" w14:textId="77777777" w:rsidR="00086C82" w:rsidRDefault="00086C82">
                  <w:pPr>
                    <w:rPr>
                      <w:sz w:val="25"/>
                      <w:szCs w:val="25"/>
                    </w:rPr>
                  </w:pPr>
                  <w:r>
                    <w:rPr>
                      <w:sz w:val="25"/>
                      <w:szCs w:val="25"/>
                    </w:rPr>
                    <w:t>8. vyhodnotenie MPK</w:t>
                  </w:r>
                </w:p>
              </w:tc>
            </w:tr>
            <w:tr w:rsidR="00086C82" w14:paraId="5B41AB4C" w14:textId="77777777">
              <w:trPr>
                <w:divId w:val="2143040235"/>
                <w:tblCellSpacing w:w="15" w:type="dxa"/>
              </w:trPr>
              <w:tc>
                <w:tcPr>
                  <w:tcW w:w="0" w:type="auto"/>
                  <w:vAlign w:val="center"/>
                  <w:hideMark/>
                </w:tcPr>
                <w:p w14:paraId="7B53DC91" w14:textId="77777777" w:rsidR="00086C82" w:rsidRDefault="00086C82">
                  <w:pPr>
                    <w:rPr>
                      <w:sz w:val="25"/>
                      <w:szCs w:val="25"/>
                    </w:rPr>
                  </w:pPr>
                  <w:r>
                    <w:rPr>
                      <w:sz w:val="25"/>
                      <w:szCs w:val="25"/>
                    </w:rPr>
                    <w:t>9. správa o účasti verejnosti</w:t>
                  </w:r>
                </w:p>
              </w:tc>
            </w:tr>
            <w:tr w:rsidR="00086C82" w14:paraId="45B3D7D3" w14:textId="77777777">
              <w:trPr>
                <w:divId w:val="2143040235"/>
                <w:tblCellSpacing w:w="15" w:type="dxa"/>
              </w:trPr>
              <w:tc>
                <w:tcPr>
                  <w:tcW w:w="0" w:type="auto"/>
                  <w:vAlign w:val="center"/>
                  <w:hideMark/>
                </w:tcPr>
                <w:p w14:paraId="01556FEF" w14:textId="77777777" w:rsidR="00086C82" w:rsidRDefault="00086C82">
                  <w:pPr>
                    <w:rPr>
                      <w:sz w:val="25"/>
                      <w:szCs w:val="25"/>
                    </w:rPr>
                  </w:pPr>
                  <w:r>
                    <w:rPr>
                      <w:sz w:val="25"/>
                      <w:szCs w:val="25"/>
                    </w:rPr>
                    <w:t>10. návrh komuniké</w:t>
                  </w:r>
                </w:p>
              </w:tc>
            </w:tr>
            <w:tr w:rsidR="00086C82" w14:paraId="7D5C6207" w14:textId="77777777">
              <w:trPr>
                <w:divId w:val="2143040235"/>
                <w:tblCellSpacing w:w="15" w:type="dxa"/>
              </w:trPr>
              <w:tc>
                <w:tcPr>
                  <w:tcW w:w="0" w:type="auto"/>
                  <w:vAlign w:val="center"/>
                  <w:hideMark/>
                </w:tcPr>
                <w:p w14:paraId="1F6B95BE" w14:textId="77777777" w:rsidR="00086C82" w:rsidRDefault="00086C82">
                  <w:pPr>
                    <w:rPr>
                      <w:sz w:val="25"/>
                      <w:szCs w:val="25"/>
                    </w:rPr>
                  </w:pPr>
                  <w:r>
                    <w:rPr>
                      <w:sz w:val="25"/>
                      <w:szCs w:val="25"/>
                    </w:rPr>
                    <w:t>11. príloha</w:t>
                  </w:r>
                </w:p>
              </w:tc>
            </w:tr>
            <w:tr w:rsidR="00086C82" w14:paraId="42623C6A" w14:textId="77777777">
              <w:trPr>
                <w:divId w:val="2143040235"/>
                <w:tblCellSpacing w:w="15" w:type="dxa"/>
              </w:trPr>
              <w:tc>
                <w:tcPr>
                  <w:tcW w:w="0" w:type="auto"/>
                  <w:vAlign w:val="center"/>
                  <w:hideMark/>
                </w:tcPr>
                <w:p w14:paraId="5C2995BC" w14:textId="77777777" w:rsidR="00086C82" w:rsidRDefault="00086C82">
                  <w:pPr>
                    <w:rPr>
                      <w:sz w:val="25"/>
                      <w:szCs w:val="25"/>
                    </w:rPr>
                  </w:pPr>
                  <w:r>
                    <w:rPr>
                      <w:sz w:val="25"/>
                      <w:szCs w:val="25"/>
                    </w:rPr>
                    <w:t>12. vznesené pripomienky v rámci medzirezortného pripomienkového konania</w:t>
                  </w:r>
                </w:p>
              </w:tc>
            </w:tr>
            <w:tr w:rsidR="00086C82" w14:paraId="2404974E" w14:textId="77777777">
              <w:trPr>
                <w:divId w:val="2143040235"/>
                <w:tblCellSpacing w:w="15" w:type="dxa"/>
              </w:trPr>
              <w:tc>
                <w:tcPr>
                  <w:tcW w:w="0" w:type="auto"/>
                  <w:vAlign w:val="center"/>
                  <w:hideMark/>
                </w:tcPr>
                <w:p w14:paraId="4DB496A8" w14:textId="77777777" w:rsidR="00086C82" w:rsidRDefault="00086C82">
                  <w:pPr>
                    <w:rPr>
                      <w:sz w:val="25"/>
                      <w:szCs w:val="25"/>
                    </w:rPr>
                  </w:pPr>
                  <w:r>
                    <w:rPr>
                      <w:sz w:val="25"/>
                      <w:szCs w:val="25"/>
                    </w:rPr>
                    <w:t>13. príloha</w:t>
                  </w:r>
                </w:p>
              </w:tc>
            </w:tr>
            <w:tr w:rsidR="00086C82" w14:paraId="68844411" w14:textId="77777777">
              <w:trPr>
                <w:divId w:val="2143040235"/>
                <w:tblCellSpacing w:w="15" w:type="dxa"/>
              </w:trPr>
              <w:tc>
                <w:tcPr>
                  <w:tcW w:w="0" w:type="auto"/>
                  <w:vAlign w:val="center"/>
                  <w:hideMark/>
                </w:tcPr>
                <w:p w14:paraId="5F2D50DE" w14:textId="77777777" w:rsidR="00086C82" w:rsidRDefault="00086C82">
                  <w:pPr>
                    <w:rPr>
                      <w:sz w:val="25"/>
                      <w:szCs w:val="25"/>
                    </w:rPr>
                  </w:pPr>
                  <w:r>
                    <w:rPr>
                      <w:sz w:val="25"/>
                      <w:szCs w:val="25"/>
                    </w:rPr>
                    <w:t>14. príloha</w:t>
                  </w:r>
                </w:p>
              </w:tc>
            </w:tr>
          </w:tbl>
          <w:p w14:paraId="6CC1771C" w14:textId="07F50671" w:rsidR="00A56B40" w:rsidRPr="008073E3" w:rsidRDefault="00A56B40" w:rsidP="00086C82">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84604DA" w14:textId="4CF6DBA3" w:rsidR="009D7004" w:rsidRPr="008E4F14"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B58D" w14:textId="77777777" w:rsidR="006B4602" w:rsidRDefault="006B4602" w:rsidP="00AF1D48">
      <w:r>
        <w:separator/>
      </w:r>
    </w:p>
  </w:endnote>
  <w:endnote w:type="continuationSeparator" w:id="0">
    <w:p w14:paraId="6DD8BA6E" w14:textId="77777777" w:rsidR="006B4602" w:rsidRDefault="006B4602"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31A01FB4"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TIME \@ "d. MMMM yyyy" </w:instrText>
    </w:r>
    <w:r>
      <w:fldChar w:fldCharType="separate"/>
    </w:r>
    <w:r w:rsidR="00086C82">
      <w:rPr>
        <w:noProof/>
      </w:rPr>
      <w:t>11. augusta 2016</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D0AB" w14:textId="77777777" w:rsidR="006B4602" w:rsidRDefault="006B4602" w:rsidP="00AF1D48">
      <w:r>
        <w:separator/>
      </w:r>
    </w:p>
  </w:footnote>
  <w:footnote w:type="continuationSeparator" w:id="0">
    <w:p w14:paraId="5BF70AB0" w14:textId="77777777" w:rsidR="006B4602" w:rsidRDefault="006B4602"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updateFields w:val="tru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65"/>
    <w:rsid w:val="00011521"/>
    <w:rsid w:val="00036E2E"/>
    <w:rsid w:val="00061CCF"/>
    <w:rsid w:val="00086C82"/>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A58AA"/>
    <w:rsid w:val="001B7FE0"/>
    <w:rsid w:val="001C66E6"/>
    <w:rsid w:val="001D79DA"/>
    <w:rsid w:val="001E0CFD"/>
    <w:rsid w:val="001F674F"/>
    <w:rsid w:val="00220306"/>
    <w:rsid w:val="00236E26"/>
    <w:rsid w:val="00242294"/>
    <w:rsid w:val="002924C3"/>
    <w:rsid w:val="0029466C"/>
    <w:rsid w:val="002B0B5D"/>
    <w:rsid w:val="002B45DC"/>
    <w:rsid w:val="002B6B6C"/>
    <w:rsid w:val="002D4123"/>
    <w:rsid w:val="002E6307"/>
    <w:rsid w:val="002F185A"/>
    <w:rsid w:val="00307FC9"/>
    <w:rsid w:val="0033171B"/>
    <w:rsid w:val="00372637"/>
    <w:rsid w:val="003B2E79"/>
    <w:rsid w:val="003D115D"/>
    <w:rsid w:val="00414C1D"/>
    <w:rsid w:val="00424324"/>
    <w:rsid w:val="00427B3B"/>
    <w:rsid w:val="00432107"/>
    <w:rsid w:val="0044273A"/>
    <w:rsid w:val="00466CAB"/>
    <w:rsid w:val="004A0CFC"/>
    <w:rsid w:val="004A1369"/>
    <w:rsid w:val="004D3726"/>
    <w:rsid w:val="004F70D0"/>
    <w:rsid w:val="0055330D"/>
    <w:rsid w:val="0056032D"/>
    <w:rsid w:val="0057706E"/>
    <w:rsid w:val="005A2E35"/>
    <w:rsid w:val="005A45F1"/>
    <w:rsid w:val="005B1217"/>
    <w:rsid w:val="005B7FF4"/>
    <w:rsid w:val="005D335A"/>
    <w:rsid w:val="00601389"/>
    <w:rsid w:val="0062016A"/>
    <w:rsid w:val="00623BAD"/>
    <w:rsid w:val="00627C51"/>
    <w:rsid w:val="00671F01"/>
    <w:rsid w:val="00676DCD"/>
    <w:rsid w:val="00685081"/>
    <w:rsid w:val="0069637B"/>
    <w:rsid w:val="006B36F8"/>
    <w:rsid w:val="006B4602"/>
    <w:rsid w:val="006B4F2E"/>
    <w:rsid w:val="006B6372"/>
    <w:rsid w:val="006C4BE9"/>
    <w:rsid w:val="006D4EE2"/>
    <w:rsid w:val="006E7967"/>
    <w:rsid w:val="00714FA1"/>
    <w:rsid w:val="00747349"/>
    <w:rsid w:val="00747BC1"/>
    <w:rsid w:val="0075754B"/>
    <w:rsid w:val="0078171E"/>
    <w:rsid w:val="008073E3"/>
    <w:rsid w:val="00821793"/>
    <w:rsid w:val="00855D5A"/>
    <w:rsid w:val="00861CC6"/>
    <w:rsid w:val="008E4F14"/>
    <w:rsid w:val="008F4028"/>
    <w:rsid w:val="008F57D0"/>
    <w:rsid w:val="00907265"/>
    <w:rsid w:val="00922E66"/>
    <w:rsid w:val="00946CED"/>
    <w:rsid w:val="009C6528"/>
    <w:rsid w:val="009D7004"/>
    <w:rsid w:val="009E7AFC"/>
    <w:rsid w:val="009E7FEF"/>
    <w:rsid w:val="00A216CD"/>
    <w:rsid w:val="00A27B5F"/>
    <w:rsid w:val="00A307A9"/>
    <w:rsid w:val="00A56B40"/>
    <w:rsid w:val="00A71802"/>
    <w:rsid w:val="00AA0C58"/>
    <w:rsid w:val="00AF1D48"/>
    <w:rsid w:val="00B17B60"/>
    <w:rsid w:val="00B42E84"/>
    <w:rsid w:val="00B61867"/>
    <w:rsid w:val="00BC2EE5"/>
    <w:rsid w:val="00BE174E"/>
    <w:rsid w:val="00BE43B4"/>
    <w:rsid w:val="00C1127B"/>
    <w:rsid w:val="00C632CF"/>
    <w:rsid w:val="00C656C8"/>
    <w:rsid w:val="00CC25B0"/>
    <w:rsid w:val="00CD3236"/>
    <w:rsid w:val="00D02444"/>
    <w:rsid w:val="00D43A10"/>
    <w:rsid w:val="00D52766"/>
    <w:rsid w:val="00D54C03"/>
    <w:rsid w:val="00DA1D25"/>
    <w:rsid w:val="00DA48B3"/>
    <w:rsid w:val="00DA4C98"/>
    <w:rsid w:val="00E047F9"/>
    <w:rsid w:val="00E11820"/>
    <w:rsid w:val="00E335AA"/>
    <w:rsid w:val="00E37D9C"/>
    <w:rsid w:val="00E74698"/>
    <w:rsid w:val="00EA53FB"/>
    <w:rsid w:val="00EA7A62"/>
    <w:rsid w:val="00EC6B42"/>
    <w:rsid w:val="00EE4DDD"/>
    <w:rsid w:val="00F23D08"/>
    <w:rsid w:val="00F552C7"/>
    <w:rsid w:val="00F60102"/>
    <w:rsid w:val="00F83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CC7420D8-2910-4450-A130-DB9FA4EF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987">
      <w:bodyDiv w:val="1"/>
      <w:marLeft w:val="0"/>
      <w:marRight w:val="0"/>
      <w:marTop w:val="0"/>
      <w:marBottom w:val="0"/>
      <w:divBdr>
        <w:top w:val="none" w:sz="0" w:space="0" w:color="auto"/>
        <w:left w:val="none" w:sz="0" w:space="0" w:color="auto"/>
        <w:bottom w:val="none" w:sz="0" w:space="0" w:color="auto"/>
        <w:right w:val="none" w:sz="0" w:space="0" w:color="auto"/>
      </w:divBdr>
    </w:div>
    <w:div w:id="566499200">
      <w:bodyDiv w:val="1"/>
      <w:marLeft w:val="0"/>
      <w:marRight w:val="0"/>
      <w:marTop w:val="0"/>
      <w:marBottom w:val="0"/>
      <w:divBdr>
        <w:top w:val="none" w:sz="0" w:space="0" w:color="auto"/>
        <w:left w:val="none" w:sz="0" w:space="0" w:color="auto"/>
        <w:bottom w:val="none" w:sz="0" w:space="0" w:color="auto"/>
        <w:right w:val="none" w:sz="0" w:space="0" w:color="auto"/>
      </w:divBdr>
    </w:div>
    <w:div w:id="1658151147">
      <w:bodyDiv w:val="1"/>
      <w:marLeft w:val="0"/>
      <w:marRight w:val="0"/>
      <w:marTop w:val="0"/>
      <w:marBottom w:val="0"/>
      <w:divBdr>
        <w:top w:val="none" w:sz="0" w:space="0" w:color="auto"/>
        <w:left w:val="none" w:sz="0" w:space="0" w:color="auto"/>
        <w:bottom w:val="none" w:sz="0" w:space="0" w:color="auto"/>
        <w:right w:val="none" w:sz="0" w:space="0" w:color="auto"/>
      </w:divBdr>
    </w:div>
    <w:div w:id="21430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Obal materiálu na rokovanie LRV SR"/>
    <f:field ref="objsubject" par="" edit="true" text="Obal materiálu na rokovanie LRV SR"/>
    <f:field ref="objcreatedby" par="" text="Administrator, System"/>
    <f:field ref="objcreatedat" par="" text="11.8.2016 9:13:12"/>
    <f:field ref="objchangedby" par="" text="Administrator, System"/>
    <f:field ref="objmodifiedat" par="" text="11.8.2016 9:13:15"/>
    <f:field ref="doc_FSCFOLIO_1_1001_FieldDocumentNumber" par="" text=""/>
    <f:field ref="doc_FSCFOLIO_1_1001_FieldSubject" par="" edit="true" text="Obal materiálu na rokovanie LRV SR"/>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944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2016-08-11T07:13:00Z</dcterms:created>
  <dc:creator>Jakub</dc:creator>
  <lastModifiedBy>ms.slx.P.fscsrv</lastModifiedBy>
  <lastPrinted>2001-08-01T11:42:00Z</lastPrinted>
  <dcterms:modified xsi:type="dcterms:W3CDTF">2016-08-11T07:13:00Z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COO.2145.1000.3.1564810</vt:lpwstr>
  </property>
  <property name="FSC#FSCFOLIO@1.1001:docpropproject" pid="3" fmtid="{D5CDD505-2E9C-101B-9397-08002B2CF9AE}">
    <vt:lpwstr/>
  </property>
  <property name="FSC#SKEDITIONSLOVLEX@103.510:typpredpis" pid="4" fmtid="{D5CDD505-2E9C-101B-9397-08002B2CF9AE}">
    <vt:lpwstr>Nariadenie vlády Slovenskej republiky</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Anežka Pankievičová</vt:lpwstr>
  </property>
  <property name="FSC#SKEDITIONSLOVLEX@103.510:zodppredkladatel" pid="11" fmtid="{D5CDD505-2E9C-101B-9397-08002B2CF9AE}">
    <vt:lpwstr>Prof. Ing. Jozef Mihok</vt:lpwstr>
  </property>
  <property name="FSC#SKEDITIONSLOVLEX@103.510:nazovpredpis" pid="12" fmtid="{D5CDD505-2E9C-101B-9397-08002B2CF9AE}">
    <vt:lpwstr> o vybavení námorných lodí</vt:lpwstr>
  </property>
  <property name="FSC#SKEDITIONSLOVLEX@103.510:cislopredpis" pid="13" fmtid="{D5CDD505-2E9C-101B-9397-08002B2CF9AE}">
    <vt:lpwstr/>
  </property>
  <property name="FSC#SKEDITIONSLOVLEX@103.510:zodpinstitucia" pid="14" fmtid="{D5CDD505-2E9C-101B-9397-08002B2CF9AE}">
    <vt:lpwstr>Úrad pre normalizáciu, metrológiu a skúšobníctvo Slovenskej republiky</vt:lpwstr>
  </property>
  <property name="FSC#SKEDITIONSLOVLEX@103.510:pripomienkovatelia" pid="15"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6" fmtid="{D5CDD505-2E9C-101B-9397-08002B2CF9AE}">
    <vt:lpwstr/>
  </property>
  <property name="FSC#SKEDITIONSLOVLEX@103.510:podnetpredpis" pid="17" fmtid="{D5CDD505-2E9C-101B-9397-08002B2CF9AE}">
    <vt:lpwstr>Bod B.23. uznesenia vlády Slovenskej republiky č. 148 z 1. apríla 2015</vt:lpwstr>
  </property>
  <property name="FSC#SKEDITIONSLOVLEX@103.510:plnynazovpredpis" pid="18" fmtid="{D5CDD505-2E9C-101B-9397-08002B2CF9AE}">
    <vt:lpwstr> Nariadenie vlády  Slovenskej republiky o vybavení námorných lodí</vt:lpwstr>
  </property>
  <property name="FSC#SKEDITIONSLOVLEX@103.510:rezortcislopredpis" pid="19" fmtid="{D5CDD505-2E9C-101B-9397-08002B2CF9AE}">
    <vt:lpwstr>2016/300/005646/01932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LP/2016/739</vt:lpwstr>
  </property>
  <property name="FSC#SKEDITIONSLOVLEX@103.510:typsprievdok" pid="29" fmtid="{D5CDD505-2E9C-101B-9397-08002B2CF9AE}">
    <vt:lpwstr>Obal materiálu</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39"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do 18. septembra 2016, podľa  smernice (EÚ) č. 2014/90</vt:lpwstr>
  </property>
  <property name="FSC#SKEDITIONSLOVLEX@103.510:AttrStrListDocPropLehotaNaPredlozenie" pid="45" fmtid="{D5CDD505-2E9C-101B-9397-08002B2CF9AE}">
    <vt:lpwstr>nebola určená </vt:lpwstr>
  </property>
  <property name="FSC#SKEDITIONSLOVLEX@103.510:AttrStrListDocPropInfoZaciatokKonania" pid="46" fmtid="{D5CDD505-2E9C-101B-9397-08002B2CF9AE}">
    <vt:lpwstr>konanie nebolo začaté </vt:lpwstr>
  </property>
  <property name="FSC#SKEDITIONSLOVLEX@103.510:AttrStrListDocPropInfoUzPreberanePP" pid="47" fmtid="{D5CDD505-2E9C-101B-9397-08002B2CF9AE}">
    <vt:lpwstr>bezpredmetné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50" fmtid="{D5CDD505-2E9C-101B-9397-08002B2CF9AE}">
    <vt:lpwstr>29. 6. 2016</vt:lpwstr>
  </property>
  <property name="FSC#SKEDITIONSLOVLEX@103.510:AttrDateDocPropUkonceniePKK" pid="51" fmtid="{D5CDD505-2E9C-101B-9397-08002B2CF9AE}">
    <vt:lpwstr>13. 7. 2016</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58" fmtid="{D5CDD505-2E9C-101B-9397-08002B2CF9AE}">
    <vt:lpwstr>Alternatívne riešenia neboli zvažované.</vt:lpwstr>
  </property>
  <property name="FSC#SKEDITIONSLOVLEX@103.510:AttrStrListDocPropStanoviskoGest" pid="59"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60"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vt:lpwstr>
  </property>
  <property name="FSC#SKEDITIONSLOVLEX@103.510:AttrStrListDocPropUznesenieNaVedomie" pid="129" fmtid="{D5CDD505-2E9C-101B-9397-08002B2CF9AE}">
    <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SKEDITIONSLOVLEX@103.510:dalsipredkladatel" pid="132" fmtid="{D5CDD505-2E9C-101B-9397-08002B2CF9AE}">
    <vt:lpwstr/>
  </property>
  <property name="FSC#SKEDITIONSLOVLEX@103.510:funkciaPred" pid="133" fmtid="{D5CDD505-2E9C-101B-9397-08002B2CF9AE}">
    <vt:lpwstr>hlavný radca</vt:lpwstr>
  </property>
  <property name="FSC#SKEDITIONSLOVLEX@103.510:funkciaZodpPred" pid="134" fmtid="{D5CDD505-2E9C-101B-9397-08002B2CF9AE}">
    <vt:lpwstr>predseda Úradu pre normalizáciu, metrológiu a skúšobníctvo Slovenskej republiky</vt:lpwstr>
  </property>
  <property name="FSC#SKEDITIONSLOVLEX@103.510:funkciaDalsiPred" pid="135" fmtid="{D5CDD505-2E9C-101B-9397-08002B2CF9AE}">
    <vt:lpwstr/>
  </property>
  <property name="FSC#SKEDITIONSLOVLEX@103.510:predkladateliaObalSD" pid="136" fmtid="{D5CDD505-2E9C-101B-9397-08002B2CF9AE}">
    <vt:lpwstr>Prof. Ing. Jozef Mihok_x000d__x000a_predseda Úradu pre normalizáciu, metrológiu a skúšobníctvo Slovenskej republiky</vt:lpwstr>
  </property>
  <property name="FSC#SKEDITIONSLOVLEX@103.510:funkciaPredAkuzativ" pid="137" fmtid="{D5CDD505-2E9C-101B-9397-08002B2CF9AE}">
    <vt:lpwstr>hlavného radcu</vt:lpwstr>
  </property>
  <property name="FSC#SKEDITIONSLOVLEX@103.510:funkciaPredDativ" pid="138" fmtid="{D5CDD505-2E9C-101B-9397-08002B2CF9AE}">
    <vt:lpwstr>hlavnému radcovi</vt:lpwstr>
  </property>
  <property name="FSC#SKEDITIONSLOVLEX@103.510:funkciaZodpPredAkuzativ" pid="139" fmtid="{D5CDD505-2E9C-101B-9397-08002B2CF9AE}">
    <vt:lpwstr>predsedu Úradu pre normalizáciu, metrológiu a skúšobníctvo Slovenskej republiky</vt:lpwstr>
  </property>
  <property name="FSC#SKEDITIONSLOVLEX@103.510:funkciaZodpPredDativ" pid="140" fmtid="{D5CDD505-2E9C-101B-9397-08002B2CF9AE}">
    <vt:lpwstr>predsedovi Úradu pre normalizáciu, metrológiu a skúšobníctvo Slovenskej republiky</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spravaucastverej" pid="143"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