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6E7D68" w:rsidP="004D7A15">
      <w:pPr>
        <w:widowControl/>
        <w:rPr>
          <w:lang w:val="en-US"/>
        </w:rPr>
      </w:pPr>
      <w:r>
        <w:t>Verejnosť je o príprave návrhu zákona, ktorým sa mení a dopĺňa zákon č. 440/2015 Z. z. o športe a o zmene a doplnení niektorých zákonov a ktorým sa mení zákon č. 552/2003 Z. z. o výkone práce vo verejnom záujme v znení neskorších predpisov informovaná v rámci medzirezortného pripomienkového konania.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6E7D68"/>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6E7D68"/>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0064">
      <w:bodyDiv w:val="1"/>
      <w:marLeft w:val="0"/>
      <w:marRight w:val="0"/>
      <w:marTop w:val="0"/>
      <w:marBottom w:val="0"/>
      <w:divBdr>
        <w:top w:val="none" w:sz="0" w:space="0" w:color="auto"/>
        <w:left w:val="none" w:sz="0" w:space="0" w:color="auto"/>
        <w:bottom w:val="none" w:sz="0" w:space="0" w:color="auto"/>
        <w:right w:val="none" w:sz="0" w:space="0" w:color="auto"/>
      </w:divBdr>
      <w:divsChild>
        <w:div w:id="167584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5.8.2016 10:34:01"/>
    <f:field ref="objchangedby" par="" text="Administrator, System"/>
    <f:field ref="objmodifiedat" par="" text="5.8.2016 10:34:02"/>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2016-08-05T08:34:00Z</dcterms:created>
  <dcterms:modified xsi:type="dcterms:W3CDTF">2016-08-05T08:34:00Z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Príprava materiálu</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dalsipredkladatel" pid="10" fmtid="{D5CDD505-2E9C-101B-9397-08002B2CF9AE}">
    <vt:lpwstr/>
  </property>
  <property name="FSC#SKEDITIONSLOVLEX@103.510:nazovpredpis" pid="11"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školstva, vedy, výskumu a športu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iniciatívny materiál</vt:lpwstr>
  </property>
  <property name="FSC#SKEDITIONSLOVLEX@103.510:plnynazovpredpis" pid="17"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rezortcislopredpis" pid="18" fmtid="{D5CDD505-2E9C-101B-9397-08002B2CF9AE}">
    <vt:lpwstr>spis č. 2016-19790-56AA</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LP/2016/787</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upravená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nie je obsiahnutá v judikatúre Súdneho dvora Európskej únie</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Ministerstvo školstva, vedy, výskumu a športu Slovenskej republiky</vt:lpwstr>
  </property>
  <property name="FSC#SKEDITIONSLOVLEX@103.510:AttrDateDocPropZaciatokPKK" pid="49" fmtid="{D5CDD505-2E9C-101B-9397-08002B2CF9AE}">
    <vt:lpwstr>2. 8. 2016</vt:lpwstr>
  </property>
  <property name="FSC#SKEDITIONSLOVLEX@103.510:AttrDateDocPropUkonceniePKK" pid="50" fmtid="{D5CDD505-2E9C-101B-9397-08002B2CF9AE}">
    <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Bezpredmetné.</vt:lpwstr>
  </property>
  <property name="FSC#SKEDITIONSLOVLEX@103.510:AttrStrListDocPropStanoviskoGest" pid="58" fmtid="{D5CDD505-2E9C-101B-9397-08002B2CF9AE}">
    <vt:lpwstr/>
  </property>
  <property name="FSC#SKEDITIONSLOVLEX@103.510:AttrStrListDocPropTextKomunike" pid="59"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školstva, vedy, výskumu a športu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 školstva, vedy, výskumu a športu Slovenskej republiky</vt:lpwstr>
  </property>
  <property name="FSC#SKEDITIONSLOVLEX@103.510:funkciaDalsiPred" pid="131" fmtid="{D5CDD505-2E9C-101B-9397-08002B2CF9AE}">
    <vt:lpwstr/>
  </property>
  <property name="FSC#SKEDITIONSLOVLEX@103.510:predkladateliaObalSD" pid="132" fmtid="{D5CDD505-2E9C-101B-9397-08002B2CF9AE}">
    <vt:lpwstr>Peter Plavčan_x000d__x000a_minister školstva, vedy, výskumu a športu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dir="ltr" id="docs-internal-guid-16b2dc32-5b05-0fca-fe96-d9bb4eb7231e"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transparent;"&gt;Predkladaný návrh zákona, ktorým sa mení a dopĺňa zákon č. 440/2015 Z.z. o športe a o zmene a doplnení niektorých zákonov a ktorým sa mení zákon č. 552/2003 Z. z. o výkone práce vo verejnom záujme v znení neskorších predpisov&lt;/span&gt;&lt;/b&gt;&lt;/p&gt;&lt;ul style="margin-top: 0pt; margin-bottom: 0pt;"&gt;_x0009_&lt;li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transparent;"&gt;zjednocuje pravidlá pre vykonávanie športovej činnosti športovcov, športových odborníkov a športových organizácií,&lt;/span&gt;&lt;/b&gt;&lt;/p&gt;_x0009_&lt;/li&gt;_x0009_&lt;li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transparent;"&gt;zrovnoprávňuje povinností športových organizácií bez ohľadu na ich právnu formu,&lt;/span&gt;&lt;/b&gt;&lt;/p&gt;_x0009_&lt;/li&gt;_x0009_&lt;li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transparent;"&gt;upravuje spôsob uznávania národných športových organizácií osobitného významu,&lt;/span&gt;&lt;/b&gt;&lt;/p&gt;_x0009_&lt;/li&gt;_x0009_&lt;li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transparent;"&gt;dopĺňa povinnosti hlavného kontrolóra v športe,&lt;/span&gt;&lt;/b&gt;&lt;/p&gt;_x0009_&lt;/li&gt;_x0009_&lt;li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transparent;"&gt;upravuje spôsob financovania národných športových zväzov a určuje účel použitia verejných zdrojov,&lt;/span&gt;&lt;/b&gt;&lt;/p&gt;_x0009_&lt;/li&gt;_x0009_&lt;li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transparent;"&gt;vkladá nový inštitút dočasného pozastavenia spôsobilosti prijímateľa verejných prostriedkov &lt;/span&gt;&lt;/b&gt;&lt;span style="color: rgb(0, 0, 0); font-family: &amp;quot;Times New Roman&amp;quot;; font-size: 16px; font-style: normal; font-variant: normal; font-weight: 400; text-decoration: none; vertical-align: baseline; background-color: transparent;"&gt;pri odôvodnenej obave pri zistení závažného nedostatku,&lt;/span&gt;&lt;/p&gt;_x0009_&lt;/li&gt;_x0009_&lt;li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transparent;"&gt;reaguje na praktické problémy, ktoré vznikli pri aplikácii zákona o športe (napr. vykonávanie činnosti športového odborníka, spôsob pozastavenia činnosti športového odborníka).&lt;/span&gt;&lt;/b&gt;&lt;/p&gt;_x0009_&lt;/li&gt;&lt;/ul&gt;&amp;nbsp;&lt;p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transparent;"&gt;Materiál nemá vplyv na rozpočet verejnej správy (štátny rozpočet, rozpočty obcí, rozpočty vyšších územných celkov), sociálne vplyvy, vplyvy na podnikateľské prostredie, životné prostredie, na informatizáciu spoločnosti ani na služby verejnej správy pre občana.&lt;/span&gt;&lt;/b&gt;&lt;/p&gt;&lt;br /&gt;&lt;b style="font-weight: normal;"&gt;&lt;span style="color: rgb(0, 0, 0); font-family: &amp;quot;Times New Roman&amp;quot;; font-size: 16px; font-style: normal; font-variant: normal; font-weight: 400; text-decoration: none; vertical-align: baseline; background-color: transparent;"&gt;Navrhovaná účinnosť súvisí s úpravou pravidiel pre poskytovanie príspevku uznanému športu. Návrh zákona nemá byť predmetom vnútrokomunitárneho &amp;nbsp;pripomienkového konania.&lt;/span&gt;&lt;/b&gt;&lt;br /&gt;&amp;nbsp;</vt:lpwstr>
  </property>
  <property name="FSC#COOSYSTEM@1.1:Container" pid="135" fmtid="{D5CDD505-2E9C-101B-9397-08002B2CF9AE}">
    <vt:lpwstr>COO.2145.1000.3.1560007</vt:lpwstr>
  </property>
  <property name="FSC#FSCFOLIO@1.1001:docpropproject" pid="136" fmtid="{D5CDD505-2E9C-101B-9397-08002B2CF9AE}">
    <vt:lpwstr/>
  </property>
  <property name="FSC#SKEDITIONSLOVLEX@103.510:spravaucastverej" pid="137"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ministera školstva, vedy, výskumu a športu Slovenskej republiky</vt:lpwstr>
  </property>
  <property name="FSC#SKEDITIONSLOVLEX@103.510:funkciaZodpPredDativ" pid="148" fmtid="{D5CDD505-2E9C-101B-9397-08002B2CF9AE}">
    <vt:lpwstr>ministerovi školstva, vedy, výskumu a športu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2016</vt:lpwstr>
  </property>
</Properties>
</file>