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77BC77F3" w:rsidR="0081708C" w:rsidRPr="00CA6E29" w:rsidRDefault="00C0662A" w:rsidP="00EB61E3">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EB61E3">
                    <w:rPr>
                      <w:rFonts w:ascii="Times" w:hAnsi="Times" w:cs="Times"/>
                      <w:b/>
                      <w:bCs/>
                      <w:sz w:val="28"/>
                      <w:szCs w:val="28"/>
                    </w:rPr>
                    <w:t>návrhu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EB61E3"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146668AB" w14:textId="1799ABDC" w:rsidR="00EB61E3" w:rsidRDefault="00EB61E3"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EB61E3" w14:paraId="2AB51953" w14:textId="77777777">
        <w:trPr>
          <w:divId w:val="1560745246"/>
          <w:trHeight w:val="450"/>
          <w:jc w:val="center"/>
        </w:trPr>
        <w:tc>
          <w:tcPr>
            <w:tcW w:w="400" w:type="pct"/>
            <w:tcBorders>
              <w:top w:val="nil"/>
              <w:left w:val="nil"/>
              <w:bottom w:val="nil"/>
              <w:right w:val="nil"/>
            </w:tcBorders>
            <w:hideMark/>
          </w:tcPr>
          <w:p w14:paraId="28AE614F" w14:textId="77777777" w:rsidR="00EB61E3" w:rsidRDefault="00EB61E3">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44D7ED3D" w14:textId="77777777" w:rsidR="00EB61E3" w:rsidRDefault="00EB61E3">
            <w:pPr>
              <w:rPr>
                <w:rFonts w:ascii="Times" w:hAnsi="Times" w:cs="Times"/>
                <w:b/>
                <w:bCs/>
                <w:sz w:val="28"/>
                <w:szCs w:val="28"/>
              </w:rPr>
            </w:pPr>
            <w:r>
              <w:rPr>
                <w:rFonts w:ascii="Times" w:hAnsi="Times" w:cs="Times"/>
                <w:b/>
                <w:bCs/>
                <w:sz w:val="28"/>
                <w:szCs w:val="28"/>
              </w:rPr>
              <w:t>schvaľuje</w:t>
            </w:r>
          </w:p>
        </w:tc>
      </w:tr>
      <w:tr w:rsidR="00EB61E3" w14:paraId="07E735A4" w14:textId="77777777">
        <w:trPr>
          <w:divId w:val="1560745246"/>
          <w:trHeight w:val="450"/>
          <w:jc w:val="center"/>
        </w:trPr>
        <w:tc>
          <w:tcPr>
            <w:tcW w:w="400" w:type="pct"/>
            <w:tcBorders>
              <w:top w:val="nil"/>
              <w:left w:val="nil"/>
              <w:bottom w:val="nil"/>
              <w:right w:val="nil"/>
            </w:tcBorders>
            <w:hideMark/>
          </w:tcPr>
          <w:p w14:paraId="009948AB" w14:textId="77777777" w:rsidR="00EB61E3" w:rsidRDefault="00EB61E3">
            <w:pPr>
              <w:rPr>
                <w:rFonts w:ascii="Times" w:hAnsi="Times" w:cs="Times"/>
                <w:b/>
                <w:bCs/>
                <w:sz w:val="28"/>
                <w:szCs w:val="28"/>
              </w:rPr>
            </w:pPr>
          </w:p>
        </w:tc>
        <w:tc>
          <w:tcPr>
            <w:tcW w:w="400" w:type="pct"/>
            <w:tcBorders>
              <w:top w:val="nil"/>
              <w:left w:val="nil"/>
              <w:bottom w:val="nil"/>
              <w:right w:val="nil"/>
            </w:tcBorders>
            <w:hideMark/>
          </w:tcPr>
          <w:p w14:paraId="13856E7D" w14:textId="77777777" w:rsidR="00EB61E3" w:rsidRDefault="00EB61E3">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00EC64E4" w14:textId="77777777" w:rsidR="00EB61E3" w:rsidRDefault="00EB61E3">
            <w:pPr>
              <w:rPr>
                <w:rFonts w:ascii="Times" w:hAnsi="Times" w:cs="Times"/>
                <w:sz w:val="25"/>
                <w:szCs w:val="25"/>
              </w:rPr>
            </w:pPr>
            <w:r>
              <w:rPr>
                <w:rFonts w:ascii="Times" w:hAnsi="Times" w:cs="Times"/>
                <w:sz w:val="25"/>
                <w:szCs w:val="25"/>
              </w:rPr>
              <w:t>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p>
        </w:tc>
      </w:tr>
      <w:tr w:rsidR="00EB61E3" w14:paraId="73EE15C0" w14:textId="77777777">
        <w:trPr>
          <w:divId w:val="1560745246"/>
          <w:trHeight w:val="450"/>
          <w:jc w:val="center"/>
        </w:trPr>
        <w:tc>
          <w:tcPr>
            <w:tcW w:w="5000" w:type="pct"/>
            <w:gridSpan w:val="3"/>
            <w:tcBorders>
              <w:top w:val="nil"/>
              <w:left w:val="nil"/>
              <w:bottom w:val="nil"/>
              <w:right w:val="nil"/>
            </w:tcBorders>
            <w:vAlign w:val="center"/>
            <w:hideMark/>
          </w:tcPr>
          <w:p w14:paraId="4C019641" w14:textId="77777777" w:rsidR="00EB61E3" w:rsidRDefault="00EB61E3">
            <w:pPr>
              <w:rPr>
                <w:rFonts w:ascii="Times" w:hAnsi="Times" w:cs="Times"/>
                <w:sz w:val="25"/>
                <w:szCs w:val="25"/>
              </w:rPr>
            </w:pPr>
          </w:p>
        </w:tc>
      </w:tr>
      <w:tr w:rsidR="00EB61E3" w14:paraId="4669476B" w14:textId="77777777">
        <w:trPr>
          <w:divId w:val="1560745246"/>
          <w:trHeight w:val="450"/>
          <w:jc w:val="center"/>
        </w:trPr>
        <w:tc>
          <w:tcPr>
            <w:tcW w:w="400" w:type="pct"/>
            <w:tcBorders>
              <w:top w:val="nil"/>
              <w:left w:val="nil"/>
              <w:bottom w:val="nil"/>
              <w:right w:val="nil"/>
            </w:tcBorders>
            <w:hideMark/>
          </w:tcPr>
          <w:p w14:paraId="0FC5544C" w14:textId="77777777" w:rsidR="00EB61E3" w:rsidRDefault="00EB61E3">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203FB0AB" w14:textId="77777777" w:rsidR="00EB61E3" w:rsidRDefault="00EB61E3">
            <w:pPr>
              <w:rPr>
                <w:rFonts w:ascii="Times" w:hAnsi="Times" w:cs="Times"/>
                <w:b/>
                <w:bCs/>
                <w:sz w:val="28"/>
                <w:szCs w:val="28"/>
              </w:rPr>
            </w:pPr>
            <w:r>
              <w:rPr>
                <w:rFonts w:ascii="Times" w:hAnsi="Times" w:cs="Times"/>
                <w:b/>
                <w:bCs/>
                <w:sz w:val="28"/>
                <w:szCs w:val="28"/>
              </w:rPr>
              <w:t>poveruje</w:t>
            </w:r>
          </w:p>
        </w:tc>
      </w:tr>
      <w:tr w:rsidR="00EB61E3" w14:paraId="7E5A0FED" w14:textId="77777777">
        <w:trPr>
          <w:divId w:val="1560745246"/>
          <w:trHeight w:val="450"/>
          <w:jc w:val="center"/>
        </w:trPr>
        <w:tc>
          <w:tcPr>
            <w:tcW w:w="400" w:type="pct"/>
            <w:tcBorders>
              <w:top w:val="nil"/>
              <w:left w:val="nil"/>
              <w:bottom w:val="nil"/>
              <w:right w:val="nil"/>
            </w:tcBorders>
            <w:hideMark/>
          </w:tcPr>
          <w:p w14:paraId="4FE5AFA8" w14:textId="77777777" w:rsidR="00EB61E3" w:rsidRDefault="00EB61E3">
            <w:pPr>
              <w:rPr>
                <w:rFonts w:ascii="Times" w:hAnsi="Times" w:cs="Times"/>
                <w:b/>
                <w:bCs/>
                <w:sz w:val="28"/>
                <w:szCs w:val="28"/>
              </w:rPr>
            </w:pPr>
          </w:p>
        </w:tc>
        <w:tc>
          <w:tcPr>
            <w:tcW w:w="4600" w:type="pct"/>
            <w:gridSpan w:val="2"/>
            <w:tcBorders>
              <w:top w:val="nil"/>
              <w:left w:val="nil"/>
              <w:bottom w:val="nil"/>
              <w:right w:val="nil"/>
            </w:tcBorders>
            <w:hideMark/>
          </w:tcPr>
          <w:p w14:paraId="3990AD6D" w14:textId="77777777" w:rsidR="00EB61E3" w:rsidRDefault="00EB61E3">
            <w:pPr>
              <w:rPr>
                <w:rFonts w:ascii="Times" w:hAnsi="Times" w:cs="Times"/>
                <w:b/>
                <w:bCs/>
                <w:sz w:val="25"/>
                <w:szCs w:val="25"/>
              </w:rPr>
            </w:pPr>
            <w:r>
              <w:rPr>
                <w:rFonts w:ascii="Times" w:hAnsi="Times" w:cs="Times"/>
                <w:b/>
                <w:bCs/>
                <w:sz w:val="25"/>
                <w:szCs w:val="25"/>
              </w:rPr>
              <w:t>predsedu vlády Slovenskej republiky</w:t>
            </w:r>
          </w:p>
        </w:tc>
      </w:tr>
      <w:tr w:rsidR="00EB61E3" w14:paraId="3A9B36D1" w14:textId="77777777">
        <w:trPr>
          <w:divId w:val="1560745246"/>
          <w:trHeight w:val="450"/>
          <w:jc w:val="center"/>
        </w:trPr>
        <w:tc>
          <w:tcPr>
            <w:tcW w:w="400" w:type="pct"/>
            <w:tcBorders>
              <w:top w:val="nil"/>
              <w:left w:val="nil"/>
              <w:bottom w:val="nil"/>
              <w:right w:val="nil"/>
            </w:tcBorders>
            <w:hideMark/>
          </w:tcPr>
          <w:p w14:paraId="6021F56D" w14:textId="77777777" w:rsidR="00EB61E3" w:rsidRDefault="00EB61E3">
            <w:pPr>
              <w:rPr>
                <w:rFonts w:ascii="Times" w:hAnsi="Times" w:cs="Times"/>
                <w:b/>
                <w:bCs/>
                <w:sz w:val="25"/>
                <w:szCs w:val="25"/>
              </w:rPr>
            </w:pPr>
          </w:p>
        </w:tc>
        <w:tc>
          <w:tcPr>
            <w:tcW w:w="400" w:type="pct"/>
            <w:tcBorders>
              <w:top w:val="nil"/>
              <w:left w:val="nil"/>
              <w:bottom w:val="nil"/>
              <w:right w:val="nil"/>
            </w:tcBorders>
            <w:hideMark/>
          </w:tcPr>
          <w:p w14:paraId="11D13A08" w14:textId="77777777" w:rsidR="00EB61E3" w:rsidRDefault="00EB61E3">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22ABF9CF" w14:textId="77777777" w:rsidR="00EB61E3" w:rsidRDefault="00EB61E3">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EB61E3" w14:paraId="6D05995D" w14:textId="77777777">
        <w:trPr>
          <w:divId w:val="1560745246"/>
          <w:trHeight w:val="450"/>
          <w:jc w:val="center"/>
        </w:trPr>
        <w:tc>
          <w:tcPr>
            <w:tcW w:w="5000" w:type="pct"/>
            <w:gridSpan w:val="3"/>
            <w:tcBorders>
              <w:top w:val="nil"/>
              <w:left w:val="nil"/>
              <w:bottom w:val="nil"/>
              <w:right w:val="nil"/>
            </w:tcBorders>
            <w:vAlign w:val="center"/>
            <w:hideMark/>
          </w:tcPr>
          <w:p w14:paraId="6F92C7BD" w14:textId="77777777" w:rsidR="00EB61E3" w:rsidRDefault="00EB61E3">
            <w:pPr>
              <w:rPr>
                <w:rFonts w:ascii="Times" w:hAnsi="Times" w:cs="Times"/>
                <w:sz w:val="25"/>
                <w:szCs w:val="25"/>
              </w:rPr>
            </w:pPr>
          </w:p>
        </w:tc>
      </w:tr>
      <w:tr w:rsidR="00EB61E3" w14:paraId="7C2B7682" w14:textId="77777777">
        <w:trPr>
          <w:divId w:val="1560745246"/>
          <w:trHeight w:val="450"/>
          <w:jc w:val="center"/>
        </w:trPr>
        <w:tc>
          <w:tcPr>
            <w:tcW w:w="400" w:type="pct"/>
            <w:tcBorders>
              <w:top w:val="nil"/>
              <w:left w:val="nil"/>
              <w:bottom w:val="nil"/>
              <w:right w:val="nil"/>
            </w:tcBorders>
            <w:hideMark/>
          </w:tcPr>
          <w:p w14:paraId="0AD980CC" w14:textId="77777777" w:rsidR="00EB61E3" w:rsidRDefault="00EB61E3"/>
        </w:tc>
        <w:tc>
          <w:tcPr>
            <w:tcW w:w="4600" w:type="pct"/>
            <w:gridSpan w:val="2"/>
            <w:tcBorders>
              <w:top w:val="nil"/>
              <w:left w:val="nil"/>
              <w:bottom w:val="nil"/>
              <w:right w:val="nil"/>
            </w:tcBorders>
            <w:hideMark/>
          </w:tcPr>
          <w:p w14:paraId="552EB6E6" w14:textId="77777777" w:rsidR="00EB61E3" w:rsidRDefault="00EB61E3">
            <w:pPr>
              <w:rPr>
                <w:rFonts w:ascii="Times" w:hAnsi="Times" w:cs="Times"/>
                <w:b/>
                <w:bCs/>
                <w:sz w:val="25"/>
                <w:szCs w:val="25"/>
              </w:rPr>
            </w:pPr>
            <w:r>
              <w:rPr>
                <w:rFonts w:ascii="Times" w:hAnsi="Times" w:cs="Times"/>
                <w:b/>
                <w:bCs/>
                <w:sz w:val="25"/>
                <w:szCs w:val="25"/>
              </w:rPr>
              <w:t>ministra školstva, vedy, výskumu a športu Slovenskej republiky</w:t>
            </w:r>
          </w:p>
        </w:tc>
      </w:tr>
      <w:tr w:rsidR="00EB61E3" w14:paraId="74B23919" w14:textId="77777777">
        <w:trPr>
          <w:divId w:val="1560745246"/>
          <w:trHeight w:val="450"/>
          <w:jc w:val="center"/>
        </w:trPr>
        <w:tc>
          <w:tcPr>
            <w:tcW w:w="400" w:type="pct"/>
            <w:tcBorders>
              <w:top w:val="nil"/>
              <w:left w:val="nil"/>
              <w:bottom w:val="nil"/>
              <w:right w:val="nil"/>
            </w:tcBorders>
            <w:hideMark/>
          </w:tcPr>
          <w:p w14:paraId="2A6E5B14" w14:textId="77777777" w:rsidR="00EB61E3" w:rsidRDefault="00EB61E3">
            <w:pPr>
              <w:rPr>
                <w:rFonts w:ascii="Times" w:hAnsi="Times" w:cs="Times"/>
                <w:b/>
                <w:bCs/>
                <w:sz w:val="25"/>
                <w:szCs w:val="25"/>
              </w:rPr>
            </w:pPr>
          </w:p>
        </w:tc>
        <w:tc>
          <w:tcPr>
            <w:tcW w:w="400" w:type="pct"/>
            <w:tcBorders>
              <w:top w:val="nil"/>
              <w:left w:val="nil"/>
              <w:bottom w:val="nil"/>
              <w:right w:val="nil"/>
            </w:tcBorders>
            <w:hideMark/>
          </w:tcPr>
          <w:p w14:paraId="66A8DFDC" w14:textId="77777777" w:rsidR="00EB61E3" w:rsidRDefault="00EB61E3">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77A0F3B4" w14:textId="77777777" w:rsidR="00EB61E3" w:rsidRDefault="00EB61E3">
            <w:pPr>
              <w:rPr>
                <w:rFonts w:ascii="Times" w:hAnsi="Times" w:cs="Times"/>
                <w:sz w:val="25"/>
                <w:szCs w:val="25"/>
              </w:rPr>
            </w:pPr>
            <w:r>
              <w:rPr>
                <w:rFonts w:ascii="Times" w:hAnsi="Times" w:cs="Times"/>
                <w:sz w:val="25"/>
                <w:szCs w:val="25"/>
              </w:rPr>
              <w:t>uviesť a odôvodniť vládny návrh zákona v Národnej rade Slovenskej republiky.</w:t>
            </w:r>
          </w:p>
        </w:tc>
      </w:tr>
      <w:tr w:rsidR="00EB61E3" w14:paraId="2562FF19" w14:textId="77777777">
        <w:trPr>
          <w:divId w:val="1560745246"/>
          <w:trHeight w:val="450"/>
          <w:jc w:val="center"/>
        </w:trPr>
        <w:tc>
          <w:tcPr>
            <w:tcW w:w="5000" w:type="pct"/>
            <w:gridSpan w:val="3"/>
            <w:tcBorders>
              <w:top w:val="nil"/>
              <w:left w:val="nil"/>
              <w:bottom w:val="nil"/>
              <w:right w:val="nil"/>
            </w:tcBorders>
            <w:vAlign w:val="center"/>
            <w:hideMark/>
          </w:tcPr>
          <w:p w14:paraId="744565E5" w14:textId="77777777" w:rsidR="00EB61E3" w:rsidRDefault="00EB61E3">
            <w:pPr>
              <w:rPr>
                <w:rFonts w:ascii="Times" w:hAnsi="Times" w:cs="Times"/>
                <w:sz w:val="25"/>
                <w:szCs w:val="25"/>
              </w:rPr>
            </w:pPr>
          </w:p>
        </w:tc>
      </w:tr>
    </w:tbl>
    <w:p w14:paraId="58EF137F" w14:textId="7D62D08A"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3E79D7C1" w14:textId="187F111D" w:rsidR="00EB61E3" w:rsidRDefault="00EB61E3">
            <w:pPr>
              <w:divId w:val="1471511799"/>
              <w:rPr>
                <w:rFonts w:ascii="Times" w:hAnsi="Times" w:cs="Times"/>
                <w:sz w:val="25"/>
                <w:szCs w:val="25"/>
              </w:rPr>
            </w:pPr>
            <w:r>
              <w:rPr>
                <w:rFonts w:ascii="Times" w:hAnsi="Times" w:cs="Times"/>
                <w:sz w:val="25"/>
                <w:szCs w:val="25"/>
              </w:rPr>
              <w:t>predseda vlády Slovenskej republiky</w:t>
            </w:r>
          </w:p>
          <w:p w14:paraId="7B9DFC7F" w14:textId="5DC053E9" w:rsidR="00557779" w:rsidRPr="00557779" w:rsidRDefault="00EB61E3" w:rsidP="00EB61E3">
            <w:r>
              <w:rPr>
                <w:rFonts w:ascii="Times" w:hAnsi="Times" w:cs="Times"/>
                <w:sz w:val="25"/>
                <w:szCs w:val="25"/>
              </w:rPr>
              <w:t>minister školstva, vedy, výskumu a športu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4C574E51" w:rsidR="00557779" w:rsidRPr="0010780A" w:rsidRDefault="00EB61E3" w:rsidP="00EB61E3">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5E57FF72" w:rsidR="00557779" w:rsidRDefault="00EB61E3" w:rsidP="00EB61E3">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61E3"/>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8E742CCD-6CC7-49FF-8254-3B425DCE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532573359">
      <w:bodyDiv w:val="1"/>
      <w:marLeft w:val="0"/>
      <w:marRight w:val="0"/>
      <w:marTop w:val="0"/>
      <w:marBottom w:val="0"/>
      <w:divBdr>
        <w:top w:val="none" w:sz="0" w:space="0" w:color="auto"/>
        <w:left w:val="none" w:sz="0" w:space="0" w:color="auto"/>
        <w:bottom w:val="none" w:sz="0" w:space="0" w:color="auto"/>
        <w:right w:val="none" w:sz="0" w:space="0" w:color="auto"/>
      </w:divBdr>
    </w:div>
    <w:div w:id="1471511799">
      <w:bodyDiv w:val="1"/>
      <w:marLeft w:val="0"/>
      <w:marRight w:val="0"/>
      <w:marTop w:val="0"/>
      <w:marBottom w:val="0"/>
      <w:divBdr>
        <w:top w:val="none" w:sz="0" w:space="0" w:color="auto"/>
        <w:left w:val="none" w:sz="0" w:space="0" w:color="auto"/>
        <w:bottom w:val="none" w:sz="0" w:space="0" w:color="auto"/>
        <w:right w:val="none" w:sz="0" w:space="0" w:color="auto"/>
      </w:divBdr>
    </w:div>
    <w:div w:id="1553997460">
      <w:bodyDiv w:val="1"/>
      <w:marLeft w:val="0"/>
      <w:marRight w:val="0"/>
      <w:marTop w:val="0"/>
      <w:marBottom w:val="0"/>
      <w:divBdr>
        <w:top w:val="none" w:sz="0" w:space="0" w:color="auto"/>
        <w:left w:val="none" w:sz="0" w:space="0" w:color="auto"/>
        <w:bottom w:val="none" w:sz="0" w:space="0" w:color="auto"/>
        <w:right w:val="none" w:sz="0" w:space="0" w:color="auto"/>
      </w:divBdr>
      <w:divsChild>
        <w:div w:id="418723489">
          <w:marLeft w:val="0"/>
          <w:marRight w:val="0"/>
          <w:marTop w:val="0"/>
          <w:marBottom w:val="0"/>
          <w:divBdr>
            <w:top w:val="none" w:sz="0" w:space="0" w:color="auto"/>
            <w:left w:val="none" w:sz="0" w:space="0" w:color="auto"/>
            <w:bottom w:val="none" w:sz="0" w:space="0" w:color="auto"/>
            <w:right w:val="none" w:sz="0" w:space="0" w:color="auto"/>
          </w:divBdr>
        </w:div>
      </w:divsChild>
    </w:div>
    <w:div w:id="1560745246">
      <w:bodyDiv w:val="1"/>
      <w:marLeft w:val="0"/>
      <w:marRight w:val="0"/>
      <w:marTop w:val="0"/>
      <w:marBottom w:val="0"/>
      <w:divBdr>
        <w:top w:val="none" w:sz="0" w:space="0" w:color="auto"/>
        <w:left w:val="none" w:sz="0" w:space="0" w:color="auto"/>
        <w:bottom w:val="none" w:sz="0" w:space="0" w:color="auto"/>
        <w:right w:val="none" w:sz="0" w:space="0" w:color="auto"/>
      </w:divBdr>
    </w:div>
    <w:div w:id="17083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5.8.2016 14:22:34"/>
    <f:field ref="objchangedby" par="" text="Administrator, System"/>
    <f:field ref="objmodifiedat" par="" text="5.8.2016 14:22:37"/>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51D119-371B-4442-9279-269BAC94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4</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2016-08-05T12:22:00Z</dcterms:created>
  <dc:creator>Pavol Gibala</dc:creator>
  <lastModifiedBy>ms.slx.P.fscsrv</lastModifiedBy>
  <dcterms:modified xsi:type="dcterms:W3CDTF">2016-08-05T12:22:00Z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COO.2145.1000.3.1560419</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právo_x000d__x000a_Finančné právo_x000d__x000a_Školstvo a vzdelávanie_x000d__x000a_Rozpočtové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Peter Plavčan</vt:lpwstr>
  </property>
  <property name="FSC#SKEDITIONSLOVLEX@103.510:nazovpredpis" pid="12"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Ministerstvo školstva, vedy, výskumu a športu Slovenskej republiky</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rezortcislopredpis" pid="19" fmtid="{D5CDD505-2E9C-101B-9397-08002B2CF9AE}">
    <vt:lpwstr>2016-18976/33466:3-56AA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LP/2016/794</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v čl. 6 písm. e), čl. 20, 21, čl. 67 ods. 1 a 4, čl. 81 ods. 1, čl. 165 ods. 1 Zmluvy o fungovaní Európskej únie (Ú.v. EÚ C 83, 30.3. 2010)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je obsiahnutá v judikatúre Súdneho dvora Európskej únie</vt:lpwstr>
  </property>
  <property name="FSC#SKEDITIONSLOVLEX@103.510:AttrStrListDocPropNazovPredpisuEU" pid="43" fmtid="{D5CDD505-2E9C-101B-9397-08002B2CF9AE}">
    <vt:lpwstr>• rozsudok vo veci C 220/12 Andreas Ingemar Thiele Meneses proti Region Hannover, 2013</vt:lpwstr>
  </property>
  <property name="FSC#SKEDITIONSLOVLEX@103.510:AttrStrListDocPropLehotaPrebratieSmernice" pid="44" fmtid="{D5CDD505-2E9C-101B-9397-08002B2CF9AE}">
    <vt:lpwstr>-</vt:lpwstr>
  </property>
  <property name="FSC#SKEDITIONSLOVLEX@103.510:AttrStrListDocPropLehotaNaPredlozenie" pid="45" fmtid="{D5CDD505-2E9C-101B-9397-08002B2CF9AE}">
    <vt:lpwstr>-</vt:lpwstr>
  </property>
  <property name="FSC#SKEDITIONSLOVLEX@103.510:AttrStrListDocPropInfoZaciatokKonania" pid="46" fmtid="{D5CDD505-2E9C-101B-9397-08002B2CF9AE}">
    <vt:lpwstr>-</vt:lpwstr>
  </property>
  <property name="FSC#SKEDITIONSLOVLEX@103.510:AttrStrListDocPropInfoUzPreberanePP" pid="47" fmtid="{D5CDD505-2E9C-101B-9397-08002B2CF9AE}">
    <vt:lpwstr>-</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
  </property>
  <property name="FSC#SKEDITIONSLOVLEX@103.510:AttrDateDocPropZaciatokPKK" pid="50" fmtid="{D5CDD505-2E9C-101B-9397-08002B2CF9AE}">
    <vt:lpwstr>2. 8. 2016</vt:lpwstr>
  </property>
  <property name="FSC#SKEDITIONSLOVLEX@103.510:AttrDateDocPropUkonceniePKK" pid="51" fmtid="{D5CDD505-2E9C-101B-9397-08002B2CF9AE}">
    <vt:lpwstr>5. 8. 2016</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Pozitívne_x000d__x000a_Negatívne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Poznámky k financovaniu návrhu sú uvedené v samostatnej prílohe.</vt:lpwstr>
  </property>
  <property name="FSC#SKEDITIONSLOVLEX@103.510:AttrStrListDocPropAltRiesenia" pid="58"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59"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60"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SKEDITIONSLOVLEX@103.510:dalsipredkladatel" pid="132" fmtid="{D5CDD505-2E9C-101B-9397-08002B2CF9AE}">
    <vt:lpwstr/>
  </property>
  <property name="FSC#SKEDITIONSLOVLEX@103.510:funkciaPred" pid="133" fmtid="{D5CDD505-2E9C-101B-9397-08002B2CF9AE}">
    <vt:lpwstr>hlavný štátny radca</vt:lpwstr>
  </property>
  <property name="FSC#SKEDITIONSLOVLEX@103.510:funkciaPredAkuzativ" pid="134" fmtid="{D5CDD505-2E9C-101B-9397-08002B2CF9AE}">
    <vt:lpwstr>hlavnému štátnemu radcovi</vt:lpwstr>
  </property>
  <property name="FSC#SKEDITIONSLOVLEX@103.510:funkciaPredDativ" pid="135" fmtid="{D5CDD505-2E9C-101B-9397-08002B2CF9AE}">
    <vt:lpwstr>hlavného štátneho radcu</vt:lpwstr>
  </property>
  <property name="FSC#SKEDITIONSLOVLEX@103.510:funkciaZodpPred" pid="136" fmtid="{D5CDD505-2E9C-101B-9397-08002B2CF9AE}">
    <vt:lpwstr>minister školstva, vedy, výskumu a športu Slovenskej republiky</vt:lpwstr>
  </property>
  <property name="FSC#SKEDITIONSLOVLEX@103.510:funkciaZodpPredAkuzativ" pid="137" fmtid="{D5CDD505-2E9C-101B-9397-08002B2CF9AE}">
    <vt:lpwstr>ministerovi školstva, vedy, výskumu a športu Slovenskej republiky</vt:lpwstr>
  </property>
  <property name="FSC#SKEDITIONSLOVLEX@103.510:funkciaZodpPredDativ" pid="138" fmtid="{D5CDD505-2E9C-101B-9397-08002B2CF9AE}">
    <vt:lpwstr>ministera školstva, vedy, výskumu a športu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Peter Plavčan_x000d__x000a_minister školstva, vedy, výskumu a športu Slovenskej republiky</vt:lpwstr>
  </property>
  <property name="FSC#SKEDITIONSLOVLEX@103.510:spravaucastverej" pid="143"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cisloparlamenttlac" pid="144" fmtid="{D5CDD505-2E9C-101B-9397-08002B2CF9AE}">
    <vt:lpwstr/>
  </property>
  <property name="FSC#SKEDITIONSLOVLEX@103.510:nazovpredpis1" pid="145" fmtid="{D5CDD505-2E9C-101B-9397-08002B2CF9AE}">
    <vt:lpwstr>edpisov</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ch predpisov</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