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212"/>
      </w:tblGrid>
      <w:tr w:rsidR="009F2DFA" w:rsidRPr="00F04CCD" w:rsidTr="00F84E4A">
        <w:trPr>
          <w:trHeight w:val="567"/>
        </w:trPr>
        <w:tc>
          <w:tcPr>
            <w:tcW w:w="9212" w:type="dxa"/>
            <w:shd w:val="clear" w:color="auto" w:fill="D9D9D9" w:themeFill="background1" w:themeFillShade="D9"/>
          </w:tcPr>
          <w:p w:rsidR="009F2DFA" w:rsidRPr="00042C66" w:rsidRDefault="008A1252" w:rsidP="00F84E4A">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F84E4A">
        <w:trPr>
          <w:trHeight w:val="567"/>
        </w:trPr>
        <w:tc>
          <w:tcPr>
            <w:tcW w:w="9212" w:type="dxa"/>
            <w:shd w:val="clear" w:color="auto" w:fill="D9D9D9" w:themeFill="background1" w:themeFillShade="D9"/>
          </w:tcPr>
          <w:p w:rsidR="009F2DFA" w:rsidRPr="00042C66" w:rsidRDefault="009F2DFA" w:rsidP="00F84E4A">
            <w:pPr>
              <w:rPr>
                <w:b/>
                <w:sz w:val="24"/>
              </w:rPr>
            </w:pPr>
            <w:r w:rsidRPr="00042C66">
              <w:rPr>
                <w:b/>
                <w:sz w:val="24"/>
              </w:rPr>
              <w:t>Materiál bude mať vplyv s ohľadom na veľkostnú kategóriu podnikov:</w:t>
            </w:r>
          </w:p>
        </w:tc>
      </w:tr>
      <w:tr w:rsidR="009F2DFA" w:rsidRPr="00F04CCD" w:rsidTr="00F84E4A">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F04CCD" w:rsidTr="00F84E4A">
              <w:sdt>
                <w:sdtPr>
                  <w:id w:val="43339831"/>
                  <w14:checkbox>
                    <w14:checked w14:val="0"/>
                    <w14:checkedState w14:val="2612" w14:font="MS Gothic"/>
                    <w14:uncheckedState w14:val="2610" w14:font="MS Gothic"/>
                  </w14:checkbox>
                </w:sdtPr>
                <w:sdtEndPr/>
                <w:sdtContent>
                  <w:tc>
                    <w:tcPr>
                      <w:tcW w:w="436" w:type="dxa"/>
                    </w:tcPr>
                    <w:p w:rsidR="009F2DFA" w:rsidRPr="00F04CCD" w:rsidRDefault="009F2DFA" w:rsidP="00F84E4A">
                      <w:pPr>
                        <w:jc w:val="center"/>
                      </w:pPr>
                      <w:r w:rsidRPr="00F04CCD">
                        <w:rPr>
                          <w:rFonts w:ascii="MS Mincho" w:eastAsia="MS Mincho" w:hAnsi="MS Mincho" w:cs="MS Mincho" w:hint="eastAsia"/>
                        </w:rPr>
                        <w:t>☐</w:t>
                      </w:r>
                    </w:p>
                  </w:tc>
                </w:sdtContent>
              </w:sdt>
              <w:tc>
                <w:tcPr>
                  <w:tcW w:w="8545" w:type="dxa"/>
                </w:tcPr>
                <w:p w:rsidR="009F2DFA" w:rsidRPr="00F04CCD" w:rsidRDefault="009F2DFA" w:rsidP="00F84E4A">
                  <w:pPr>
                    <w:rPr>
                      <w:b/>
                    </w:rPr>
                  </w:pPr>
                  <w:r w:rsidRPr="00F04CCD">
                    <w:rPr>
                      <w:b/>
                    </w:rPr>
                    <w:t xml:space="preserve">iba na MSP (0 - 249 zamestnancov) </w:t>
                  </w:r>
                </w:p>
              </w:tc>
            </w:tr>
            <w:tr w:rsidR="009F2DFA" w:rsidRPr="00F04CCD" w:rsidTr="00F84E4A">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F84E4A">
                      <w:pPr>
                        <w:jc w:val="center"/>
                      </w:pPr>
                      <w:r w:rsidRPr="00F04CCD">
                        <w:rPr>
                          <w:rFonts w:ascii="MS Mincho" w:eastAsia="MS Mincho" w:hAnsi="MS Mincho" w:cs="MS Mincho" w:hint="eastAsia"/>
                        </w:rPr>
                        <w:t>☐</w:t>
                      </w:r>
                    </w:p>
                  </w:tc>
                </w:sdtContent>
              </w:sdt>
              <w:tc>
                <w:tcPr>
                  <w:tcW w:w="8545" w:type="dxa"/>
                </w:tcPr>
                <w:p w:rsidR="009F2DFA" w:rsidRPr="00F04CCD" w:rsidRDefault="009F2DFA" w:rsidP="00F84E4A">
                  <w:pPr>
                    <w:rPr>
                      <w:b/>
                    </w:rPr>
                  </w:pPr>
                  <w:r w:rsidRPr="00F04CCD">
                    <w:rPr>
                      <w:b/>
                    </w:rPr>
                    <w:t>iba na veľké podniky (250 a viac zamestnancov)</w:t>
                  </w:r>
                </w:p>
              </w:tc>
            </w:tr>
            <w:tr w:rsidR="009F2DFA" w:rsidRPr="00F04CCD" w:rsidTr="00F84E4A">
              <w:sdt>
                <w:sdtPr>
                  <w:id w:val="1290634502"/>
                  <w14:checkbox>
                    <w14:checked w14:val="1"/>
                    <w14:checkedState w14:val="2612" w14:font="MS Gothic"/>
                    <w14:uncheckedState w14:val="2610" w14:font="MS Gothic"/>
                  </w14:checkbox>
                </w:sdtPr>
                <w:sdtEndPr/>
                <w:sdtContent>
                  <w:tc>
                    <w:tcPr>
                      <w:tcW w:w="436" w:type="dxa"/>
                    </w:tcPr>
                    <w:p w:rsidR="009F2DFA" w:rsidRPr="00F04CCD" w:rsidRDefault="00F805C1" w:rsidP="00F84E4A">
                      <w:pPr>
                        <w:jc w:val="center"/>
                      </w:pPr>
                      <w:r>
                        <w:rPr>
                          <w:rFonts w:ascii="MS Gothic" w:eastAsia="MS Gothic" w:hAnsi="MS Gothic" w:hint="eastAsia"/>
                        </w:rPr>
                        <w:t>☒</w:t>
                      </w:r>
                    </w:p>
                  </w:tc>
                </w:sdtContent>
              </w:sdt>
              <w:tc>
                <w:tcPr>
                  <w:tcW w:w="8545" w:type="dxa"/>
                </w:tcPr>
                <w:p w:rsidR="009F2DFA" w:rsidRPr="00F04CCD" w:rsidRDefault="009F2DFA" w:rsidP="00F84E4A">
                  <w:r w:rsidRPr="00F04CCD">
                    <w:rPr>
                      <w:b/>
                    </w:rPr>
                    <w:t xml:space="preserve">na všetky </w:t>
                  </w:r>
                  <w:r>
                    <w:rPr>
                      <w:b/>
                    </w:rPr>
                    <w:t>kategórie</w:t>
                  </w:r>
                  <w:r w:rsidRPr="00F04CCD">
                    <w:rPr>
                      <w:b/>
                    </w:rPr>
                    <w:t xml:space="preserve"> podnikov</w:t>
                  </w:r>
                </w:p>
              </w:tc>
            </w:tr>
          </w:tbl>
          <w:p w:rsidR="009F2DFA" w:rsidRPr="00F04CCD" w:rsidRDefault="009F2DFA" w:rsidP="00F84E4A">
            <w:pPr>
              <w:rPr>
                <w:b/>
              </w:rPr>
            </w:pPr>
          </w:p>
        </w:tc>
      </w:tr>
      <w:tr w:rsidR="009F2DFA" w:rsidRPr="00F04CCD" w:rsidTr="00F84E4A">
        <w:tc>
          <w:tcPr>
            <w:tcW w:w="9212" w:type="dxa"/>
            <w:shd w:val="clear" w:color="auto" w:fill="D9D9D9" w:themeFill="background1" w:themeFillShade="D9"/>
          </w:tcPr>
          <w:p w:rsidR="009F2DFA" w:rsidRPr="00042C66" w:rsidRDefault="002B1108" w:rsidP="00F84E4A">
            <w:pPr>
              <w:rPr>
                <w:b/>
                <w:sz w:val="24"/>
              </w:rPr>
            </w:pPr>
            <w:r>
              <w:rPr>
                <w:b/>
                <w:sz w:val="24"/>
              </w:rPr>
              <w:t>3</w:t>
            </w:r>
            <w:r w:rsidR="009F2DFA" w:rsidRPr="00042C66">
              <w:rPr>
                <w:b/>
                <w:sz w:val="24"/>
              </w:rPr>
              <w:t>.1 Dotknuté podnikateľské subjekty</w:t>
            </w:r>
          </w:p>
          <w:p w:rsidR="009F2DFA" w:rsidRPr="00F04CCD" w:rsidRDefault="009F2DFA" w:rsidP="00F84E4A">
            <w:pPr>
              <w:ind w:left="284"/>
              <w:rPr>
                <w:b/>
              </w:rPr>
            </w:pPr>
            <w:r w:rsidRPr="00042C66">
              <w:rPr>
                <w:sz w:val="24"/>
              </w:rPr>
              <w:t xml:space="preserve"> - </w:t>
            </w:r>
            <w:r w:rsidRPr="00042C66">
              <w:rPr>
                <w:b/>
                <w:sz w:val="24"/>
              </w:rPr>
              <w:t>z toho MSP</w:t>
            </w:r>
          </w:p>
        </w:tc>
      </w:tr>
      <w:tr w:rsidR="009F2DFA" w:rsidRPr="00F04CCD" w:rsidTr="00F84E4A">
        <w:tc>
          <w:tcPr>
            <w:tcW w:w="9212" w:type="dxa"/>
            <w:tcBorders>
              <w:bottom w:val="single" w:sz="4" w:space="0" w:color="auto"/>
            </w:tcBorders>
          </w:tcPr>
          <w:p w:rsidR="009F2DFA" w:rsidRPr="00F04CCD" w:rsidRDefault="009F2DFA" w:rsidP="00F84E4A">
            <w:pPr>
              <w:rPr>
                <w:i/>
              </w:rPr>
            </w:pPr>
            <w:r w:rsidRPr="00F04CCD">
              <w:rPr>
                <w:i/>
              </w:rPr>
              <w:t>Uveďte, aké podnikateľské subjekty budú predkladaným návrhom ovplyvnené.</w:t>
            </w:r>
          </w:p>
          <w:p w:rsidR="009F2DFA" w:rsidRPr="00F04CCD" w:rsidRDefault="009F2DFA" w:rsidP="00F84E4A">
            <w:pPr>
              <w:rPr>
                <w:i/>
              </w:rPr>
            </w:pPr>
            <w:r w:rsidRPr="00F04CCD">
              <w:rPr>
                <w:i/>
              </w:rPr>
              <w:t>Aký je ich počet?</w:t>
            </w:r>
          </w:p>
        </w:tc>
      </w:tr>
      <w:tr w:rsidR="009F2DFA" w:rsidRPr="00F04CCD" w:rsidTr="00F84E4A">
        <w:trPr>
          <w:trHeight w:val="1440"/>
        </w:trPr>
        <w:tc>
          <w:tcPr>
            <w:tcW w:w="9212" w:type="dxa"/>
            <w:tcBorders>
              <w:bottom w:val="single" w:sz="4" w:space="0" w:color="auto"/>
            </w:tcBorders>
          </w:tcPr>
          <w:p w:rsidR="00A16277" w:rsidRPr="00A16277" w:rsidRDefault="00F57D24" w:rsidP="00B6590D">
            <w:pPr>
              <w:jc w:val="both"/>
              <w:rPr>
                <w:sz w:val="22"/>
              </w:rPr>
            </w:pPr>
            <w:r>
              <w:rPr>
                <w:sz w:val="22"/>
              </w:rPr>
              <w:t xml:space="preserve">Návrh zákona bude mať vplyv na </w:t>
            </w:r>
            <w:r w:rsidR="00F84E4A">
              <w:rPr>
                <w:sz w:val="22"/>
              </w:rPr>
              <w:t xml:space="preserve">každé neakreditované kalibračné laboratórium, ktoré vykonáva kalibráciu meradiel, ktoré sa používajú pri meraniach podľa osobitného predpisu a nevykonávajú sa určenými meradlami. Na základe informácií Kalibračného </w:t>
            </w:r>
            <w:r w:rsidR="00B6590D">
              <w:rPr>
                <w:sz w:val="22"/>
              </w:rPr>
              <w:t xml:space="preserve">zduženia </w:t>
            </w:r>
            <w:r w:rsidR="00F84E4A">
              <w:rPr>
                <w:sz w:val="22"/>
              </w:rPr>
              <w:t xml:space="preserve">Slovenskej republiky, ktoré združuje </w:t>
            </w:r>
            <w:r w:rsidR="00D66A92">
              <w:rPr>
                <w:sz w:val="22"/>
              </w:rPr>
              <w:t>väčšiu</w:t>
            </w:r>
            <w:r w:rsidR="00F84E4A">
              <w:rPr>
                <w:sz w:val="22"/>
              </w:rPr>
              <w:t xml:space="preserve"> </w:t>
            </w:r>
            <w:r w:rsidR="00D66A92">
              <w:rPr>
                <w:sz w:val="22"/>
              </w:rPr>
              <w:t xml:space="preserve">časť </w:t>
            </w:r>
            <w:r w:rsidR="00F84E4A">
              <w:rPr>
                <w:sz w:val="22"/>
              </w:rPr>
              <w:t>kalibračn</w:t>
            </w:r>
            <w:r w:rsidR="00D66A92">
              <w:rPr>
                <w:sz w:val="22"/>
              </w:rPr>
              <w:t>ých</w:t>
            </w:r>
            <w:r w:rsidR="00F84E4A">
              <w:rPr>
                <w:sz w:val="22"/>
              </w:rPr>
              <w:t xml:space="preserve"> </w:t>
            </w:r>
            <w:r w:rsidR="00D66A92">
              <w:rPr>
                <w:sz w:val="22"/>
              </w:rPr>
              <w:t xml:space="preserve">laboratórií v Slovenskej republike je celkový počet kalibračných laboratórií </w:t>
            </w:r>
            <w:r w:rsidR="007820E0">
              <w:rPr>
                <w:sz w:val="22"/>
              </w:rPr>
              <w:t>69</w:t>
            </w:r>
            <w:r w:rsidR="00D66A92">
              <w:rPr>
                <w:sz w:val="22"/>
              </w:rPr>
              <w:t xml:space="preserve"> z toho </w:t>
            </w:r>
            <w:r w:rsidR="007820E0">
              <w:rPr>
                <w:sz w:val="22"/>
              </w:rPr>
              <w:t>51</w:t>
            </w:r>
            <w:r w:rsidR="00D66A92">
              <w:rPr>
                <w:sz w:val="22"/>
              </w:rPr>
              <w:t xml:space="preserve"> je akreditovaných a </w:t>
            </w:r>
            <w:r w:rsidR="007820E0">
              <w:rPr>
                <w:sz w:val="22"/>
              </w:rPr>
              <w:t>18</w:t>
            </w:r>
            <w:r w:rsidR="00951893">
              <w:rPr>
                <w:sz w:val="22"/>
              </w:rPr>
              <w:t xml:space="preserve"> akreditáciu nemá.</w:t>
            </w:r>
            <w:r w:rsidR="00F84E4A">
              <w:rPr>
                <w:sz w:val="22"/>
              </w:rPr>
              <w:t xml:space="preserve"> Ďalej návrh zákona bude mať vplyv na </w:t>
            </w:r>
            <w:r>
              <w:rPr>
                <w:sz w:val="22"/>
              </w:rPr>
              <w:t>autorizovanú osobu na výkon overovania určených meradiel</w:t>
            </w:r>
            <w:r w:rsidR="00F84E4A">
              <w:rPr>
                <w:sz w:val="22"/>
              </w:rPr>
              <w:t>, ktoré budú musieť byť akreditované</w:t>
            </w:r>
            <w:r>
              <w:rPr>
                <w:sz w:val="22"/>
              </w:rPr>
              <w:t xml:space="preserve">. </w:t>
            </w:r>
            <w:r w:rsidR="00297527">
              <w:rPr>
                <w:sz w:val="22"/>
              </w:rPr>
              <w:t>K</w:t>
            </w:r>
            <w:r w:rsidR="00F84E4A">
              <w:rPr>
                <w:sz w:val="22"/>
              </w:rPr>
              <w:t xml:space="preserve"> mesiaci</w:t>
            </w:r>
            <w:r w:rsidR="00297527">
              <w:rPr>
                <w:sz w:val="22"/>
              </w:rPr>
              <w:t xml:space="preserve"> jún</w:t>
            </w:r>
            <w:r w:rsidR="000B2C0D">
              <w:rPr>
                <w:sz w:val="22"/>
              </w:rPr>
              <w:t xml:space="preserve"> 2016</w:t>
            </w:r>
            <w:r w:rsidR="00A16277" w:rsidRPr="00A16277">
              <w:rPr>
                <w:sz w:val="22"/>
              </w:rPr>
              <w:t xml:space="preserve"> </w:t>
            </w:r>
            <w:r w:rsidR="00DC1E59" w:rsidRPr="00DC1E59">
              <w:rPr>
                <w:sz w:val="22"/>
              </w:rPr>
              <w:t xml:space="preserve">Úrad pre normalizáciu, metrológiu a skúšobníctvo Slovenskej republiky </w:t>
            </w:r>
            <w:r w:rsidR="00DC1E59">
              <w:rPr>
                <w:sz w:val="22"/>
              </w:rPr>
              <w:t>(ďalej len „</w:t>
            </w:r>
            <w:r w:rsidR="00A16277" w:rsidRPr="00A16277">
              <w:rPr>
                <w:sz w:val="22"/>
              </w:rPr>
              <w:t>ÚNMS SR</w:t>
            </w:r>
            <w:r w:rsidR="00DC1E59">
              <w:rPr>
                <w:sz w:val="22"/>
              </w:rPr>
              <w:t>“)</w:t>
            </w:r>
            <w:r w:rsidR="00A16277" w:rsidRPr="00A16277">
              <w:rPr>
                <w:sz w:val="22"/>
              </w:rPr>
              <w:t xml:space="preserve"> evidoval celkovo </w:t>
            </w:r>
            <w:r w:rsidR="000B2C0D">
              <w:rPr>
                <w:sz w:val="22"/>
              </w:rPr>
              <w:t>68</w:t>
            </w:r>
            <w:r w:rsidR="00A16277">
              <w:rPr>
                <w:sz w:val="22"/>
              </w:rPr>
              <w:t xml:space="preserve"> </w:t>
            </w:r>
            <w:r w:rsidR="000B2C0D">
              <w:rPr>
                <w:sz w:val="22"/>
              </w:rPr>
              <w:t xml:space="preserve">autorizovaných osôb </w:t>
            </w:r>
            <w:r w:rsidR="00A16277">
              <w:rPr>
                <w:sz w:val="22"/>
              </w:rPr>
              <w:t xml:space="preserve">na výkon overovania </w:t>
            </w:r>
            <w:r w:rsidR="00A16277" w:rsidRPr="00A16277">
              <w:rPr>
                <w:sz w:val="22"/>
              </w:rPr>
              <w:t>určených meradiel</w:t>
            </w:r>
            <w:r w:rsidR="000B2C0D">
              <w:rPr>
                <w:sz w:val="22"/>
              </w:rPr>
              <w:t>, z toho 1</w:t>
            </w:r>
            <w:r w:rsidR="00315C9C">
              <w:rPr>
                <w:sz w:val="22"/>
              </w:rPr>
              <w:t>6</w:t>
            </w:r>
            <w:r w:rsidR="000B2C0D">
              <w:rPr>
                <w:sz w:val="22"/>
              </w:rPr>
              <w:t xml:space="preserve"> autorizovaných osôb už má platnú akreditáciu</w:t>
            </w:r>
            <w:r w:rsidR="00A16277" w:rsidRPr="00A16277">
              <w:rPr>
                <w:sz w:val="22"/>
              </w:rPr>
              <w:t xml:space="preserve"> a </w:t>
            </w:r>
            <w:r w:rsidR="000B2C0D">
              <w:rPr>
                <w:sz w:val="22"/>
              </w:rPr>
              <w:t>5</w:t>
            </w:r>
            <w:r w:rsidR="00315C9C">
              <w:rPr>
                <w:sz w:val="22"/>
              </w:rPr>
              <w:t>2</w:t>
            </w:r>
            <w:r w:rsidR="00A16277" w:rsidRPr="00A16277">
              <w:rPr>
                <w:sz w:val="22"/>
              </w:rPr>
              <w:t xml:space="preserve"> </w:t>
            </w:r>
            <w:r w:rsidR="000B2C0D">
              <w:rPr>
                <w:sz w:val="22"/>
              </w:rPr>
              <w:t xml:space="preserve">autorizovaných osôb </w:t>
            </w:r>
            <w:r w:rsidR="00297527">
              <w:rPr>
                <w:sz w:val="22"/>
              </w:rPr>
              <w:t xml:space="preserve">ešte </w:t>
            </w:r>
            <w:r w:rsidR="000B2C0D">
              <w:rPr>
                <w:sz w:val="22"/>
              </w:rPr>
              <w:t xml:space="preserve">nemá akreditáciu. </w:t>
            </w:r>
            <w:r w:rsidR="00B77BE4">
              <w:rPr>
                <w:sz w:val="22"/>
              </w:rPr>
              <w:t>Ďalej</w:t>
            </w:r>
            <w:r w:rsidR="00B77BE4" w:rsidRPr="00B77BE4">
              <w:rPr>
                <w:sz w:val="22"/>
              </w:rPr>
              <w:t xml:space="preserve"> návrh zákona </w:t>
            </w:r>
            <w:r w:rsidR="00B77BE4">
              <w:rPr>
                <w:sz w:val="22"/>
              </w:rPr>
              <w:t>rozši</w:t>
            </w:r>
            <w:r w:rsidR="00B77BE4" w:rsidRPr="00B77BE4">
              <w:rPr>
                <w:sz w:val="22"/>
              </w:rPr>
              <w:t>r</w:t>
            </w:r>
            <w:r w:rsidR="00B77BE4">
              <w:rPr>
                <w:sz w:val="22"/>
              </w:rPr>
              <w:t>uje</w:t>
            </w:r>
            <w:r w:rsidR="00B77BE4" w:rsidRPr="00B77BE4">
              <w:rPr>
                <w:sz w:val="22"/>
              </w:rPr>
              <w:t xml:space="preserve"> informačn</w:t>
            </w:r>
            <w:r w:rsidR="00B77BE4">
              <w:rPr>
                <w:sz w:val="22"/>
              </w:rPr>
              <w:t>ú</w:t>
            </w:r>
            <w:r w:rsidR="00B77BE4" w:rsidRPr="00B77BE4">
              <w:rPr>
                <w:sz w:val="22"/>
              </w:rPr>
              <w:t xml:space="preserve"> povinnos</w:t>
            </w:r>
            <w:r w:rsidR="00B77BE4">
              <w:rPr>
                <w:sz w:val="22"/>
              </w:rPr>
              <w:t>ť</w:t>
            </w:r>
            <w:r w:rsidR="00B77BE4" w:rsidRPr="00B77BE4">
              <w:rPr>
                <w:sz w:val="22"/>
              </w:rPr>
              <w:t xml:space="preserve"> používateľ</w:t>
            </w:r>
            <w:r w:rsidR="00B77BE4">
              <w:rPr>
                <w:sz w:val="22"/>
              </w:rPr>
              <w:t>ov</w:t>
            </w:r>
            <w:r w:rsidR="00B77BE4" w:rsidRPr="00B77BE4">
              <w:rPr>
                <w:sz w:val="22"/>
              </w:rPr>
              <w:t xml:space="preserve"> určen</w:t>
            </w:r>
            <w:r w:rsidR="00B77BE4">
              <w:rPr>
                <w:sz w:val="22"/>
              </w:rPr>
              <w:t>ých</w:t>
            </w:r>
            <w:r w:rsidR="00B77BE4" w:rsidRPr="00B77BE4">
              <w:rPr>
                <w:sz w:val="22"/>
              </w:rPr>
              <w:t xml:space="preserve"> merad</w:t>
            </w:r>
            <w:r w:rsidR="00B77BE4">
              <w:rPr>
                <w:sz w:val="22"/>
              </w:rPr>
              <w:t>iel</w:t>
            </w:r>
            <w:r w:rsidR="00B77BE4" w:rsidRPr="00B77BE4">
              <w:rPr>
                <w:sz w:val="22"/>
              </w:rPr>
              <w:t xml:space="preserve"> </w:t>
            </w:r>
            <w:r w:rsidR="00B77BE4">
              <w:rPr>
                <w:sz w:val="22"/>
              </w:rPr>
              <w:t>doplniť</w:t>
            </w:r>
            <w:r w:rsidR="00B77BE4" w:rsidRPr="00B77BE4">
              <w:rPr>
                <w:sz w:val="22"/>
              </w:rPr>
              <w:t xml:space="preserve"> </w:t>
            </w:r>
            <w:r w:rsidR="00B6590D">
              <w:rPr>
                <w:sz w:val="22"/>
              </w:rPr>
              <w:t>do zavedenej</w:t>
            </w:r>
            <w:r w:rsidR="00B6590D" w:rsidRPr="00B77BE4">
              <w:rPr>
                <w:sz w:val="22"/>
              </w:rPr>
              <w:t xml:space="preserve"> </w:t>
            </w:r>
            <w:r w:rsidR="00B77BE4" w:rsidRPr="00B77BE4">
              <w:rPr>
                <w:sz w:val="22"/>
              </w:rPr>
              <w:t>evidenc</w:t>
            </w:r>
            <w:r w:rsidR="00B6590D">
              <w:rPr>
                <w:sz w:val="22"/>
              </w:rPr>
              <w:t>ie</w:t>
            </w:r>
            <w:r w:rsidR="00B77BE4" w:rsidRPr="00B77BE4">
              <w:rPr>
                <w:sz w:val="22"/>
              </w:rPr>
              <w:t xml:space="preserve"> meradiel</w:t>
            </w:r>
            <w:r w:rsidR="00B77BE4">
              <w:rPr>
                <w:sz w:val="22"/>
              </w:rPr>
              <w:t xml:space="preserve"> informáciu o </w:t>
            </w:r>
            <w:r w:rsidR="00B77BE4" w:rsidRPr="00B77BE4">
              <w:rPr>
                <w:sz w:val="22"/>
              </w:rPr>
              <w:t>miest</w:t>
            </w:r>
            <w:r w:rsidR="00B77BE4">
              <w:rPr>
                <w:sz w:val="22"/>
              </w:rPr>
              <w:t>e</w:t>
            </w:r>
            <w:r w:rsidR="00B77BE4" w:rsidRPr="00B77BE4">
              <w:rPr>
                <w:sz w:val="22"/>
              </w:rPr>
              <w:t xml:space="preserve"> používania meradiel</w:t>
            </w:r>
            <w:r w:rsidR="00B77BE4">
              <w:rPr>
                <w:sz w:val="22"/>
              </w:rPr>
              <w:t xml:space="preserve">. Počet používateľov je približne </w:t>
            </w:r>
            <w:r w:rsidR="00B77BE4" w:rsidRPr="00B77BE4">
              <w:rPr>
                <w:sz w:val="22"/>
              </w:rPr>
              <w:t>22</w:t>
            </w:r>
            <w:r w:rsidR="00B77BE4">
              <w:rPr>
                <w:sz w:val="22"/>
              </w:rPr>
              <w:t> </w:t>
            </w:r>
            <w:r w:rsidR="00B77BE4" w:rsidRPr="00B77BE4">
              <w:rPr>
                <w:sz w:val="22"/>
              </w:rPr>
              <w:t>042</w:t>
            </w:r>
            <w:r w:rsidR="00B77BE4">
              <w:rPr>
                <w:sz w:val="22"/>
              </w:rPr>
              <w:t>, kde tento údaj</w:t>
            </w:r>
            <w:r w:rsidR="00B77BE4" w:rsidRPr="00B77BE4">
              <w:rPr>
                <w:sz w:val="22"/>
              </w:rPr>
              <w:t xml:space="preserve"> vychádza z údajov od poskytovateľov metrologických služieb</w:t>
            </w:r>
            <w:r w:rsidR="00B77BE4">
              <w:rPr>
                <w:sz w:val="22"/>
              </w:rPr>
              <w:t xml:space="preserve"> – overenia meradla</w:t>
            </w:r>
            <w:r w:rsidR="00B77BE4" w:rsidRPr="00B77BE4">
              <w:rPr>
                <w:sz w:val="22"/>
              </w:rPr>
              <w:t>.</w:t>
            </w:r>
            <w:r w:rsidR="00B77BE4">
              <w:rPr>
                <w:sz w:val="22"/>
              </w:rPr>
              <w:t xml:space="preserve"> </w:t>
            </w:r>
          </w:p>
        </w:tc>
      </w:tr>
      <w:tr w:rsidR="009F2DFA" w:rsidRPr="00F04CCD" w:rsidTr="00F84E4A">
        <w:trPr>
          <w:trHeight w:val="339"/>
        </w:trPr>
        <w:tc>
          <w:tcPr>
            <w:tcW w:w="9212" w:type="dxa"/>
            <w:tcBorders>
              <w:bottom w:val="single" w:sz="4" w:space="0" w:color="auto"/>
            </w:tcBorders>
            <w:shd w:val="clear" w:color="auto" w:fill="D9D9D9" w:themeFill="background1" w:themeFillShade="D9"/>
          </w:tcPr>
          <w:p w:rsidR="009F2DFA" w:rsidRPr="00042C66" w:rsidRDefault="002B1108" w:rsidP="00F84E4A">
            <w:pPr>
              <w:rPr>
                <w:b/>
                <w:sz w:val="24"/>
              </w:rPr>
            </w:pPr>
            <w:r>
              <w:rPr>
                <w:b/>
                <w:sz w:val="24"/>
              </w:rPr>
              <w:t>3</w:t>
            </w:r>
            <w:r w:rsidR="009F2DFA" w:rsidRPr="00042C66">
              <w:rPr>
                <w:b/>
                <w:sz w:val="24"/>
              </w:rPr>
              <w:t>.2 Vyhodnotenie konzultácií</w:t>
            </w:r>
          </w:p>
          <w:p w:rsidR="009F2DFA" w:rsidRPr="00F04CCD" w:rsidRDefault="009F2DFA" w:rsidP="00F84E4A">
            <w:pPr>
              <w:rPr>
                <w:b/>
              </w:rPr>
            </w:pPr>
            <w:r w:rsidRPr="00042C66">
              <w:rPr>
                <w:sz w:val="24"/>
              </w:rPr>
              <w:t xml:space="preserve">       - </w:t>
            </w:r>
            <w:r w:rsidRPr="00042C66">
              <w:rPr>
                <w:b/>
                <w:sz w:val="24"/>
              </w:rPr>
              <w:t>z toho MSP</w:t>
            </w:r>
          </w:p>
        </w:tc>
      </w:tr>
      <w:tr w:rsidR="009F2DFA" w:rsidRPr="00F04CCD" w:rsidTr="00F84E4A">
        <w:trPr>
          <w:trHeight w:val="557"/>
        </w:trPr>
        <w:tc>
          <w:tcPr>
            <w:tcW w:w="9212" w:type="dxa"/>
            <w:tcBorders>
              <w:bottom w:val="single" w:sz="4" w:space="0" w:color="auto"/>
            </w:tcBorders>
          </w:tcPr>
          <w:p w:rsidR="009F2DFA" w:rsidRPr="00F04CCD" w:rsidRDefault="009F2DFA" w:rsidP="00F84E4A">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F84E4A">
            <w:pPr>
              <w:rPr>
                <w:i/>
              </w:rPr>
            </w:pPr>
            <w:r w:rsidRPr="00F04CCD">
              <w:rPr>
                <w:i/>
              </w:rPr>
              <w:t>Ako dlho trvali konzultácie?</w:t>
            </w:r>
          </w:p>
          <w:p w:rsidR="009F2DFA" w:rsidRPr="000D2622" w:rsidRDefault="009F2DFA" w:rsidP="00F84E4A">
            <w:pPr>
              <w:rPr>
                <w:i/>
              </w:rPr>
            </w:pPr>
            <w:r w:rsidRPr="00F04CCD">
              <w:rPr>
                <w:i/>
              </w:rPr>
              <w:t xml:space="preserve">Uveďte hlavné body konzultácií a výsledky konzultácií. </w:t>
            </w:r>
          </w:p>
        </w:tc>
      </w:tr>
      <w:tr w:rsidR="009F2DFA" w:rsidRPr="00F04CCD" w:rsidTr="00F84E4A">
        <w:trPr>
          <w:trHeight w:val="1440"/>
        </w:trPr>
        <w:tc>
          <w:tcPr>
            <w:tcW w:w="9212" w:type="dxa"/>
            <w:tcBorders>
              <w:bottom w:val="single" w:sz="4" w:space="0" w:color="auto"/>
            </w:tcBorders>
          </w:tcPr>
          <w:p w:rsidR="00B9372D" w:rsidRDefault="000E10D4" w:rsidP="00DC1E59">
            <w:pPr>
              <w:jc w:val="both"/>
              <w:rPr>
                <w:sz w:val="22"/>
              </w:rPr>
            </w:pPr>
            <w:r w:rsidRPr="00D94CD8">
              <w:rPr>
                <w:sz w:val="22"/>
              </w:rPr>
              <w:t xml:space="preserve">Návrh zákona bol predmetom porady riaditeľov </w:t>
            </w:r>
            <w:r w:rsidR="00DC1E59" w:rsidRPr="00DC1E59">
              <w:rPr>
                <w:sz w:val="22"/>
              </w:rPr>
              <w:t>Slovensk</w:t>
            </w:r>
            <w:r w:rsidR="00DC1E59">
              <w:rPr>
                <w:sz w:val="22"/>
              </w:rPr>
              <w:t>ého</w:t>
            </w:r>
            <w:r w:rsidR="00DC1E59" w:rsidRPr="00DC1E59">
              <w:rPr>
                <w:sz w:val="22"/>
              </w:rPr>
              <w:t xml:space="preserve"> metrologick</w:t>
            </w:r>
            <w:r w:rsidR="00DC1E59">
              <w:rPr>
                <w:sz w:val="22"/>
              </w:rPr>
              <w:t>ého</w:t>
            </w:r>
            <w:r w:rsidR="00DC1E59" w:rsidRPr="00DC1E59">
              <w:rPr>
                <w:sz w:val="22"/>
              </w:rPr>
              <w:t xml:space="preserve"> ústav</w:t>
            </w:r>
            <w:r w:rsidR="00DC1E59">
              <w:rPr>
                <w:sz w:val="22"/>
              </w:rPr>
              <w:t>u</w:t>
            </w:r>
            <w:r w:rsidR="00DC1E59" w:rsidRPr="00DC1E59">
              <w:rPr>
                <w:sz w:val="22"/>
              </w:rPr>
              <w:t xml:space="preserve"> </w:t>
            </w:r>
            <w:r w:rsidR="00DC1E59">
              <w:rPr>
                <w:sz w:val="22"/>
              </w:rPr>
              <w:t>(ďalej len „</w:t>
            </w:r>
            <w:r w:rsidR="00DC1E59" w:rsidRPr="00D94CD8">
              <w:rPr>
                <w:sz w:val="22"/>
              </w:rPr>
              <w:t>SMÚ</w:t>
            </w:r>
            <w:r w:rsidR="00DC1E59">
              <w:rPr>
                <w:sz w:val="22"/>
              </w:rPr>
              <w:t xml:space="preserve">“), </w:t>
            </w:r>
            <w:r w:rsidR="00DC1E59" w:rsidRPr="00DC1E59">
              <w:rPr>
                <w:sz w:val="22"/>
              </w:rPr>
              <w:t>Slovensk</w:t>
            </w:r>
            <w:r w:rsidR="00DC1E59">
              <w:rPr>
                <w:sz w:val="22"/>
              </w:rPr>
              <w:t>ej</w:t>
            </w:r>
            <w:r w:rsidR="00DC1E59" w:rsidRPr="00DC1E59">
              <w:rPr>
                <w:sz w:val="22"/>
              </w:rPr>
              <w:t xml:space="preserve"> legáln</w:t>
            </w:r>
            <w:r w:rsidR="00DC1E59">
              <w:rPr>
                <w:sz w:val="22"/>
              </w:rPr>
              <w:t>ej</w:t>
            </w:r>
            <w:r w:rsidR="00DC1E59" w:rsidRPr="00DC1E59">
              <w:rPr>
                <w:sz w:val="22"/>
              </w:rPr>
              <w:t xml:space="preserve"> metrológi</w:t>
            </w:r>
            <w:r w:rsidR="00DC1E59">
              <w:rPr>
                <w:sz w:val="22"/>
              </w:rPr>
              <w:t>e</w:t>
            </w:r>
            <w:r w:rsidR="00DC1E59" w:rsidRPr="00DC1E59">
              <w:rPr>
                <w:sz w:val="22"/>
              </w:rPr>
              <w:t xml:space="preserve"> n. o.</w:t>
            </w:r>
            <w:r w:rsidR="00DC1E59">
              <w:rPr>
                <w:sz w:val="22"/>
              </w:rPr>
              <w:t xml:space="preserve"> (ďalej len SLM</w:t>
            </w:r>
            <w:r w:rsidR="00DC1E59" w:rsidRPr="00DC1E59">
              <w:rPr>
                <w:sz w:val="22"/>
              </w:rPr>
              <w:t>), Slovensk</w:t>
            </w:r>
            <w:r w:rsidR="00DC1E59">
              <w:rPr>
                <w:sz w:val="22"/>
              </w:rPr>
              <w:t>ého</w:t>
            </w:r>
            <w:r w:rsidR="00DC1E59" w:rsidRPr="00DC1E59">
              <w:rPr>
                <w:sz w:val="22"/>
              </w:rPr>
              <w:t xml:space="preserve"> metrologick</w:t>
            </w:r>
            <w:r w:rsidR="00DC1E59">
              <w:rPr>
                <w:sz w:val="22"/>
              </w:rPr>
              <w:t>ého</w:t>
            </w:r>
            <w:r w:rsidR="00DC1E59" w:rsidRPr="00DC1E59">
              <w:rPr>
                <w:sz w:val="22"/>
              </w:rPr>
              <w:t xml:space="preserve"> inšpektorát</w:t>
            </w:r>
            <w:r w:rsidR="00DC1E59">
              <w:rPr>
                <w:sz w:val="22"/>
              </w:rPr>
              <w:t>u (ďalej len „S</w:t>
            </w:r>
            <w:r w:rsidRPr="00D94CD8">
              <w:rPr>
                <w:sz w:val="22"/>
              </w:rPr>
              <w:t>MI</w:t>
            </w:r>
            <w:r w:rsidR="00DC1E59">
              <w:rPr>
                <w:sz w:val="22"/>
              </w:rPr>
              <w:t>)</w:t>
            </w:r>
            <w:r w:rsidRPr="00D94CD8">
              <w:rPr>
                <w:sz w:val="22"/>
              </w:rPr>
              <w:t xml:space="preserve"> a  riaditeľa </w:t>
            </w:r>
            <w:r w:rsidR="00DC1E59">
              <w:rPr>
                <w:sz w:val="22"/>
              </w:rPr>
              <w:t xml:space="preserve">odboru </w:t>
            </w:r>
            <w:r w:rsidRPr="00D94CD8">
              <w:rPr>
                <w:sz w:val="22"/>
              </w:rPr>
              <w:t xml:space="preserve">metrológie ÚNMS </w:t>
            </w:r>
            <w:r w:rsidR="001275A4" w:rsidRPr="00D94CD8">
              <w:rPr>
                <w:sz w:val="22"/>
              </w:rPr>
              <w:t xml:space="preserve">SR </w:t>
            </w:r>
            <w:r w:rsidRPr="00D94CD8">
              <w:rPr>
                <w:sz w:val="22"/>
              </w:rPr>
              <w:t xml:space="preserve">za účasti ďalších spôsobilých osôb, ktorá sa konala v dňoch 7. až 8. júna 2016. </w:t>
            </w:r>
          </w:p>
          <w:p w:rsidR="00B9372D" w:rsidRDefault="00B9372D" w:rsidP="00DC1E59">
            <w:pPr>
              <w:jc w:val="both"/>
              <w:rPr>
                <w:sz w:val="22"/>
              </w:rPr>
            </w:pPr>
            <w:r>
              <w:rPr>
                <w:sz w:val="22"/>
              </w:rPr>
              <w:t>V rámci porady boli rozobraté problémy týkajúce sa metrologickej kontroly meradiel</w:t>
            </w:r>
            <w:r w:rsidR="00B6590D">
              <w:rPr>
                <w:sz w:val="22"/>
              </w:rPr>
              <w:t>,</w:t>
            </w:r>
            <w:r>
              <w:rPr>
                <w:sz w:val="22"/>
              </w:rPr>
              <w:t xml:space="preserve"> a to predovšetkým prvotného a následného overenia určených meradiel, problémy pri činnostiach spojených s procesom overovania meradiel, evidencie </w:t>
            </w:r>
            <w:r w:rsidR="00652855">
              <w:rPr>
                <w:sz w:val="22"/>
              </w:rPr>
              <w:t xml:space="preserve">určených meradiel ich </w:t>
            </w:r>
            <w:r>
              <w:rPr>
                <w:sz w:val="22"/>
              </w:rPr>
              <w:t>používateľmi</w:t>
            </w:r>
            <w:r w:rsidR="00652855">
              <w:rPr>
                <w:sz w:val="22"/>
              </w:rPr>
              <w:t>, problémy s procesom autorizácie a registrácie osôb. Ďalej boli konzultované problémy s neplnením povinnosti subjektov pôsobiacich v oblasti metrológie a</w:t>
            </w:r>
            <w:r w:rsidR="00B6590D">
              <w:rPr>
                <w:sz w:val="22"/>
              </w:rPr>
              <w:t> </w:t>
            </w:r>
            <w:r w:rsidR="00652855">
              <w:rPr>
                <w:sz w:val="22"/>
              </w:rPr>
              <w:t>problémy</w:t>
            </w:r>
            <w:r w:rsidR="00B6590D">
              <w:rPr>
                <w:sz w:val="22"/>
              </w:rPr>
              <w:t>,</w:t>
            </w:r>
            <w:r w:rsidR="00652855">
              <w:rPr>
                <w:sz w:val="22"/>
              </w:rPr>
              <w:t xml:space="preserve"> s ktorými sa stretáva orgán metrologického dozoru. Na základe tejto porady a predchádzajúceho návrhu zákona boli upravené ustanovenia tak aby eliminovali vyššie uvedené problémy.</w:t>
            </w:r>
          </w:p>
          <w:p w:rsidR="009F2DFA" w:rsidRPr="000E10D4" w:rsidRDefault="009F2DFA" w:rsidP="00DC1E59">
            <w:pPr>
              <w:jc w:val="both"/>
            </w:pPr>
          </w:p>
        </w:tc>
      </w:tr>
      <w:tr w:rsidR="009F2DFA" w:rsidRPr="00F04CCD" w:rsidTr="00F84E4A">
        <w:tc>
          <w:tcPr>
            <w:tcW w:w="9212" w:type="dxa"/>
            <w:shd w:val="clear" w:color="auto" w:fill="D9D9D9" w:themeFill="background1" w:themeFillShade="D9"/>
          </w:tcPr>
          <w:p w:rsidR="009F2DFA" w:rsidRPr="00042C66" w:rsidRDefault="002B1108" w:rsidP="00F84E4A">
            <w:pPr>
              <w:rPr>
                <w:b/>
                <w:sz w:val="24"/>
              </w:rPr>
            </w:pPr>
            <w:r>
              <w:rPr>
                <w:b/>
                <w:sz w:val="24"/>
              </w:rPr>
              <w:t>3</w:t>
            </w:r>
            <w:r w:rsidR="009F2DFA" w:rsidRPr="00042C66">
              <w:rPr>
                <w:b/>
                <w:sz w:val="24"/>
              </w:rPr>
              <w:t>.3 Náklady regulácie</w:t>
            </w:r>
          </w:p>
          <w:p w:rsidR="009F2DFA" w:rsidRPr="00F04CCD" w:rsidRDefault="009F2DFA" w:rsidP="00F84E4A">
            <w:pPr>
              <w:rPr>
                <w:b/>
              </w:rPr>
            </w:pPr>
            <w:r w:rsidRPr="00042C66">
              <w:rPr>
                <w:sz w:val="24"/>
              </w:rPr>
              <w:t xml:space="preserve">      - </w:t>
            </w:r>
            <w:r w:rsidRPr="00042C66">
              <w:rPr>
                <w:b/>
                <w:sz w:val="24"/>
              </w:rPr>
              <w:t>z toho MSP</w:t>
            </w:r>
          </w:p>
        </w:tc>
      </w:tr>
      <w:tr w:rsidR="009F2DFA" w:rsidRPr="00F04CCD" w:rsidTr="00F84E4A">
        <w:tc>
          <w:tcPr>
            <w:tcW w:w="9212" w:type="dxa"/>
            <w:tcBorders>
              <w:bottom w:val="single" w:sz="4" w:space="0" w:color="auto"/>
            </w:tcBorders>
          </w:tcPr>
          <w:p w:rsidR="009F2DFA" w:rsidRPr="00F04CCD" w:rsidRDefault="002B1108" w:rsidP="00F84E4A">
            <w:pPr>
              <w:rPr>
                <w:b/>
                <w:i/>
              </w:rPr>
            </w:pPr>
            <w:r>
              <w:rPr>
                <w:b/>
                <w:i/>
              </w:rPr>
              <w:t>3</w:t>
            </w:r>
            <w:r w:rsidR="009F2DFA" w:rsidRPr="00F04CCD">
              <w:rPr>
                <w:b/>
                <w:i/>
              </w:rPr>
              <w:t>.3.1 Priame finančné náklady</w:t>
            </w:r>
          </w:p>
          <w:p w:rsidR="009F2DFA" w:rsidRPr="00F04CCD" w:rsidRDefault="009F2DFA" w:rsidP="00F84E4A">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F84E4A">
        <w:tc>
          <w:tcPr>
            <w:tcW w:w="9212" w:type="dxa"/>
            <w:tcBorders>
              <w:bottom w:val="single" w:sz="4" w:space="0" w:color="auto"/>
            </w:tcBorders>
          </w:tcPr>
          <w:p w:rsidR="007820E0" w:rsidRDefault="007820E0" w:rsidP="007820E0">
            <w:pPr>
              <w:jc w:val="both"/>
              <w:rPr>
                <w:sz w:val="22"/>
              </w:rPr>
            </w:pPr>
            <w:r>
              <w:rPr>
                <w:sz w:val="22"/>
              </w:rPr>
              <w:t xml:space="preserve">Priame finančné náklady pre neakreditované kalibračné laboratórium, ktoré má 2 veličiny (rozsah akreditácie) sú </w:t>
            </w:r>
          </w:p>
          <w:p w:rsidR="007820E0" w:rsidRDefault="007820E0" w:rsidP="007820E0">
            <w:pPr>
              <w:ind w:left="1418" w:hanging="1418"/>
              <w:jc w:val="both"/>
              <w:rPr>
                <w:sz w:val="22"/>
              </w:rPr>
            </w:pPr>
            <w:r>
              <w:rPr>
                <w:sz w:val="22"/>
              </w:rPr>
              <w:t xml:space="preserve">jednorázové :  poplatok </w:t>
            </w:r>
            <w:r w:rsidRPr="00893514">
              <w:rPr>
                <w:sz w:val="22"/>
              </w:rPr>
              <w:t>spojený s podaním, registráciou a posúdením žiadosti je podľa kap. 5</w:t>
            </w:r>
            <w:r>
              <w:rPr>
                <w:sz w:val="22"/>
              </w:rPr>
              <w:t xml:space="preserve"> cenníka   služieb </w:t>
            </w:r>
            <w:r w:rsidR="001C4D04">
              <w:rPr>
                <w:sz w:val="22"/>
              </w:rPr>
              <w:t>Slovenskej národnej akreditačnej služby (ďalej len „</w:t>
            </w:r>
            <w:r>
              <w:rPr>
                <w:sz w:val="22"/>
              </w:rPr>
              <w:t>SNAS</w:t>
            </w:r>
            <w:r w:rsidR="001C4D04">
              <w:rPr>
                <w:sz w:val="22"/>
              </w:rPr>
              <w:t>“)</w:t>
            </w:r>
            <w:r>
              <w:rPr>
                <w:sz w:val="22"/>
              </w:rPr>
              <w:t xml:space="preserve"> 500 € a </w:t>
            </w:r>
          </w:p>
          <w:p w:rsidR="007820E0" w:rsidRDefault="007820E0" w:rsidP="007820E0">
            <w:pPr>
              <w:ind w:left="1418" w:hanging="1418"/>
              <w:jc w:val="both"/>
              <w:rPr>
                <w:sz w:val="22"/>
              </w:rPr>
            </w:pPr>
            <w:r>
              <w:rPr>
                <w:sz w:val="22"/>
              </w:rPr>
              <w:t xml:space="preserve">                   : p</w:t>
            </w:r>
            <w:r w:rsidRPr="007D2125">
              <w:rPr>
                <w:sz w:val="22"/>
              </w:rPr>
              <w:t xml:space="preserve">oplatok za akreditáciu sa stanoví ako násobok poplatku za </w:t>
            </w:r>
            <w:proofErr w:type="spellStart"/>
            <w:r w:rsidRPr="007D2125">
              <w:rPr>
                <w:sz w:val="22"/>
              </w:rPr>
              <w:t>reakreditáciu</w:t>
            </w:r>
            <w:proofErr w:type="spellEnd"/>
            <w:r w:rsidRPr="007D2125">
              <w:rPr>
                <w:sz w:val="22"/>
              </w:rPr>
              <w:t xml:space="preserve"> podľa určujúceho údaja z rozsahu akreditácie pre danú oblasť akreditácie a koeficientu „</w:t>
            </w:r>
            <w:r w:rsidRPr="007D2125">
              <w:rPr>
                <w:i/>
                <w:sz w:val="22"/>
              </w:rPr>
              <w:t>k</w:t>
            </w:r>
            <w:r w:rsidRPr="007D2125">
              <w:rPr>
                <w:sz w:val="22"/>
              </w:rPr>
              <w:t>“, ktorý zohľadňuje typ posudzovania. Tieto údaje sú definované v kap. 6 cenníka</w:t>
            </w:r>
            <w:r>
              <w:rPr>
                <w:sz w:val="22"/>
              </w:rPr>
              <w:t xml:space="preserve"> služieb SNAS</w:t>
            </w:r>
            <w:r w:rsidRPr="007D2125">
              <w:rPr>
                <w:sz w:val="22"/>
              </w:rPr>
              <w:t xml:space="preserve">. Pre kalibračné laboratórium </w:t>
            </w:r>
            <w:r>
              <w:rPr>
                <w:sz w:val="22"/>
              </w:rPr>
              <w:t>s jedným pracoviskom a pre dve veličiny</w:t>
            </w:r>
            <w:r w:rsidRPr="007D2125">
              <w:rPr>
                <w:sz w:val="22"/>
              </w:rPr>
              <w:t xml:space="preserve"> </w:t>
            </w:r>
            <w:r w:rsidRPr="007D2125">
              <w:rPr>
                <w:sz w:val="22"/>
              </w:rPr>
              <w:lastRenderedPageBreak/>
              <w:t xml:space="preserve">je stanovený poplatok za </w:t>
            </w:r>
            <w:proofErr w:type="spellStart"/>
            <w:r w:rsidRPr="007D2125">
              <w:rPr>
                <w:sz w:val="22"/>
              </w:rPr>
              <w:t>r</w:t>
            </w:r>
            <w:r>
              <w:rPr>
                <w:sz w:val="22"/>
              </w:rPr>
              <w:t>eakreditáciu</w:t>
            </w:r>
            <w:proofErr w:type="spellEnd"/>
            <w:r>
              <w:rPr>
                <w:sz w:val="22"/>
              </w:rPr>
              <w:t xml:space="preserve"> 3 600</w:t>
            </w:r>
            <w:r w:rsidR="00623CAE">
              <w:rPr>
                <w:sz w:val="22"/>
              </w:rPr>
              <w:t xml:space="preserve"> € ×</w:t>
            </w:r>
            <w:r w:rsidRPr="007D2125">
              <w:rPr>
                <w:sz w:val="22"/>
              </w:rPr>
              <w:t xml:space="preserve"> koeficient </w:t>
            </w:r>
            <w:r w:rsidRPr="007D2125">
              <w:rPr>
                <w:i/>
                <w:sz w:val="22"/>
              </w:rPr>
              <w:t>k</w:t>
            </w:r>
            <w:r>
              <w:rPr>
                <w:i/>
                <w:sz w:val="22"/>
              </w:rPr>
              <w:t xml:space="preserve"> </w:t>
            </w:r>
            <w:r w:rsidRPr="007D2125">
              <w:rPr>
                <w:sz w:val="22"/>
              </w:rPr>
              <w:t>=</w:t>
            </w:r>
            <w:r>
              <w:rPr>
                <w:sz w:val="22"/>
              </w:rPr>
              <w:t xml:space="preserve"> 1,</w:t>
            </w:r>
            <w:r w:rsidRPr="007D2125">
              <w:rPr>
                <w:sz w:val="22"/>
              </w:rPr>
              <w:t>25 zohľadňujúci náklady spojené</w:t>
            </w:r>
            <w:r>
              <w:rPr>
                <w:sz w:val="22"/>
              </w:rPr>
              <w:t xml:space="preserve"> s akreditáciou, čo tvorí sumu 4 500</w:t>
            </w:r>
            <w:r w:rsidRPr="007D2125">
              <w:rPr>
                <w:sz w:val="22"/>
              </w:rPr>
              <w:t xml:space="preserve"> €.</w:t>
            </w:r>
          </w:p>
          <w:p w:rsidR="007820E0" w:rsidRDefault="007820E0" w:rsidP="007820E0">
            <w:pPr>
              <w:ind w:left="1418" w:hanging="1418"/>
              <w:jc w:val="both"/>
              <w:rPr>
                <w:sz w:val="22"/>
              </w:rPr>
            </w:pPr>
          </w:p>
          <w:p w:rsidR="007820E0" w:rsidRPr="00893514" w:rsidRDefault="007820E0" w:rsidP="007820E0">
            <w:pPr>
              <w:ind w:left="1134" w:hanging="1134"/>
              <w:jc w:val="both"/>
              <w:rPr>
                <w:sz w:val="22"/>
              </w:rPr>
            </w:pPr>
            <w:r>
              <w:rPr>
                <w:sz w:val="22"/>
                <w:u w:val="single"/>
              </w:rPr>
              <w:t>p</w:t>
            </w:r>
            <w:r w:rsidRPr="00893514">
              <w:rPr>
                <w:sz w:val="22"/>
                <w:u w:val="single"/>
              </w:rPr>
              <w:t>eriodické</w:t>
            </w:r>
            <w:r>
              <w:rPr>
                <w:sz w:val="22"/>
                <w:u w:val="single"/>
              </w:rPr>
              <w:t xml:space="preserve"> </w:t>
            </w:r>
            <w:r w:rsidRPr="00893514">
              <w:rPr>
                <w:sz w:val="22"/>
                <w:u w:val="single"/>
              </w:rPr>
              <w:t xml:space="preserve"> </w:t>
            </w:r>
            <w:r w:rsidRPr="00893514">
              <w:rPr>
                <w:sz w:val="22"/>
              </w:rPr>
              <w:t>: výška ročného poplatku za udržiavanie akreditácie upravuje kap. 7 cenníka služieb SNAS a pre jedno kalibračné laboratórium je to 500 € za rok a pri platnosti akreditácie na 5 rokov tvoria ročné poplatky súhrnne sumu 2</w:t>
            </w:r>
            <w:r>
              <w:rPr>
                <w:sz w:val="22"/>
              </w:rPr>
              <w:t xml:space="preserve"> </w:t>
            </w:r>
            <w:r w:rsidRPr="00893514">
              <w:rPr>
                <w:sz w:val="22"/>
              </w:rPr>
              <w:t>500 €</w:t>
            </w:r>
            <w:r w:rsidR="00B6590D">
              <w:rPr>
                <w:sz w:val="22"/>
              </w:rPr>
              <w:t>,</w:t>
            </w:r>
          </w:p>
          <w:p w:rsidR="007820E0" w:rsidRPr="00893514" w:rsidRDefault="007820E0" w:rsidP="007820E0">
            <w:pPr>
              <w:ind w:left="1134"/>
              <w:jc w:val="both"/>
              <w:rPr>
                <w:sz w:val="22"/>
              </w:rPr>
            </w:pPr>
            <w:r w:rsidRPr="00893514">
              <w:rPr>
                <w:sz w:val="22"/>
              </w:rPr>
              <w:t xml:space="preserve">: poplatok za dohľad je stanovený v kap. 6 cenníka služieb SNAS ako podiel poplatku za </w:t>
            </w:r>
            <w:proofErr w:type="spellStart"/>
            <w:r w:rsidRPr="00893514">
              <w:rPr>
                <w:sz w:val="22"/>
              </w:rPr>
              <w:t>reakreditáciu</w:t>
            </w:r>
            <w:proofErr w:type="spellEnd"/>
            <w:r w:rsidRPr="00893514">
              <w:rPr>
                <w:sz w:val="22"/>
              </w:rPr>
              <w:t>, čo je v tomto prípade 2</w:t>
            </w:r>
            <w:r>
              <w:rPr>
                <w:sz w:val="22"/>
              </w:rPr>
              <w:t xml:space="preserve"> </w:t>
            </w:r>
            <w:r w:rsidRPr="00893514">
              <w:rPr>
                <w:sz w:val="22"/>
              </w:rPr>
              <w:t>880 € a počtu dohľadov určených v karte dohľadov. Pri platnosti akreditácie na 5 rokov sa uvažuje s dvoma dohľadmi. Poplatok za dohľad teda predstavuje sumu 1</w:t>
            </w:r>
            <w:r>
              <w:rPr>
                <w:sz w:val="22"/>
              </w:rPr>
              <w:t xml:space="preserve"> 800 </w:t>
            </w:r>
            <w:r w:rsidRPr="00893514">
              <w:rPr>
                <w:sz w:val="22"/>
              </w:rPr>
              <w:t>€</w:t>
            </w:r>
            <w:r w:rsidR="00B6590D">
              <w:rPr>
                <w:sz w:val="22"/>
              </w:rPr>
              <w:t>,</w:t>
            </w:r>
          </w:p>
          <w:p w:rsidR="007820E0" w:rsidRDefault="007820E0" w:rsidP="007820E0">
            <w:pPr>
              <w:ind w:left="1134"/>
              <w:jc w:val="both"/>
              <w:rPr>
                <w:sz w:val="22"/>
              </w:rPr>
            </w:pPr>
            <w:r w:rsidRPr="00893514">
              <w:rPr>
                <w:sz w:val="22"/>
              </w:rPr>
              <w:t xml:space="preserve">: poplatok za </w:t>
            </w:r>
            <w:proofErr w:type="spellStart"/>
            <w:r w:rsidRPr="00893514">
              <w:rPr>
                <w:sz w:val="22"/>
              </w:rPr>
              <w:t>reakreditáciu</w:t>
            </w:r>
            <w:proofErr w:type="spellEnd"/>
            <w:r w:rsidRPr="00893514">
              <w:rPr>
                <w:sz w:val="22"/>
              </w:rPr>
              <w:t xml:space="preserve"> kalibračného laboratória je stanovený pre jedno </w:t>
            </w:r>
            <w:r>
              <w:rPr>
                <w:sz w:val="22"/>
              </w:rPr>
              <w:t>pracovisko a jednu veličinu na 3 600</w:t>
            </w:r>
            <w:r w:rsidRPr="00893514">
              <w:rPr>
                <w:sz w:val="22"/>
              </w:rPr>
              <w:t xml:space="preserve"> €.</w:t>
            </w:r>
          </w:p>
          <w:p w:rsidR="007820E0" w:rsidRDefault="007820E0" w:rsidP="007D2125">
            <w:pPr>
              <w:jc w:val="both"/>
              <w:rPr>
                <w:sz w:val="22"/>
              </w:rPr>
            </w:pPr>
          </w:p>
          <w:p w:rsidR="00893514" w:rsidRPr="00893514" w:rsidRDefault="00893514" w:rsidP="007D2125">
            <w:pPr>
              <w:jc w:val="both"/>
              <w:rPr>
                <w:sz w:val="22"/>
              </w:rPr>
            </w:pPr>
            <w:r>
              <w:rPr>
                <w:sz w:val="22"/>
              </w:rPr>
              <w:t>Priame finančné náklady</w:t>
            </w:r>
            <w:r w:rsidR="00080C0B">
              <w:rPr>
                <w:sz w:val="22"/>
              </w:rPr>
              <w:t xml:space="preserve"> pre podnikateľa</w:t>
            </w:r>
            <w:r w:rsidR="00DC1E59">
              <w:rPr>
                <w:sz w:val="22"/>
              </w:rPr>
              <w:t xml:space="preserve"> na akreditáciu</w:t>
            </w:r>
            <w:r w:rsidR="00080C0B">
              <w:rPr>
                <w:sz w:val="22"/>
              </w:rPr>
              <w:t xml:space="preserve">, ktorý má jedno pracovisko a jednu veličinu (rozsah akreditácie) sú </w:t>
            </w:r>
          </w:p>
          <w:p w:rsidR="00893514" w:rsidRPr="00893514" w:rsidRDefault="007D2125" w:rsidP="00080C0B">
            <w:pPr>
              <w:ind w:left="1276" w:hanging="1276"/>
              <w:jc w:val="both"/>
              <w:rPr>
                <w:sz w:val="22"/>
              </w:rPr>
            </w:pPr>
            <w:r>
              <w:rPr>
                <w:sz w:val="22"/>
                <w:u w:val="single"/>
              </w:rPr>
              <w:t>j</w:t>
            </w:r>
            <w:r w:rsidR="00893514" w:rsidRPr="00893514">
              <w:rPr>
                <w:sz w:val="22"/>
                <w:u w:val="single"/>
              </w:rPr>
              <w:t>ednorazové</w:t>
            </w:r>
            <w:r>
              <w:rPr>
                <w:sz w:val="22"/>
                <w:u w:val="single"/>
              </w:rPr>
              <w:t xml:space="preserve"> </w:t>
            </w:r>
            <w:r w:rsidR="00893514" w:rsidRPr="00893514">
              <w:rPr>
                <w:sz w:val="22"/>
              </w:rPr>
              <w:t xml:space="preserve"> : poplatok spojený s podaním, registráciou a posúdením žiadosti je podľa kap. 5 cenníka     služieb SNAS 500 €.</w:t>
            </w:r>
          </w:p>
          <w:p w:rsidR="00893514" w:rsidRPr="00893514" w:rsidRDefault="00893514" w:rsidP="007D2125">
            <w:pPr>
              <w:ind w:left="1276" w:hanging="1276"/>
              <w:jc w:val="both"/>
              <w:rPr>
                <w:sz w:val="22"/>
              </w:rPr>
            </w:pPr>
            <w:r w:rsidRPr="00893514">
              <w:rPr>
                <w:sz w:val="22"/>
              </w:rPr>
              <w:t xml:space="preserve">                  </w:t>
            </w:r>
            <w:r>
              <w:rPr>
                <w:sz w:val="22"/>
              </w:rPr>
              <w:t xml:space="preserve">  </w:t>
            </w:r>
            <w:r w:rsidRPr="00893514">
              <w:rPr>
                <w:sz w:val="22"/>
              </w:rPr>
              <w:t xml:space="preserve">: </w:t>
            </w:r>
            <w:r w:rsidR="007D2125">
              <w:rPr>
                <w:sz w:val="22"/>
              </w:rPr>
              <w:t>p</w:t>
            </w:r>
            <w:r w:rsidR="007D2125" w:rsidRPr="007D2125">
              <w:rPr>
                <w:sz w:val="22"/>
              </w:rPr>
              <w:t xml:space="preserve">oplatok za akreditáciu sa stanoví ako násobok poplatku za </w:t>
            </w:r>
            <w:proofErr w:type="spellStart"/>
            <w:r w:rsidR="007D2125" w:rsidRPr="007D2125">
              <w:rPr>
                <w:sz w:val="22"/>
              </w:rPr>
              <w:t>reakreditáciu</w:t>
            </w:r>
            <w:proofErr w:type="spellEnd"/>
            <w:r w:rsidR="007D2125" w:rsidRPr="007D2125">
              <w:rPr>
                <w:sz w:val="22"/>
              </w:rPr>
              <w:t xml:space="preserve"> podľa určujúceho údaja z rozsahu akreditácie pre danú oblasť akreditácie a koeficientu „</w:t>
            </w:r>
            <w:r w:rsidR="007D2125" w:rsidRPr="007D2125">
              <w:rPr>
                <w:i/>
                <w:sz w:val="22"/>
              </w:rPr>
              <w:t>k</w:t>
            </w:r>
            <w:r w:rsidR="007D2125" w:rsidRPr="007D2125">
              <w:rPr>
                <w:sz w:val="22"/>
              </w:rPr>
              <w:t>“, ktorý zohľadňuje typ posudzovania. Tieto údaje sú definované v kap. 6 cenníka</w:t>
            </w:r>
            <w:r w:rsidR="007D2125">
              <w:rPr>
                <w:sz w:val="22"/>
              </w:rPr>
              <w:t xml:space="preserve"> služieb SNAS</w:t>
            </w:r>
            <w:r w:rsidR="007D2125" w:rsidRPr="007D2125">
              <w:rPr>
                <w:sz w:val="22"/>
              </w:rPr>
              <w:t xml:space="preserve">. Pre kalibračné laboratórium s jedným pracoviskom a pre jednu veličinu je stanovený poplatok za </w:t>
            </w:r>
            <w:proofErr w:type="spellStart"/>
            <w:r w:rsidR="007D2125" w:rsidRPr="007D2125">
              <w:rPr>
                <w:sz w:val="22"/>
              </w:rPr>
              <w:t>reakreditáciu</w:t>
            </w:r>
            <w:proofErr w:type="spellEnd"/>
            <w:r w:rsidR="007D2125" w:rsidRPr="007D2125">
              <w:rPr>
                <w:sz w:val="22"/>
              </w:rPr>
              <w:t xml:space="preserve"> 2</w:t>
            </w:r>
            <w:r w:rsidR="007D2125">
              <w:rPr>
                <w:sz w:val="22"/>
              </w:rPr>
              <w:t xml:space="preserve"> </w:t>
            </w:r>
            <w:r w:rsidR="007D2125" w:rsidRPr="007D2125">
              <w:rPr>
                <w:sz w:val="22"/>
              </w:rPr>
              <w:t xml:space="preserve">880 € x koeficient </w:t>
            </w:r>
            <w:r w:rsidR="007D2125" w:rsidRPr="007D2125">
              <w:rPr>
                <w:i/>
                <w:sz w:val="22"/>
              </w:rPr>
              <w:t>k</w:t>
            </w:r>
            <w:r w:rsidR="007D2125">
              <w:rPr>
                <w:i/>
                <w:sz w:val="22"/>
              </w:rPr>
              <w:t xml:space="preserve"> </w:t>
            </w:r>
            <w:r w:rsidR="007D2125" w:rsidRPr="007D2125">
              <w:rPr>
                <w:sz w:val="22"/>
              </w:rPr>
              <w:t>=</w:t>
            </w:r>
            <w:r w:rsidR="007D2125">
              <w:rPr>
                <w:sz w:val="22"/>
              </w:rPr>
              <w:t xml:space="preserve"> 1,</w:t>
            </w:r>
            <w:r w:rsidR="007D2125" w:rsidRPr="007D2125">
              <w:rPr>
                <w:sz w:val="22"/>
              </w:rPr>
              <w:t>25 zohľadňujúci náklady spojené s akreditáciou, čo tvorí sumu 3</w:t>
            </w:r>
            <w:r w:rsidR="007D2125">
              <w:rPr>
                <w:sz w:val="22"/>
              </w:rPr>
              <w:t xml:space="preserve"> </w:t>
            </w:r>
            <w:r w:rsidR="007D2125" w:rsidRPr="007D2125">
              <w:rPr>
                <w:sz w:val="22"/>
              </w:rPr>
              <w:t>600 €.</w:t>
            </w:r>
          </w:p>
          <w:p w:rsidR="00893514" w:rsidRPr="00893514" w:rsidRDefault="00080C0B" w:rsidP="00080C0B">
            <w:pPr>
              <w:ind w:left="1134" w:hanging="1134"/>
              <w:jc w:val="both"/>
              <w:rPr>
                <w:sz w:val="22"/>
              </w:rPr>
            </w:pPr>
            <w:r>
              <w:rPr>
                <w:sz w:val="22"/>
                <w:u w:val="single"/>
              </w:rPr>
              <w:t>p</w:t>
            </w:r>
            <w:r w:rsidR="00893514" w:rsidRPr="00893514">
              <w:rPr>
                <w:sz w:val="22"/>
                <w:u w:val="single"/>
              </w:rPr>
              <w:t>eriodické</w:t>
            </w:r>
            <w:r>
              <w:rPr>
                <w:sz w:val="22"/>
                <w:u w:val="single"/>
              </w:rPr>
              <w:t xml:space="preserve"> </w:t>
            </w:r>
            <w:r w:rsidR="00893514" w:rsidRPr="00893514">
              <w:rPr>
                <w:sz w:val="22"/>
                <w:u w:val="single"/>
              </w:rPr>
              <w:t xml:space="preserve"> </w:t>
            </w:r>
            <w:r w:rsidR="00893514" w:rsidRPr="00893514">
              <w:rPr>
                <w:sz w:val="22"/>
              </w:rPr>
              <w:t>: výška ročného poplatku za udržiavanie akreditácie upravuje kap. 7 cenníka služieb SNAS a pre jedno kalibračné laboratórium je to 500 € za rok a pri platnosti akreditácie na 5 rokov tvoria ročné poplatky súhrnne sumu 2</w:t>
            </w:r>
            <w:r>
              <w:rPr>
                <w:sz w:val="22"/>
              </w:rPr>
              <w:t xml:space="preserve"> </w:t>
            </w:r>
            <w:r w:rsidR="00893514" w:rsidRPr="00893514">
              <w:rPr>
                <w:sz w:val="22"/>
              </w:rPr>
              <w:t>500 €.</w:t>
            </w:r>
          </w:p>
          <w:p w:rsidR="00893514" w:rsidRPr="00893514" w:rsidRDefault="00893514" w:rsidP="00080C0B">
            <w:pPr>
              <w:ind w:left="1134"/>
              <w:jc w:val="both"/>
              <w:rPr>
                <w:sz w:val="22"/>
              </w:rPr>
            </w:pPr>
            <w:r w:rsidRPr="00893514">
              <w:rPr>
                <w:sz w:val="22"/>
              </w:rPr>
              <w:t xml:space="preserve">: poplatok za dohľad je stanovený v kap. 6 cenníka služieb SNAS ako podiel poplatku za </w:t>
            </w:r>
            <w:proofErr w:type="spellStart"/>
            <w:r w:rsidRPr="00893514">
              <w:rPr>
                <w:sz w:val="22"/>
              </w:rPr>
              <w:t>reakreditáciu</w:t>
            </w:r>
            <w:proofErr w:type="spellEnd"/>
            <w:r w:rsidRPr="00893514">
              <w:rPr>
                <w:sz w:val="22"/>
              </w:rPr>
              <w:t>, čo je v tomto prípade 2</w:t>
            </w:r>
            <w:r w:rsidR="00080C0B">
              <w:rPr>
                <w:sz w:val="22"/>
              </w:rPr>
              <w:t xml:space="preserve"> </w:t>
            </w:r>
            <w:r w:rsidRPr="00893514">
              <w:rPr>
                <w:sz w:val="22"/>
              </w:rPr>
              <w:t>880 € a počtu dohľadov určených v karte dohľadov. Pri platnosti akreditácie na 5 rokov sa uvažuje s dvoma dohľadmi. Poplatok za dohľad teda predstavuje sumu 1</w:t>
            </w:r>
            <w:r w:rsidR="00A84114">
              <w:rPr>
                <w:sz w:val="22"/>
              </w:rPr>
              <w:t> </w:t>
            </w:r>
            <w:r w:rsidRPr="00893514">
              <w:rPr>
                <w:sz w:val="22"/>
              </w:rPr>
              <w:t>440</w:t>
            </w:r>
            <w:r w:rsidR="00A84114">
              <w:rPr>
                <w:sz w:val="22"/>
              </w:rPr>
              <w:t xml:space="preserve"> </w:t>
            </w:r>
            <w:r w:rsidRPr="00893514">
              <w:rPr>
                <w:sz w:val="22"/>
              </w:rPr>
              <w:t>€.</w:t>
            </w:r>
          </w:p>
          <w:p w:rsidR="009F2DFA" w:rsidRDefault="00893514" w:rsidP="00080C0B">
            <w:pPr>
              <w:ind w:left="1134"/>
              <w:jc w:val="both"/>
              <w:rPr>
                <w:sz w:val="22"/>
              </w:rPr>
            </w:pPr>
            <w:r w:rsidRPr="00893514">
              <w:rPr>
                <w:sz w:val="22"/>
              </w:rPr>
              <w:t xml:space="preserve">: poplatok za </w:t>
            </w:r>
            <w:proofErr w:type="spellStart"/>
            <w:r w:rsidRPr="00893514">
              <w:rPr>
                <w:sz w:val="22"/>
              </w:rPr>
              <w:t>reakreditáciu</w:t>
            </w:r>
            <w:proofErr w:type="spellEnd"/>
            <w:r w:rsidRPr="00893514">
              <w:rPr>
                <w:sz w:val="22"/>
              </w:rPr>
              <w:t xml:space="preserve"> kalibračného laboratória </w:t>
            </w:r>
            <w:r w:rsidR="00DC1E59">
              <w:rPr>
                <w:sz w:val="22"/>
              </w:rPr>
              <w:t xml:space="preserve">po uplynutí piatich rokov </w:t>
            </w:r>
            <w:r w:rsidRPr="00893514">
              <w:rPr>
                <w:sz w:val="22"/>
              </w:rPr>
              <w:t>je stanovený pre jedno pracovisko a jednu veličinu na 2</w:t>
            </w:r>
            <w:r w:rsidR="00080C0B">
              <w:rPr>
                <w:sz w:val="22"/>
              </w:rPr>
              <w:t xml:space="preserve"> </w:t>
            </w:r>
            <w:r w:rsidRPr="00893514">
              <w:rPr>
                <w:sz w:val="22"/>
              </w:rPr>
              <w:t>880 €.</w:t>
            </w:r>
          </w:p>
          <w:p w:rsidR="0020427F" w:rsidRPr="00F04CCD" w:rsidRDefault="0020427F" w:rsidP="00080C0B">
            <w:pPr>
              <w:ind w:left="1134"/>
              <w:jc w:val="both"/>
              <w:rPr>
                <w:b/>
                <w:i/>
              </w:rPr>
            </w:pPr>
          </w:p>
          <w:p w:rsidR="009F2DFA" w:rsidRPr="0020427F" w:rsidRDefault="0020427F" w:rsidP="0020427F">
            <w:pPr>
              <w:jc w:val="both"/>
            </w:pPr>
            <w:r w:rsidRPr="00572B77">
              <w:rPr>
                <w:sz w:val="22"/>
              </w:rPr>
              <w:t xml:space="preserve">Pre </w:t>
            </w:r>
            <w:r>
              <w:rPr>
                <w:sz w:val="22"/>
              </w:rPr>
              <w:t>účely vyčíslenia</w:t>
            </w:r>
            <w:r w:rsidRPr="00572B77">
              <w:rPr>
                <w:sz w:val="22"/>
              </w:rPr>
              <w:t xml:space="preserve"> celkových nákladov regulácie </w:t>
            </w:r>
            <w:r>
              <w:rPr>
                <w:sz w:val="22"/>
              </w:rPr>
              <w:t xml:space="preserve">sme použili modelovú situáciu, keď každé neakreditované kalibračné laboratórium  </w:t>
            </w:r>
            <w:r w:rsidR="00720447">
              <w:rPr>
                <w:sz w:val="22"/>
              </w:rPr>
              <w:t>má</w:t>
            </w:r>
            <w:r>
              <w:rPr>
                <w:sz w:val="22"/>
              </w:rPr>
              <w:t xml:space="preserve"> dve veličiny. </w:t>
            </w:r>
            <w:r w:rsidR="00881658">
              <w:rPr>
                <w:sz w:val="22"/>
              </w:rPr>
              <w:t>Ďalej sme aplikovali frekvenciu platenia výšky poplatkov pomocou kalkulačky MH SR.</w:t>
            </w:r>
            <w:r w:rsidR="00881658">
              <w:rPr>
                <w:color w:val="1F497D"/>
              </w:rPr>
              <w:t xml:space="preserve"> </w:t>
            </w:r>
            <w:r>
              <w:rPr>
                <w:sz w:val="22"/>
              </w:rPr>
              <w:t>Pre kalibračné laboratórium</w:t>
            </w:r>
            <w:r w:rsidR="00720447">
              <w:rPr>
                <w:sz w:val="22"/>
              </w:rPr>
              <w:t>, ktoré</w:t>
            </w:r>
            <w:r>
              <w:rPr>
                <w:sz w:val="22"/>
              </w:rPr>
              <w:t xml:space="preserve"> nemá akreditáciu celkový priamy finančný náklad regulácie n</w:t>
            </w:r>
            <w:r w:rsidR="00436C84">
              <w:rPr>
                <w:sz w:val="22"/>
              </w:rPr>
              <w:t>a 5 rokov predstavuje sumu 3 160</w:t>
            </w:r>
            <w:r w:rsidRPr="003E0A93">
              <w:rPr>
                <w:sz w:val="22"/>
              </w:rPr>
              <w:t xml:space="preserve"> </w:t>
            </w:r>
            <w:r w:rsidR="001F4FEB" w:rsidRPr="007D2125">
              <w:rPr>
                <w:sz w:val="22"/>
              </w:rPr>
              <w:t>€</w:t>
            </w:r>
            <w:r>
              <w:rPr>
                <w:sz w:val="22"/>
              </w:rPr>
              <w:t xml:space="preserve">. Celkový priamy finančný náklad regulácie na 5 rokov pre neakreditované kalibračné laboratóriá (18 laboratórií) predstavuje sumu </w:t>
            </w:r>
            <w:r w:rsidR="00436C84">
              <w:rPr>
                <w:sz w:val="22"/>
              </w:rPr>
              <w:t>56 880</w:t>
            </w:r>
            <w:r w:rsidRPr="003E0A93">
              <w:rPr>
                <w:sz w:val="22"/>
              </w:rPr>
              <w:t xml:space="preserve"> </w:t>
            </w:r>
            <w:r w:rsidR="001F4FEB" w:rsidRPr="007D2125">
              <w:rPr>
                <w:sz w:val="22"/>
              </w:rPr>
              <w:t>€</w:t>
            </w:r>
            <w:r>
              <w:rPr>
                <w:sz w:val="22"/>
              </w:rPr>
              <w:t>.</w:t>
            </w:r>
          </w:p>
          <w:p w:rsidR="0020427F" w:rsidRDefault="0020427F" w:rsidP="00A2412C">
            <w:pPr>
              <w:jc w:val="both"/>
              <w:rPr>
                <w:sz w:val="22"/>
              </w:rPr>
            </w:pPr>
          </w:p>
          <w:p w:rsidR="009F2DFA" w:rsidRPr="00572B77" w:rsidRDefault="00572B77" w:rsidP="00A2412C">
            <w:pPr>
              <w:jc w:val="both"/>
              <w:rPr>
                <w:sz w:val="22"/>
              </w:rPr>
            </w:pPr>
            <w:r w:rsidRPr="00572B77">
              <w:rPr>
                <w:sz w:val="22"/>
              </w:rPr>
              <w:t xml:space="preserve">Pre </w:t>
            </w:r>
            <w:r w:rsidR="002D6ECB">
              <w:rPr>
                <w:sz w:val="22"/>
              </w:rPr>
              <w:t>účely vyčíslenia</w:t>
            </w:r>
            <w:r w:rsidRPr="00572B77">
              <w:rPr>
                <w:sz w:val="22"/>
              </w:rPr>
              <w:t xml:space="preserve"> celkových nákladov regulácie </w:t>
            </w:r>
            <w:r>
              <w:rPr>
                <w:sz w:val="22"/>
              </w:rPr>
              <w:t xml:space="preserve">sme použili modelovú situáciu, keď každá autorizovaná osoba má jedno pracovisko a jednu veličinu. </w:t>
            </w:r>
            <w:r w:rsidR="00881658">
              <w:rPr>
                <w:sz w:val="22"/>
              </w:rPr>
              <w:t xml:space="preserve">Ďalej sme aplikovali frekvenciu platenia výšky poplatkov pomocou kalkulačky MH SR. </w:t>
            </w:r>
            <w:r w:rsidR="003E0A93">
              <w:rPr>
                <w:sz w:val="22"/>
              </w:rPr>
              <w:t xml:space="preserve">Pre autorizovanú osobu, ktorá nemá akreditáciu celkový priamy finančný náklad regulácie na 5 rokov predstavuje sumu </w:t>
            </w:r>
            <w:r w:rsidR="00436C84">
              <w:rPr>
                <w:sz w:val="22"/>
              </w:rPr>
              <w:t>2 926</w:t>
            </w:r>
            <w:r w:rsidR="003E0A93" w:rsidRPr="003E0A93">
              <w:rPr>
                <w:sz w:val="22"/>
              </w:rPr>
              <w:t xml:space="preserve"> </w:t>
            </w:r>
            <w:r w:rsidR="001F4FEB" w:rsidRPr="007D2125">
              <w:rPr>
                <w:sz w:val="22"/>
              </w:rPr>
              <w:t>€</w:t>
            </w:r>
            <w:r w:rsidR="003E0A93">
              <w:rPr>
                <w:sz w:val="22"/>
              </w:rPr>
              <w:t>. Celkový priamy finančný náklad regulácie na 5 rokov pre autorizované osoby, ktoré nemajú akreditáciu (5</w:t>
            </w:r>
            <w:r w:rsidR="00315C9C">
              <w:rPr>
                <w:sz w:val="22"/>
              </w:rPr>
              <w:t>2</w:t>
            </w:r>
            <w:r w:rsidR="003E0A93">
              <w:rPr>
                <w:sz w:val="22"/>
              </w:rPr>
              <w:t xml:space="preserve"> subjektov) predstavuje sumu </w:t>
            </w:r>
            <w:r w:rsidR="00436C84">
              <w:rPr>
                <w:sz w:val="22"/>
              </w:rPr>
              <w:t xml:space="preserve">152 </w:t>
            </w:r>
            <w:proofErr w:type="spellStart"/>
            <w:r w:rsidR="00436C84">
              <w:rPr>
                <w:sz w:val="22"/>
              </w:rPr>
              <w:t>152</w:t>
            </w:r>
            <w:proofErr w:type="spellEnd"/>
            <w:r w:rsidR="003E0A93" w:rsidRPr="003E0A93">
              <w:rPr>
                <w:sz w:val="22"/>
              </w:rPr>
              <w:t xml:space="preserve"> </w:t>
            </w:r>
            <w:r w:rsidR="001F4FEB" w:rsidRPr="007D2125">
              <w:rPr>
                <w:sz w:val="22"/>
              </w:rPr>
              <w:t>€</w:t>
            </w:r>
            <w:r w:rsidR="003E0A93">
              <w:rPr>
                <w:sz w:val="22"/>
              </w:rPr>
              <w:t>.</w:t>
            </w:r>
            <w:r w:rsidR="00315C9C">
              <w:rPr>
                <w:sz w:val="22"/>
              </w:rPr>
              <w:t xml:space="preserve"> Pre autorizovanú osobu, ktorá má akreditáciu celkový priamy finančný náklad regulácie na 5 rokov predstavuje sumu </w:t>
            </w:r>
            <w:r w:rsidR="00436C84">
              <w:rPr>
                <w:sz w:val="22"/>
              </w:rPr>
              <w:t>2 516</w:t>
            </w:r>
            <w:r w:rsidR="00315C9C" w:rsidRPr="00315C9C">
              <w:rPr>
                <w:sz w:val="22"/>
              </w:rPr>
              <w:t xml:space="preserve"> </w:t>
            </w:r>
            <w:r w:rsidR="001F4FEB" w:rsidRPr="007D2125">
              <w:rPr>
                <w:sz w:val="22"/>
              </w:rPr>
              <w:t>€</w:t>
            </w:r>
            <w:r w:rsidR="00315C9C">
              <w:rPr>
                <w:sz w:val="22"/>
              </w:rPr>
              <w:t xml:space="preserve">. Celkový priamy finančný náklad regulácie na 5 rokov </w:t>
            </w:r>
            <w:r w:rsidR="00D64BF2">
              <w:rPr>
                <w:sz w:val="22"/>
              </w:rPr>
              <w:t xml:space="preserve">pre autorizované osoby, ktoré </w:t>
            </w:r>
            <w:r w:rsidR="00315C9C">
              <w:rPr>
                <w:sz w:val="22"/>
              </w:rPr>
              <w:t xml:space="preserve">majú akreditáciu (16 subjektov) predstavuje sumu </w:t>
            </w:r>
            <w:r w:rsidR="00436C84">
              <w:rPr>
                <w:sz w:val="22"/>
              </w:rPr>
              <w:t>40 256</w:t>
            </w:r>
            <w:r w:rsidR="00315C9C" w:rsidRPr="003E0A93">
              <w:rPr>
                <w:sz w:val="22"/>
              </w:rPr>
              <w:t xml:space="preserve"> </w:t>
            </w:r>
            <w:r w:rsidR="001F4FEB" w:rsidRPr="007D2125">
              <w:rPr>
                <w:sz w:val="22"/>
              </w:rPr>
              <w:t>€</w:t>
            </w:r>
            <w:r w:rsidR="00315C9C">
              <w:rPr>
                <w:sz w:val="22"/>
              </w:rPr>
              <w:t>.</w:t>
            </w:r>
            <w:r w:rsidR="003E0A93">
              <w:rPr>
                <w:sz w:val="22"/>
              </w:rPr>
              <w:t xml:space="preserve">  </w:t>
            </w:r>
          </w:p>
          <w:p w:rsidR="009F2DFA" w:rsidRPr="00F04CCD" w:rsidRDefault="009F2DFA" w:rsidP="00F84E4A">
            <w:pPr>
              <w:rPr>
                <w:b/>
                <w:i/>
              </w:rPr>
            </w:pPr>
          </w:p>
        </w:tc>
      </w:tr>
      <w:tr w:rsidR="009F2DFA" w:rsidRPr="00F04CCD" w:rsidTr="00F84E4A">
        <w:tc>
          <w:tcPr>
            <w:tcW w:w="9212" w:type="dxa"/>
            <w:tcBorders>
              <w:bottom w:val="single" w:sz="4" w:space="0" w:color="auto"/>
            </w:tcBorders>
          </w:tcPr>
          <w:p w:rsidR="009F2DFA" w:rsidRPr="00F04CCD" w:rsidRDefault="002B1108" w:rsidP="00F84E4A">
            <w:pPr>
              <w:rPr>
                <w:b/>
                <w:i/>
              </w:rPr>
            </w:pPr>
            <w:r>
              <w:rPr>
                <w:b/>
                <w:i/>
              </w:rPr>
              <w:lastRenderedPageBreak/>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F84E4A">
        <w:tc>
          <w:tcPr>
            <w:tcW w:w="9212" w:type="dxa"/>
            <w:tcBorders>
              <w:bottom w:val="single" w:sz="4" w:space="0" w:color="auto"/>
            </w:tcBorders>
          </w:tcPr>
          <w:p w:rsidR="009F2DFA" w:rsidRPr="00CC4C60" w:rsidRDefault="00CC4C60" w:rsidP="000E10D4">
            <w:pPr>
              <w:jc w:val="both"/>
            </w:pPr>
            <w:r w:rsidRPr="00F86902">
              <w:rPr>
                <w:sz w:val="22"/>
              </w:rPr>
              <w:t>Predkladaný návrh</w:t>
            </w:r>
            <w:r>
              <w:rPr>
                <w:sz w:val="22"/>
              </w:rPr>
              <w:t xml:space="preserve"> zákona</w:t>
            </w:r>
            <w:r w:rsidRPr="00F86902">
              <w:rPr>
                <w:sz w:val="22"/>
              </w:rPr>
              <w:t xml:space="preserve"> </w:t>
            </w:r>
            <w:r>
              <w:rPr>
                <w:sz w:val="22"/>
              </w:rPr>
              <w:t xml:space="preserve">nevyžaduje </w:t>
            </w:r>
            <w:r w:rsidRPr="00F86902">
              <w:rPr>
                <w:sz w:val="22"/>
              </w:rPr>
              <w:t>dodatočné náklady</w:t>
            </w:r>
            <w:r>
              <w:rPr>
                <w:sz w:val="22"/>
              </w:rPr>
              <w:t xml:space="preserve"> na nákup tovarov alebo služieb, ani</w:t>
            </w:r>
            <w:r w:rsidRPr="00F86902">
              <w:rPr>
                <w:sz w:val="22"/>
              </w:rPr>
              <w:t xml:space="preserve"> </w:t>
            </w:r>
            <w:r>
              <w:rPr>
                <w:sz w:val="22"/>
              </w:rPr>
              <w:t>nez</w:t>
            </w:r>
            <w:r w:rsidRPr="00F86902">
              <w:rPr>
                <w:sz w:val="22"/>
              </w:rPr>
              <w:t>vyšuje náklady súvisiace so zamestnávaním</w:t>
            </w:r>
            <w:r>
              <w:rPr>
                <w:sz w:val="22"/>
              </w:rPr>
              <w:t>.</w:t>
            </w:r>
          </w:p>
          <w:p w:rsidR="009F2DFA" w:rsidRPr="00F04CCD" w:rsidRDefault="009F2DFA" w:rsidP="00F84E4A">
            <w:pPr>
              <w:rPr>
                <w:b/>
                <w:i/>
              </w:rPr>
            </w:pPr>
          </w:p>
          <w:p w:rsidR="009F2DFA" w:rsidRPr="00F04CCD" w:rsidRDefault="009F2DFA" w:rsidP="00F84E4A">
            <w:pPr>
              <w:rPr>
                <w:b/>
                <w:i/>
              </w:rPr>
            </w:pPr>
          </w:p>
        </w:tc>
      </w:tr>
      <w:tr w:rsidR="009F2DFA" w:rsidRPr="00F04CCD" w:rsidTr="00F84E4A">
        <w:tc>
          <w:tcPr>
            <w:tcW w:w="9212" w:type="dxa"/>
            <w:tcBorders>
              <w:bottom w:val="single" w:sz="4" w:space="0" w:color="auto"/>
            </w:tcBorders>
          </w:tcPr>
          <w:p w:rsidR="009F2DFA" w:rsidRPr="00F04CCD" w:rsidRDefault="002B1108" w:rsidP="00F84E4A">
            <w:pPr>
              <w:rPr>
                <w:b/>
                <w:i/>
              </w:rPr>
            </w:pPr>
            <w:r>
              <w:rPr>
                <w:b/>
                <w:i/>
              </w:rPr>
              <w:lastRenderedPageBreak/>
              <w:t>3</w:t>
            </w:r>
            <w:r w:rsidR="009F2DFA" w:rsidRPr="00F04CCD">
              <w:rPr>
                <w:b/>
                <w:i/>
              </w:rPr>
              <w:t>.3.3 Administratívne náklady</w:t>
            </w:r>
          </w:p>
          <w:p w:rsidR="009F2DFA" w:rsidRPr="00F04CCD" w:rsidRDefault="009F2DFA" w:rsidP="00F84E4A">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F84E4A">
        <w:tc>
          <w:tcPr>
            <w:tcW w:w="9212" w:type="dxa"/>
            <w:tcBorders>
              <w:bottom w:val="single" w:sz="4" w:space="0" w:color="auto"/>
            </w:tcBorders>
          </w:tcPr>
          <w:p w:rsidR="009F2DFA" w:rsidRPr="00F04CCD" w:rsidRDefault="006C6BB2" w:rsidP="006C6BB2">
            <w:pPr>
              <w:jc w:val="both"/>
              <w:rPr>
                <w:b/>
                <w:i/>
              </w:rPr>
            </w:pPr>
            <w:r w:rsidRPr="006C6BB2">
              <w:rPr>
                <w:sz w:val="22"/>
              </w:rPr>
              <w:t>V návrhu zákona dochádza k rozšíreniu informačných p</w:t>
            </w:r>
            <w:r>
              <w:rPr>
                <w:sz w:val="22"/>
              </w:rPr>
              <w:t>ovinností</w:t>
            </w:r>
            <w:r w:rsidR="003A56DF">
              <w:rPr>
                <w:sz w:val="22"/>
              </w:rPr>
              <w:t>,</w:t>
            </w:r>
            <w:r w:rsidRPr="006C6BB2">
              <w:rPr>
                <w:sz w:val="22"/>
              </w:rPr>
              <w:t xml:space="preserve"> a</w:t>
            </w:r>
            <w:r w:rsidR="003A56DF">
              <w:rPr>
                <w:sz w:val="22"/>
              </w:rPr>
              <w:t> </w:t>
            </w:r>
            <w:r w:rsidRPr="006C6BB2">
              <w:rPr>
                <w:sz w:val="22"/>
              </w:rPr>
              <w:t>to</w:t>
            </w:r>
            <w:r w:rsidR="003A56DF">
              <w:rPr>
                <w:sz w:val="22"/>
              </w:rPr>
              <w:t xml:space="preserve"> o</w:t>
            </w:r>
            <w:r w:rsidRPr="006C6BB2">
              <w:rPr>
                <w:sz w:val="22"/>
              </w:rPr>
              <w:t xml:space="preserve"> povinnosť, že používateľ určeného meradla musí v evidencii meradiel, ktorá je ustanovená súčasnou právnou úpravou navyše uviesť aj miesto používania meradiel. V zmysle Metodického postupu pre analýzu vplyvov na podnikateľské prostredie je čas</w:t>
            </w:r>
            <w:r>
              <w:rPr>
                <w:sz w:val="22"/>
              </w:rPr>
              <w:t>ová náročnosť plnenia povinnosti</w:t>
            </w:r>
            <w:r w:rsidRPr="006C6BB2">
              <w:rPr>
                <w:sz w:val="22"/>
              </w:rPr>
              <w:t xml:space="preserve"> – evidencie 300 min. (potom časová náročnosť v hodinách č = 300/60 = 5 hod.). Frekvencia plnenia povinnosti je jednorazová vždy len pri evidencii nového meradla, ktoré používateľ uvádza do prevádzky</w:t>
            </w:r>
            <w:r>
              <w:rPr>
                <w:sz w:val="22"/>
              </w:rPr>
              <w:t>,</w:t>
            </w:r>
            <w:r w:rsidRPr="006C6BB2">
              <w:rPr>
                <w:sz w:val="22"/>
              </w:rPr>
              <w:t xml:space="preserve"> frekvencia </w:t>
            </w:r>
            <w:r w:rsidRPr="00683DA9">
              <w:rPr>
                <w:i/>
                <w:sz w:val="22"/>
              </w:rPr>
              <w:t>f</w:t>
            </w:r>
            <w:r w:rsidRPr="006C6BB2">
              <w:rPr>
                <w:sz w:val="22"/>
              </w:rPr>
              <w:t xml:space="preserve"> = 0,1 a tarifa vychádza z priemernej hrubej mzdy v národnom hospodárstve (priemerná hrubá mesačná mzda v národnom hospodárstve SR za rok 2013 - 835 </w:t>
            </w:r>
            <w:r w:rsidR="00683DA9" w:rsidRPr="007D2125">
              <w:rPr>
                <w:sz w:val="22"/>
              </w:rPr>
              <w:t>€</w:t>
            </w:r>
            <w:r w:rsidRPr="006C6BB2">
              <w:rPr>
                <w:sz w:val="22"/>
              </w:rPr>
              <w:t xml:space="preserve">, </w:t>
            </w:r>
            <w:proofErr w:type="spellStart"/>
            <w:r w:rsidRPr="006C6BB2">
              <w:rPr>
                <w:sz w:val="22"/>
              </w:rPr>
              <w:t>Eurostat</w:t>
            </w:r>
            <w:proofErr w:type="spellEnd"/>
            <w:r w:rsidRPr="006C6BB2">
              <w:rPr>
                <w:sz w:val="22"/>
              </w:rPr>
              <w:t xml:space="preserve">) potom tarifa na hodinu </w:t>
            </w:r>
            <w:r w:rsidRPr="00B77BE4">
              <w:rPr>
                <w:i/>
                <w:sz w:val="22"/>
              </w:rPr>
              <w:t>t</w:t>
            </w:r>
            <w:r w:rsidRPr="006C6BB2">
              <w:rPr>
                <w:sz w:val="22"/>
              </w:rPr>
              <w:t xml:space="preserve"> = 835/160 = 5,22 </w:t>
            </w:r>
            <w:r w:rsidR="00683DA9" w:rsidRPr="007D2125">
              <w:rPr>
                <w:sz w:val="22"/>
              </w:rPr>
              <w:t>€</w:t>
            </w:r>
            <w:r w:rsidRPr="006C6BB2">
              <w:rPr>
                <w:sz w:val="22"/>
              </w:rPr>
              <w:t xml:space="preserve">. Po dosadení do vzťahu na vyčíslenie výšky administratívnych nákladov povinnosti na 1 podnikateľa </w:t>
            </w:r>
            <w:r w:rsidRPr="00683DA9">
              <w:rPr>
                <w:i/>
                <w:sz w:val="22"/>
              </w:rPr>
              <w:t>č</w:t>
            </w:r>
            <w:r w:rsidRPr="006C6BB2">
              <w:rPr>
                <w:sz w:val="22"/>
              </w:rPr>
              <w:t xml:space="preserve"> </w:t>
            </w:r>
            <w:r w:rsidR="00623CAE">
              <w:rPr>
                <w:sz w:val="22"/>
              </w:rPr>
              <w:t>×</w:t>
            </w:r>
            <w:r w:rsidRPr="006C6BB2">
              <w:rPr>
                <w:sz w:val="22"/>
              </w:rPr>
              <w:t xml:space="preserve"> </w:t>
            </w:r>
            <w:r w:rsidRPr="00683DA9">
              <w:rPr>
                <w:i/>
                <w:sz w:val="22"/>
              </w:rPr>
              <w:t>t</w:t>
            </w:r>
            <w:r w:rsidRPr="006C6BB2">
              <w:rPr>
                <w:sz w:val="22"/>
              </w:rPr>
              <w:t xml:space="preserve"> x </w:t>
            </w:r>
            <w:r w:rsidRPr="00683DA9">
              <w:rPr>
                <w:i/>
                <w:sz w:val="22"/>
              </w:rPr>
              <w:t>f</w:t>
            </w:r>
            <w:r w:rsidRPr="006C6BB2">
              <w:rPr>
                <w:sz w:val="22"/>
              </w:rPr>
              <w:t xml:space="preserve"> = 5 </w:t>
            </w:r>
            <w:r w:rsidR="00623CAE">
              <w:rPr>
                <w:sz w:val="22"/>
              </w:rPr>
              <w:t>×</w:t>
            </w:r>
            <w:r w:rsidRPr="006C6BB2">
              <w:rPr>
                <w:sz w:val="22"/>
              </w:rPr>
              <w:t xml:space="preserve"> 5,22 </w:t>
            </w:r>
            <w:r w:rsidR="00623CAE">
              <w:rPr>
                <w:sz w:val="22"/>
              </w:rPr>
              <w:t>×</w:t>
            </w:r>
            <w:r w:rsidRPr="006C6BB2">
              <w:rPr>
                <w:sz w:val="22"/>
              </w:rPr>
              <w:t xml:space="preserve"> 0,1 = </w:t>
            </w:r>
            <w:r w:rsidR="00436C84">
              <w:rPr>
                <w:sz w:val="22"/>
              </w:rPr>
              <w:t>3</w:t>
            </w:r>
            <w:r w:rsidRPr="006C6BB2">
              <w:rPr>
                <w:sz w:val="22"/>
              </w:rPr>
              <w:t xml:space="preserve"> </w:t>
            </w:r>
            <w:r w:rsidR="00683DA9" w:rsidRPr="007D2125">
              <w:rPr>
                <w:sz w:val="22"/>
              </w:rPr>
              <w:t>€</w:t>
            </w:r>
            <w:r w:rsidRPr="006C6BB2">
              <w:rPr>
                <w:sz w:val="22"/>
              </w:rPr>
              <w:t xml:space="preserve">. Celkový počet používateľov určených meradiel </w:t>
            </w:r>
            <w:r w:rsidRPr="00683DA9">
              <w:rPr>
                <w:i/>
                <w:sz w:val="22"/>
              </w:rPr>
              <w:t>p</w:t>
            </w:r>
            <w:r w:rsidRPr="006C6BB2">
              <w:rPr>
                <w:sz w:val="22"/>
              </w:rPr>
              <w:t xml:space="preserve"> = 22 042 vychádza z údajov od poskytovateľov metrologických služieb, ktorí poskytujú služby overenia meradla používateľom meradiel. Výška administratívnych nákladov povinnosti na celé podnikateľské prostredie je vyčíslená </w:t>
            </w:r>
            <w:r w:rsidRPr="00683DA9">
              <w:rPr>
                <w:i/>
                <w:sz w:val="22"/>
              </w:rPr>
              <w:t>č</w:t>
            </w:r>
            <w:r w:rsidRPr="006C6BB2">
              <w:rPr>
                <w:sz w:val="22"/>
              </w:rPr>
              <w:t xml:space="preserve"> </w:t>
            </w:r>
            <w:r w:rsidR="00623CAE">
              <w:rPr>
                <w:sz w:val="22"/>
              </w:rPr>
              <w:t>×</w:t>
            </w:r>
            <w:r w:rsidRPr="006C6BB2">
              <w:rPr>
                <w:sz w:val="22"/>
              </w:rPr>
              <w:t xml:space="preserve"> </w:t>
            </w:r>
            <w:r w:rsidRPr="00683DA9">
              <w:rPr>
                <w:i/>
                <w:sz w:val="22"/>
              </w:rPr>
              <w:t>t</w:t>
            </w:r>
            <w:r w:rsidRPr="006C6BB2">
              <w:rPr>
                <w:sz w:val="22"/>
              </w:rPr>
              <w:t xml:space="preserve"> </w:t>
            </w:r>
            <w:r w:rsidR="00623CAE">
              <w:rPr>
                <w:sz w:val="22"/>
              </w:rPr>
              <w:t>×</w:t>
            </w:r>
            <w:r w:rsidRPr="006C6BB2">
              <w:rPr>
                <w:sz w:val="22"/>
              </w:rPr>
              <w:t xml:space="preserve"> </w:t>
            </w:r>
            <w:r w:rsidRPr="00683DA9">
              <w:rPr>
                <w:i/>
                <w:sz w:val="22"/>
              </w:rPr>
              <w:t>p</w:t>
            </w:r>
            <w:r w:rsidRPr="006C6BB2">
              <w:rPr>
                <w:sz w:val="22"/>
              </w:rPr>
              <w:t xml:space="preserve"> </w:t>
            </w:r>
            <w:r w:rsidR="00623CAE">
              <w:rPr>
                <w:sz w:val="22"/>
              </w:rPr>
              <w:t>×</w:t>
            </w:r>
            <w:r w:rsidRPr="006C6BB2">
              <w:rPr>
                <w:sz w:val="22"/>
              </w:rPr>
              <w:t xml:space="preserve"> </w:t>
            </w:r>
            <w:r w:rsidRPr="00683DA9">
              <w:rPr>
                <w:i/>
                <w:sz w:val="22"/>
              </w:rPr>
              <w:t>f</w:t>
            </w:r>
            <w:r w:rsidRPr="006C6BB2">
              <w:rPr>
                <w:sz w:val="22"/>
              </w:rPr>
              <w:t xml:space="preserve"> = 5 </w:t>
            </w:r>
            <w:r w:rsidR="00623CAE">
              <w:rPr>
                <w:sz w:val="22"/>
              </w:rPr>
              <w:t>×</w:t>
            </w:r>
            <w:r w:rsidRPr="006C6BB2">
              <w:rPr>
                <w:sz w:val="22"/>
              </w:rPr>
              <w:t xml:space="preserve"> 5,22 </w:t>
            </w:r>
            <w:r w:rsidR="00623CAE">
              <w:rPr>
                <w:sz w:val="22"/>
              </w:rPr>
              <w:t>×</w:t>
            </w:r>
            <w:r w:rsidRPr="006C6BB2">
              <w:rPr>
                <w:sz w:val="22"/>
              </w:rPr>
              <w:t xml:space="preserve"> 22 042 </w:t>
            </w:r>
            <w:r w:rsidR="00623CAE">
              <w:rPr>
                <w:sz w:val="22"/>
              </w:rPr>
              <w:t>×</w:t>
            </w:r>
            <w:bookmarkStart w:id="0" w:name="_GoBack"/>
            <w:bookmarkEnd w:id="0"/>
            <w:r w:rsidRPr="006C6BB2">
              <w:rPr>
                <w:sz w:val="22"/>
              </w:rPr>
              <w:t xml:space="preserve"> 0,1 = 57</w:t>
            </w:r>
            <w:r w:rsidR="00436C84">
              <w:rPr>
                <w:sz w:val="22"/>
              </w:rPr>
              <w:t> </w:t>
            </w:r>
            <w:r w:rsidRPr="006C6BB2">
              <w:rPr>
                <w:sz w:val="22"/>
              </w:rPr>
              <w:t>5</w:t>
            </w:r>
            <w:r w:rsidR="00436C84">
              <w:rPr>
                <w:sz w:val="22"/>
              </w:rPr>
              <w:t xml:space="preserve">16 </w:t>
            </w:r>
            <w:r w:rsidR="00683DA9" w:rsidRPr="007D2125">
              <w:rPr>
                <w:sz w:val="22"/>
              </w:rPr>
              <w:t>€</w:t>
            </w:r>
            <w:r w:rsidRPr="006C6BB2">
              <w:rPr>
                <w:sz w:val="22"/>
              </w:rPr>
              <w:t>.</w:t>
            </w:r>
          </w:p>
          <w:p w:rsidR="009F2DFA" w:rsidRPr="00F04CCD" w:rsidRDefault="009F2DFA" w:rsidP="00F84E4A">
            <w:pPr>
              <w:rPr>
                <w:b/>
                <w:i/>
              </w:rPr>
            </w:pPr>
          </w:p>
        </w:tc>
      </w:tr>
      <w:tr w:rsidR="009F2DFA" w:rsidRPr="00F04CCD" w:rsidTr="00F84E4A">
        <w:trPr>
          <w:trHeight w:val="2318"/>
        </w:trPr>
        <w:tc>
          <w:tcPr>
            <w:tcW w:w="9212" w:type="dxa"/>
            <w:tcBorders>
              <w:bottom w:val="single" w:sz="4" w:space="0" w:color="auto"/>
            </w:tcBorders>
          </w:tcPr>
          <w:p w:rsidR="009F2DFA" w:rsidRPr="00F04CCD" w:rsidRDefault="002B1108" w:rsidP="00F84E4A">
            <w:pPr>
              <w:rPr>
                <w:i/>
              </w:rPr>
            </w:pPr>
            <w:r>
              <w:rPr>
                <w:b/>
                <w:i/>
              </w:rPr>
              <w:t>3</w:t>
            </w:r>
            <w:r w:rsidR="009F2DFA" w:rsidRPr="00F04CCD">
              <w:rPr>
                <w:b/>
                <w:i/>
              </w:rPr>
              <w:t>.3.4 Súhrnná tabuľka nákladov regulácie</w:t>
            </w:r>
          </w:p>
          <w:p w:rsidR="009F2DFA" w:rsidRDefault="009F2DFA" w:rsidP="00F84E4A">
            <w:pPr>
              <w:rPr>
                <w:i/>
              </w:rPr>
            </w:pPr>
          </w:p>
          <w:tbl>
            <w:tblPr>
              <w:tblStyle w:val="Mriekatabuky"/>
              <w:tblW w:w="0" w:type="auto"/>
              <w:tblLook w:val="04A0" w:firstRow="1" w:lastRow="0" w:firstColumn="1" w:lastColumn="0" w:noHBand="0" w:noVBand="1"/>
            </w:tblPr>
            <w:tblGrid>
              <w:gridCol w:w="2993"/>
              <w:gridCol w:w="2994"/>
              <w:gridCol w:w="2994"/>
            </w:tblGrid>
            <w:tr w:rsidR="006C6BB2" w:rsidRPr="00F04CCD" w:rsidTr="00502682">
              <w:tc>
                <w:tcPr>
                  <w:tcW w:w="2993" w:type="dxa"/>
                </w:tcPr>
                <w:p w:rsidR="006C6BB2" w:rsidRPr="00F04CCD" w:rsidRDefault="006C6BB2" w:rsidP="006C6BB2">
                  <w:pPr>
                    <w:rPr>
                      <w:i/>
                    </w:rPr>
                  </w:pPr>
                  <w:r>
                    <w:rPr>
                      <w:i/>
                    </w:rPr>
                    <w:t>Náklad na používateľa určeného meradla</w:t>
                  </w:r>
                </w:p>
              </w:tc>
              <w:tc>
                <w:tcPr>
                  <w:tcW w:w="2994" w:type="dxa"/>
                </w:tcPr>
                <w:p w:rsidR="006C6BB2" w:rsidRPr="00F04CCD" w:rsidRDefault="006C6BB2" w:rsidP="006C6BB2">
                  <w:pPr>
                    <w:jc w:val="center"/>
                    <w:rPr>
                      <w:i/>
                    </w:rPr>
                  </w:pPr>
                  <w:r w:rsidRPr="00F04CCD">
                    <w:rPr>
                      <w:i/>
                    </w:rPr>
                    <w:t>Náklady na 1</w:t>
                  </w:r>
                  <w:r>
                    <w:rPr>
                      <w:i/>
                    </w:rPr>
                    <w:t xml:space="preserve"> používateľa určeného meradla</w:t>
                  </w:r>
                </w:p>
              </w:tc>
              <w:tc>
                <w:tcPr>
                  <w:tcW w:w="2994" w:type="dxa"/>
                </w:tcPr>
                <w:p w:rsidR="006C6BB2" w:rsidRPr="00F04CCD" w:rsidRDefault="006C6BB2" w:rsidP="006C6BB2">
                  <w:pPr>
                    <w:jc w:val="center"/>
                    <w:rPr>
                      <w:i/>
                    </w:rPr>
                  </w:pPr>
                  <w:r w:rsidRPr="00F04CCD">
                    <w:rPr>
                      <w:i/>
                    </w:rPr>
                    <w:t xml:space="preserve">Náklady na </w:t>
                  </w:r>
                  <w:r>
                    <w:rPr>
                      <w:i/>
                    </w:rPr>
                    <w:t>celé podnikateľské prostredie</w:t>
                  </w:r>
                </w:p>
              </w:tc>
            </w:tr>
            <w:tr w:rsidR="006C6BB2" w:rsidRPr="00F04CCD" w:rsidTr="00502682">
              <w:tc>
                <w:tcPr>
                  <w:tcW w:w="2993" w:type="dxa"/>
                </w:tcPr>
                <w:p w:rsidR="006C6BB2" w:rsidRPr="00F04CCD" w:rsidRDefault="006C6BB2" w:rsidP="00502682">
                  <w:pPr>
                    <w:rPr>
                      <w:i/>
                    </w:rPr>
                  </w:pPr>
                  <w:r w:rsidRPr="00F04CCD">
                    <w:rPr>
                      <w:i/>
                    </w:rPr>
                    <w:t>Priame finančné náklady</w:t>
                  </w:r>
                </w:p>
              </w:tc>
              <w:tc>
                <w:tcPr>
                  <w:tcW w:w="2994" w:type="dxa"/>
                </w:tcPr>
                <w:p w:rsidR="006C6BB2" w:rsidRPr="00F04CCD" w:rsidRDefault="006C6BB2" w:rsidP="00502682">
                  <w:pPr>
                    <w:jc w:val="center"/>
                    <w:rPr>
                      <w:i/>
                    </w:rPr>
                  </w:pPr>
                  <w:r>
                    <w:rPr>
                      <w:i/>
                    </w:rPr>
                    <w:t>0</w:t>
                  </w:r>
                </w:p>
              </w:tc>
              <w:tc>
                <w:tcPr>
                  <w:tcW w:w="2994" w:type="dxa"/>
                </w:tcPr>
                <w:p w:rsidR="006C6BB2" w:rsidRPr="00F04CCD" w:rsidRDefault="006C6BB2" w:rsidP="00502682">
                  <w:pPr>
                    <w:jc w:val="center"/>
                    <w:rPr>
                      <w:i/>
                    </w:rPr>
                  </w:pPr>
                  <w:r>
                    <w:rPr>
                      <w:i/>
                    </w:rPr>
                    <w:t>0</w:t>
                  </w:r>
                </w:p>
              </w:tc>
            </w:tr>
            <w:tr w:rsidR="006C6BB2" w:rsidRPr="00F04CCD" w:rsidTr="00502682">
              <w:tc>
                <w:tcPr>
                  <w:tcW w:w="2993" w:type="dxa"/>
                </w:tcPr>
                <w:p w:rsidR="006C6BB2" w:rsidRPr="00F04CCD" w:rsidRDefault="006C6BB2" w:rsidP="00502682">
                  <w:pPr>
                    <w:rPr>
                      <w:i/>
                    </w:rPr>
                  </w:pPr>
                  <w:r w:rsidRPr="00F04CCD">
                    <w:rPr>
                      <w:i/>
                    </w:rPr>
                    <w:t>Nepriame finančné náklady</w:t>
                  </w:r>
                </w:p>
              </w:tc>
              <w:tc>
                <w:tcPr>
                  <w:tcW w:w="2994" w:type="dxa"/>
                </w:tcPr>
                <w:p w:rsidR="006C6BB2" w:rsidRPr="00F04CCD" w:rsidRDefault="006C6BB2" w:rsidP="00502682">
                  <w:pPr>
                    <w:jc w:val="center"/>
                    <w:rPr>
                      <w:i/>
                    </w:rPr>
                  </w:pPr>
                  <w:r w:rsidRPr="00F04CCD">
                    <w:rPr>
                      <w:i/>
                    </w:rPr>
                    <w:t>0</w:t>
                  </w:r>
                </w:p>
              </w:tc>
              <w:tc>
                <w:tcPr>
                  <w:tcW w:w="2994" w:type="dxa"/>
                </w:tcPr>
                <w:p w:rsidR="006C6BB2" w:rsidRPr="00F04CCD" w:rsidRDefault="006C6BB2" w:rsidP="00502682">
                  <w:pPr>
                    <w:jc w:val="center"/>
                    <w:rPr>
                      <w:i/>
                    </w:rPr>
                  </w:pPr>
                  <w:r w:rsidRPr="00F04CCD">
                    <w:rPr>
                      <w:i/>
                    </w:rPr>
                    <w:t>0</w:t>
                  </w:r>
                </w:p>
              </w:tc>
            </w:tr>
            <w:tr w:rsidR="006C6BB2" w:rsidRPr="00F04CCD" w:rsidTr="00502682">
              <w:tc>
                <w:tcPr>
                  <w:tcW w:w="2993" w:type="dxa"/>
                </w:tcPr>
                <w:p w:rsidR="006C6BB2" w:rsidRPr="00F04CCD" w:rsidRDefault="006C6BB2" w:rsidP="00502682">
                  <w:pPr>
                    <w:rPr>
                      <w:i/>
                    </w:rPr>
                  </w:pPr>
                  <w:r w:rsidRPr="00F04CCD">
                    <w:rPr>
                      <w:i/>
                    </w:rPr>
                    <w:t>Administratívne náklady</w:t>
                  </w:r>
                </w:p>
              </w:tc>
              <w:tc>
                <w:tcPr>
                  <w:tcW w:w="2994" w:type="dxa"/>
                </w:tcPr>
                <w:p w:rsidR="006C6BB2" w:rsidRPr="00F04CCD" w:rsidRDefault="002236B6" w:rsidP="00502682">
                  <w:pPr>
                    <w:jc w:val="center"/>
                    <w:rPr>
                      <w:i/>
                    </w:rPr>
                  </w:pPr>
                  <w:r>
                    <w:rPr>
                      <w:i/>
                    </w:rPr>
                    <w:t>3</w:t>
                  </w:r>
                  <w:r w:rsidR="006C6BB2">
                    <w:rPr>
                      <w:i/>
                    </w:rPr>
                    <w:t xml:space="preserve"> </w:t>
                  </w:r>
                  <w:r w:rsidR="00683DA9" w:rsidRPr="00683DA9">
                    <w:rPr>
                      <w:i/>
                      <w:sz w:val="22"/>
                    </w:rPr>
                    <w:t>€</w:t>
                  </w:r>
                </w:p>
              </w:tc>
              <w:tc>
                <w:tcPr>
                  <w:tcW w:w="2994" w:type="dxa"/>
                </w:tcPr>
                <w:p w:rsidR="006C6BB2" w:rsidRPr="00F04CCD" w:rsidRDefault="002236B6" w:rsidP="00502682">
                  <w:pPr>
                    <w:jc w:val="center"/>
                    <w:rPr>
                      <w:i/>
                    </w:rPr>
                  </w:pPr>
                  <w:r>
                    <w:rPr>
                      <w:i/>
                    </w:rPr>
                    <w:t>57 516</w:t>
                  </w:r>
                  <w:r w:rsidR="006C6BB2">
                    <w:rPr>
                      <w:i/>
                    </w:rPr>
                    <w:t xml:space="preserve"> </w:t>
                  </w:r>
                  <w:r w:rsidR="00683DA9" w:rsidRPr="00683DA9">
                    <w:rPr>
                      <w:i/>
                      <w:sz w:val="22"/>
                    </w:rPr>
                    <w:t>€</w:t>
                  </w:r>
                </w:p>
              </w:tc>
            </w:tr>
            <w:tr w:rsidR="006C6BB2" w:rsidRPr="00F04CCD" w:rsidTr="00502682">
              <w:tc>
                <w:tcPr>
                  <w:tcW w:w="2993" w:type="dxa"/>
                </w:tcPr>
                <w:p w:rsidR="006C6BB2" w:rsidRPr="00F04CCD" w:rsidRDefault="006C6BB2" w:rsidP="00502682">
                  <w:pPr>
                    <w:rPr>
                      <w:b/>
                      <w:i/>
                    </w:rPr>
                  </w:pPr>
                  <w:r w:rsidRPr="00F04CCD">
                    <w:rPr>
                      <w:b/>
                      <w:i/>
                    </w:rPr>
                    <w:t>Celkové náklady regulácie</w:t>
                  </w:r>
                </w:p>
              </w:tc>
              <w:tc>
                <w:tcPr>
                  <w:tcW w:w="2994" w:type="dxa"/>
                </w:tcPr>
                <w:p w:rsidR="006C6BB2" w:rsidRPr="006E593D" w:rsidRDefault="002236B6" w:rsidP="00502682">
                  <w:pPr>
                    <w:jc w:val="center"/>
                    <w:rPr>
                      <w:b/>
                      <w:i/>
                    </w:rPr>
                  </w:pPr>
                  <w:r>
                    <w:rPr>
                      <w:b/>
                      <w:i/>
                    </w:rPr>
                    <w:t>3</w:t>
                  </w:r>
                  <w:r w:rsidR="006C6BB2">
                    <w:rPr>
                      <w:b/>
                      <w:i/>
                    </w:rPr>
                    <w:t xml:space="preserve"> </w:t>
                  </w:r>
                  <w:r w:rsidR="00683DA9" w:rsidRPr="00683DA9">
                    <w:rPr>
                      <w:b/>
                      <w:i/>
                      <w:sz w:val="22"/>
                    </w:rPr>
                    <w:t>€</w:t>
                  </w:r>
                </w:p>
              </w:tc>
              <w:tc>
                <w:tcPr>
                  <w:tcW w:w="2994" w:type="dxa"/>
                </w:tcPr>
                <w:p w:rsidR="006C6BB2" w:rsidRPr="00F04CCD" w:rsidRDefault="002236B6" w:rsidP="00683DA9">
                  <w:pPr>
                    <w:jc w:val="center"/>
                    <w:rPr>
                      <w:b/>
                      <w:i/>
                    </w:rPr>
                  </w:pPr>
                  <w:r>
                    <w:rPr>
                      <w:b/>
                      <w:i/>
                    </w:rPr>
                    <w:t>57 516</w:t>
                  </w:r>
                  <w:r w:rsidR="006C6BB2">
                    <w:rPr>
                      <w:b/>
                      <w:i/>
                    </w:rPr>
                    <w:t xml:space="preserve"> </w:t>
                  </w:r>
                  <w:r w:rsidR="00683DA9" w:rsidRPr="00683DA9">
                    <w:rPr>
                      <w:b/>
                      <w:i/>
                      <w:sz w:val="22"/>
                    </w:rPr>
                    <w:t>€</w:t>
                  </w:r>
                </w:p>
              </w:tc>
            </w:tr>
          </w:tbl>
          <w:p w:rsidR="006C6BB2" w:rsidRDefault="006C6BB2" w:rsidP="00F84E4A">
            <w:pPr>
              <w:rPr>
                <w:i/>
              </w:rPr>
            </w:pPr>
          </w:p>
          <w:tbl>
            <w:tblPr>
              <w:tblStyle w:val="Mriekatabuky"/>
              <w:tblW w:w="0" w:type="auto"/>
              <w:tblLook w:val="04A0" w:firstRow="1" w:lastRow="0" w:firstColumn="1" w:lastColumn="0" w:noHBand="0" w:noVBand="1"/>
            </w:tblPr>
            <w:tblGrid>
              <w:gridCol w:w="2993"/>
              <w:gridCol w:w="2994"/>
              <w:gridCol w:w="2994"/>
            </w:tblGrid>
            <w:tr w:rsidR="00424EB3" w:rsidRPr="00F04CCD" w:rsidTr="00F84E4A">
              <w:tc>
                <w:tcPr>
                  <w:tcW w:w="2993" w:type="dxa"/>
                </w:tcPr>
                <w:p w:rsidR="00424EB3" w:rsidRPr="00F04CCD" w:rsidRDefault="00424EB3" w:rsidP="00424EB3">
                  <w:pPr>
                    <w:rPr>
                      <w:i/>
                    </w:rPr>
                  </w:pPr>
                  <w:r>
                    <w:rPr>
                      <w:i/>
                    </w:rPr>
                    <w:t>Náklad na akreditáciu kalibračného laboratória, ktoré má 2 veličiny</w:t>
                  </w:r>
                </w:p>
              </w:tc>
              <w:tc>
                <w:tcPr>
                  <w:tcW w:w="2994" w:type="dxa"/>
                </w:tcPr>
                <w:p w:rsidR="00424EB3" w:rsidRPr="00F04CCD" w:rsidRDefault="00424EB3" w:rsidP="00BB0C41">
                  <w:pPr>
                    <w:jc w:val="center"/>
                    <w:rPr>
                      <w:i/>
                    </w:rPr>
                  </w:pPr>
                  <w:r w:rsidRPr="00F04CCD">
                    <w:rPr>
                      <w:i/>
                    </w:rPr>
                    <w:t>Náklady na 1</w:t>
                  </w:r>
                  <w:r w:rsidR="00BB0C41">
                    <w:rPr>
                      <w:i/>
                    </w:rPr>
                    <w:t xml:space="preserve">neakreditované </w:t>
                  </w:r>
                  <w:r w:rsidRPr="00F04CCD">
                    <w:rPr>
                      <w:i/>
                    </w:rPr>
                    <w:t xml:space="preserve"> </w:t>
                  </w:r>
                  <w:r w:rsidR="00BB0C41">
                    <w:rPr>
                      <w:i/>
                    </w:rPr>
                    <w:t>laboratórium</w:t>
                  </w:r>
                </w:p>
              </w:tc>
              <w:tc>
                <w:tcPr>
                  <w:tcW w:w="2994" w:type="dxa"/>
                </w:tcPr>
                <w:p w:rsidR="00424EB3" w:rsidRPr="00F04CCD" w:rsidRDefault="00424EB3" w:rsidP="00BB0C41">
                  <w:pPr>
                    <w:jc w:val="center"/>
                    <w:rPr>
                      <w:i/>
                    </w:rPr>
                  </w:pPr>
                  <w:r w:rsidRPr="00F04CCD">
                    <w:rPr>
                      <w:i/>
                    </w:rPr>
                    <w:t xml:space="preserve">Náklady na </w:t>
                  </w:r>
                  <w:r w:rsidR="00BB0C41">
                    <w:rPr>
                      <w:i/>
                    </w:rPr>
                    <w:t>všetky neakreditované kalibračné laboratóriá</w:t>
                  </w:r>
                </w:p>
              </w:tc>
            </w:tr>
            <w:tr w:rsidR="00424EB3" w:rsidRPr="00F04CCD" w:rsidTr="00F84E4A">
              <w:tc>
                <w:tcPr>
                  <w:tcW w:w="2993" w:type="dxa"/>
                </w:tcPr>
                <w:p w:rsidR="00424EB3" w:rsidRPr="00F04CCD" w:rsidRDefault="00424EB3" w:rsidP="00F84E4A">
                  <w:pPr>
                    <w:rPr>
                      <w:i/>
                    </w:rPr>
                  </w:pPr>
                  <w:r w:rsidRPr="00F04CCD">
                    <w:rPr>
                      <w:i/>
                    </w:rPr>
                    <w:t>Priame finančné náklady</w:t>
                  </w:r>
                </w:p>
              </w:tc>
              <w:tc>
                <w:tcPr>
                  <w:tcW w:w="2994" w:type="dxa"/>
                </w:tcPr>
                <w:p w:rsidR="00424EB3" w:rsidRPr="00F04CCD" w:rsidRDefault="002236B6" w:rsidP="00F84E4A">
                  <w:pPr>
                    <w:jc w:val="center"/>
                    <w:rPr>
                      <w:i/>
                    </w:rPr>
                  </w:pPr>
                  <w:r>
                    <w:rPr>
                      <w:i/>
                    </w:rPr>
                    <w:t>3 160</w:t>
                  </w:r>
                  <w:r w:rsidR="00BB0C41">
                    <w:rPr>
                      <w:i/>
                    </w:rPr>
                    <w:t xml:space="preserve"> </w:t>
                  </w:r>
                  <w:r w:rsidR="00683DA9" w:rsidRPr="00683DA9">
                    <w:rPr>
                      <w:i/>
                      <w:sz w:val="22"/>
                    </w:rPr>
                    <w:t>€</w:t>
                  </w:r>
                </w:p>
              </w:tc>
              <w:tc>
                <w:tcPr>
                  <w:tcW w:w="2994" w:type="dxa"/>
                </w:tcPr>
                <w:p w:rsidR="00424EB3" w:rsidRPr="00F04CCD" w:rsidRDefault="002236B6" w:rsidP="00F84E4A">
                  <w:pPr>
                    <w:jc w:val="center"/>
                    <w:rPr>
                      <w:i/>
                    </w:rPr>
                  </w:pPr>
                  <w:r>
                    <w:rPr>
                      <w:i/>
                    </w:rPr>
                    <w:t>56 880</w:t>
                  </w:r>
                  <w:r w:rsidR="00BB0C41">
                    <w:rPr>
                      <w:i/>
                    </w:rPr>
                    <w:t xml:space="preserve"> </w:t>
                  </w:r>
                  <w:r w:rsidR="00683DA9" w:rsidRPr="00683DA9">
                    <w:rPr>
                      <w:i/>
                      <w:sz w:val="22"/>
                    </w:rPr>
                    <w:t>€</w:t>
                  </w:r>
                </w:p>
              </w:tc>
            </w:tr>
            <w:tr w:rsidR="00424EB3" w:rsidRPr="00F04CCD" w:rsidTr="00F84E4A">
              <w:tc>
                <w:tcPr>
                  <w:tcW w:w="2993" w:type="dxa"/>
                </w:tcPr>
                <w:p w:rsidR="00424EB3" w:rsidRPr="00F04CCD" w:rsidRDefault="00424EB3" w:rsidP="00F84E4A">
                  <w:pPr>
                    <w:rPr>
                      <w:i/>
                    </w:rPr>
                  </w:pPr>
                  <w:r w:rsidRPr="00F04CCD">
                    <w:rPr>
                      <w:i/>
                    </w:rPr>
                    <w:t>Nepriame finančné náklady</w:t>
                  </w:r>
                </w:p>
              </w:tc>
              <w:tc>
                <w:tcPr>
                  <w:tcW w:w="2994" w:type="dxa"/>
                </w:tcPr>
                <w:p w:rsidR="00424EB3" w:rsidRPr="00F04CCD" w:rsidRDefault="00424EB3" w:rsidP="00F84E4A">
                  <w:pPr>
                    <w:jc w:val="center"/>
                    <w:rPr>
                      <w:i/>
                    </w:rPr>
                  </w:pPr>
                  <w:r w:rsidRPr="00F04CCD">
                    <w:rPr>
                      <w:i/>
                    </w:rPr>
                    <w:t>0</w:t>
                  </w:r>
                </w:p>
              </w:tc>
              <w:tc>
                <w:tcPr>
                  <w:tcW w:w="2994" w:type="dxa"/>
                </w:tcPr>
                <w:p w:rsidR="00424EB3" w:rsidRPr="00F04CCD" w:rsidRDefault="00424EB3" w:rsidP="00F84E4A">
                  <w:pPr>
                    <w:jc w:val="center"/>
                    <w:rPr>
                      <w:i/>
                    </w:rPr>
                  </w:pPr>
                  <w:r w:rsidRPr="00F04CCD">
                    <w:rPr>
                      <w:i/>
                    </w:rPr>
                    <w:t>0</w:t>
                  </w:r>
                </w:p>
              </w:tc>
            </w:tr>
            <w:tr w:rsidR="00424EB3" w:rsidRPr="00F04CCD" w:rsidTr="00F84E4A">
              <w:tc>
                <w:tcPr>
                  <w:tcW w:w="2993" w:type="dxa"/>
                </w:tcPr>
                <w:p w:rsidR="00424EB3" w:rsidRPr="00F04CCD" w:rsidRDefault="00424EB3" w:rsidP="00F84E4A">
                  <w:pPr>
                    <w:rPr>
                      <w:i/>
                    </w:rPr>
                  </w:pPr>
                  <w:r w:rsidRPr="00F04CCD">
                    <w:rPr>
                      <w:i/>
                    </w:rPr>
                    <w:t>Administratívne náklady</w:t>
                  </w:r>
                </w:p>
              </w:tc>
              <w:tc>
                <w:tcPr>
                  <w:tcW w:w="2994" w:type="dxa"/>
                </w:tcPr>
                <w:p w:rsidR="00424EB3" w:rsidRPr="00F04CCD" w:rsidRDefault="00424EB3" w:rsidP="00F84E4A">
                  <w:pPr>
                    <w:jc w:val="center"/>
                    <w:rPr>
                      <w:i/>
                    </w:rPr>
                  </w:pPr>
                  <w:r>
                    <w:rPr>
                      <w:i/>
                    </w:rPr>
                    <w:t xml:space="preserve">0 </w:t>
                  </w:r>
                </w:p>
              </w:tc>
              <w:tc>
                <w:tcPr>
                  <w:tcW w:w="2994" w:type="dxa"/>
                </w:tcPr>
                <w:p w:rsidR="00424EB3" w:rsidRPr="00F04CCD" w:rsidRDefault="00424EB3" w:rsidP="00F84E4A">
                  <w:pPr>
                    <w:jc w:val="center"/>
                    <w:rPr>
                      <w:i/>
                    </w:rPr>
                  </w:pPr>
                  <w:r>
                    <w:rPr>
                      <w:i/>
                    </w:rPr>
                    <w:t>0</w:t>
                  </w:r>
                </w:p>
              </w:tc>
            </w:tr>
            <w:tr w:rsidR="00424EB3" w:rsidRPr="00F04CCD" w:rsidTr="00F84E4A">
              <w:tc>
                <w:tcPr>
                  <w:tcW w:w="2993" w:type="dxa"/>
                </w:tcPr>
                <w:p w:rsidR="00424EB3" w:rsidRPr="00F04CCD" w:rsidRDefault="00424EB3" w:rsidP="00F84E4A">
                  <w:pPr>
                    <w:rPr>
                      <w:b/>
                      <w:i/>
                    </w:rPr>
                  </w:pPr>
                  <w:r w:rsidRPr="00F04CCD">
                    <w:rPr>
                      <w:b/>
                      <w:i/>
                    </w:rPr>
                    <w:t>Celkové náklady regulácie</w:t>
                  </w:r>
                </w:p>
              </w:tc>
              <w:tc>
                <w:tcPr>
                  <w:tcW w:w="2994" w:type="dxa"/>
                </w:tcPr>
                <w:p w:rsidR="00424EB3" w:rsidRPr="006E593D" w:rsidRDefault="002236B6" w:rsidP="00F84E4A">
                  <w:pPr>
                    <w:jc w:val="center"/>
                    <w:rPr>
                      <w:b/>
                      <w:i/>
                    </w:rPr>
                  </w:pPr>
                  <w:r>
                    <w:rPr>
                      <w:b/>
                      <w:i/>
                    </w:rPr>
                    <w:t>3 160</w:t>
                  </w:r>
                  <w:r w:rsidR="00BB0C41">
                    <w:rPr>
                      <w:b/>
                      <w:i/>
                    </w:rPr>
                    <w:t xml:space="preserve"> </w:t>
                  </w:r>
                  <w:r w:rsidR="00683DA9" w:rsidRPr="00683DA9">
                    <w:rPr>
                      <w:b/>
                      <w:i/>
                      <w:sz w:val="22"/>
                    </w:rPr>
                    <w:t>€</w:t>
                  </w:r>
                </w:p>
              </w:tc>
              <w:tc>
                <w:tcPr>
                  <w:tcW w:w="2994" w:type="dxa"/>
                </w:tcPr>
                <w:p w:rsidR="00424EB3" w:rsidRPr="00F04CCD" w:rsidRDefault="002236B6" w:rsidP="00F84E4A">
                  <w:pPr>
                    <w:jc w:val="center"/>
                    <w:rPr>
                      <w:b/>
                      <w:i/>
                    </w:rPr>
                  </w:pPr>
                  <w:r>
                    <w:rPr>
                      <w:b/>
                      <w:i/>
                    </w:rPr>
                    <w:t>56 880</w:t>
                  </w:r>
                  <w:r w:rsidR="00BB0C41">
                    <w:rPr>
                      <w:b/>
                      <w:i/>
                    </w:rPr>
                    <w:t xml:space="preserve"> </w:t>
                  </w:r>
                  <w:r w:rsidR="00683DA9" w:rsidRPr="00683DA9">
                    <w:rPr>
                      <w:b/>
                      <w:i/>
                      <w:sz w:val="22"/>
                    </w:rPr>
                    <w:t>€</w:t>
                  </w:r>
                </w:p>
              </w:tc>
            </w:tr>
          </w:tbl>
          <w:p w:rsidR="00424EB3" w:rsidRPr="00F04CCD" w:rsidRDefault="00424EB3" w:rsidP="00F84E4A">
            <w:pPr>
              <w:rPr>
                <w:i/>
              </w:rPr>
            </w:pPr>
          </w:p>
          <w:tbl>
            <w:tblPr>
              <w:tblStyle w:val="Mriekatabuky"/>
              <w:tblW w:w="0" w:type="auto"/>
              <w:tblLook w:val="04A0" w:firstRow="1" w:lastRow="0" w:firstColumn="1" w:lastColumn="0" w:noHBand="0" w:noVBand="1"/>
            </w:tblPr>
            <w:tblGrid>
              <w:gridCol w:w="2993"/>
              <w:gridCol w:w="2994"/>
              <w:gridCol w:w="2994"/>
            </w:tblGrid>
            <w:tr w:rsidR="009F2DFA" w:rsidRPr="00F04CCD" w:rsidTr="00F84E4A">
              <w:tc>
                <w:tcPr>
                  <w:tcW w:w="2993" w:type="dxa"/>
                </w:tcPr>
                <w:p w:rsidR="009F2DFA" w:rsidRPr="00F04CCD" w:rsidRDefault="00893514" w:rsidP="00F84E4A">
                  <w:pPr>
                    <w:rPr>
                      <w:i/>
                    </w:rPr>
                  </w:pPr>
                  <w:r>
                    <w:rPr>
                      <w:i/>
                    </w:rPr>
                    <w:t>Náklad na nového žiadateľa</w:t>
                  </w:r>
                  <w:r w:rsidR="007D2125">
                    <w:rPr>
                      <w:i/>
                    </w:rPr>
                    <w:t xml:space="preserve"> o akreditáciu</w:t>
                  </w:r>
                  <w:r>
                    <w:rPr>
                      <w:i/>
                    </w:rPr>
                    <w:t>, ktorý má 1 pracovisko a 1 veličinu</w:t>
                  </w:r>
                </w:p>
              </w:tc>
              <w:tc>
                <w:tcPr>
                  <w:tcW w:w="2994" w:type="dxa"/>
                </w:tcPr>
                <w:p w:rsidR="009F2DFA" w:rsidRPr="00F04CCD" w:rsidRDefault="009F2DFA" w:rsidP="00F84E4A">
                  <w:pPr>
                    <w:jc w:val="center"/>
                    <w:rPr>
                      <w:i/>
                    </w:rPr>
                  </w:pPr>
                  <w:r w:rsidRPr="00F04CCD">
                    <w:rPr>
                      <w:i/>
                    </w:rPr>
                    <w:t>Náklady na 1 podnikateľa</w:t>
                  </w:r>
                </w:p>
              </w:tc>
              <w:tc>
                <w:tcPr>
                  <w:tcW w:w="2994" w:type="dxa"/>
                </w:tcPr>
                <w:p w:rsidR="009F2DFA" w:rsidRPr="00F04CCD" w:rsidRDefault="009F2DFA" w:rsidP="00F84E4A">
                  <w:pPr>
                    <w:jc w:val="center"/>
                    <w:rPr>
                      <w:i/>
                    </w:rPr>
                  </w:pPr>
                  <w:r w:rsidRPr="00F04CCD">
                    <w:rPr>
                      <w:i/>
                    </w:rPr>
                    <w:t>Náklady na celé podnikateľské prostredie</w:t>
                  </w:r>
                </w:p>
              </w:tc>
            </w:tr>
            <w:tr w:rsidR="009F2DFA" w:rsidRPr="00F04CCD" w:rsidTr="00F84E4A">
              <w:tc>
                <w:tcPr>
                  <w:tcW w:w="2993" w:type="dxa"/>
                </w:tcPr>
                <w:p w:rsidR="009F2DFA" w:rsidRPr="00F04CCD" w:rsidRDefault="009F2DFA" w:rsidP="00F84E4A">
                  <w:pPr>
                    <w:rPr>
                      <w:i/>
                    </w:rPr>
                  </w:pPr>
                  <w:r w:rsidRPr="00F04CCD">
                    <w:rPr>
                      <w:i/>
                    </w:rPr>
                    <w:t>Priame finančné náklady</w:t>
                  </w:r>
                </w:p>
              </w:tc>
              <w:tc>
                <w:tcPr>
                  <w:tcW w:w="2994" w:type="dxa"/>
                </w:tcPr>
                <w:p w:rsidR="009F2DFA" w:rsidRPr="00F04CCD" w:rsidRDefault="002236B6" w:rsidP="00F84E4A">
                  <w:pPr>
                    <w:jc w:val="center"/>
                    <w:rPr>
                      <w:i/>
                    </w:rPr>
                  </w:pPr>
                  <w:r w:rsidRPr="002236B6">
                    <w:rPr>
                      <w:i/>
                    </w:rPr>
                    <w:t xml:space="preserve">2 926 </w:t>
                  </w:r>
                  <w:r w:rsidR="00683DA9" w:rsidRPr="00683DA9">
                    <w:rPr>
                      <w:i/>
                      <w:sz w:val="22"/>
                    </w:rPr>
                    <w:t>€</w:t>
                  </w:r>
                </w:p>
              </w:tc>
              <w:tc>
                <w:tcPr>
                  <w:tcW w:w="2994" w:type="dxa"/>
                </w:tcPr>
                <w:p w:rsidR="009F2DFA" w:rsidRPr="00F04CCD" w:rsidRDefault="002236B6" w:rsidP="00F84E4A">
                  <w:pPr>
                    <w:jc w:val="center"/>
                    <w:rPr>
                      <w:i/>
                    </w:rPr>
                  </w:pPr>
                  <w:r>
                    <w:rPr>
                      <w:i/>
                    </w:rPr>
                    <w:t xml:space="preserve">152 </w:t>
                  </w:r>
                  <w:proofErr w:type="spellStart"/>
                  <w:r>
                    <w:rPr>
                      <w:i/>
                    </w:rPr>
                    <w:t>152</w:t>
                  </w:r>
                  <w:proofErr w:type="spellEnd"/>
                  <w:r w:rsidR="00315C9C" w:rsidRPr="00315C9C">
                    <w:rPr>
                      <w:i/>
                    </w:rPr>
                    <w:t xml:space="preserve"> </w:t>
                  </w:r>
                  <w:r w:rsidR="00683DA9" w:rsidRPr="00683DA9">
                    <w:rPr>
                      <w:i/>
                      <w:sz w:val="22"/>
                    </w:rPr>
                    <w:t>€</w:t>
                  </w:r>
                </w:p>
              </w:tc>
            </w:tr>
            <w:tr w:rsidR="009F2DFA" w:rsidRPr="00F04CCD" w:rsidTr="00F84E4A">
              <w:tc>
                <w:tcPr>
                  <w:tcW w:w="2993" w:type="dxa"/>
                </w:tcPr>
                <w:p w:rsidR="009F2DFA" w:rsidRPr="00F04CCD" w:rsidRDefault="009F2DFA" w:rsidP="00F84E4A">
                  <w:pPr>
                    <w:rPr>
                      <w:i/>
                    </w:rPr>
                  </w:pPr>
                  <w:r w:rsidRPr="00F04CCD">
                    <w:rPr>
                      <w:i/>
                    </w:rPr>
                    <w:t>Nepriame finančné náklady</w:t>
                  </w:r>
                </w:p>
              </w:tc>
              <w:tc>
                <w:tcPr>
                  <w:tcW w:w="2994" w:type="dxa"/>
                </w:tcPr>
                <w:p w:rsidR="009F2DFA" w:rsidRPr="00F04CCD" w:rsidRDefault="009F2DFA" w:rsidP="00F84E4A">
                  <w:pPr>
                    <w:jc w:val="center"/>
                    <w:rPr>
                      <w:i/>
                    </w:rPr>
                  </w:pPr>
                  <w:r w:rsidRPr="00F04CCD">
                    <w:rPr>
                      <w:i/>
                    </w:rPr>
                    <w:t>0</w:t>
                  </w:r>
                </w:p>
              </w:tc>
              <w:tc>
                <w:tcPr>
                  <w:tcW w:w="2994" w:type="dxa"/>
                </w:tcPr>
                <w:p w:rsidR="009F2DFA" w:rsidRPr="00F04CCD" w:rsidRDefault="009F2DFA" w:rsidP="00F84E4A">
                  <w:pPr>
                    <w:jc w:val="center"/>
                    <w:rPr>
                      <w:i/>
                    </w:rPr>
                  </w:pPr>
                  <w:r w:rsidRPr="00F04CCD">
                    <w:rPr>
                      <w:i/>
                    </w:rPr>
                    <w:t>0</w:t>
                  </w:r>
                </w:p>
              </w:tc>
            </w:tr>
            <w:tr w:rsidR="009F2DFA" w:rsidRPr="00F04CCD" w:rsidTr="00F84E4A">
              <w:tc>
                <w:tcPr>
                  <w:tcW w:w="2993" w:type="dxa"/>
                </w:tcPr>
                <w:p w:rsidR="009F2DFA" w:rsidRPr="00F04CCD" w:rsidRDefault="009F2DFA" w:rsidP="00F84E4A">
                  <w:pPr>
                    <w:rPr>
                      <w:i/>
                    </w:rPr>
                  </w:pPr>
                  <w:r w:rsidRPr="00F04CCD">
                    <w:rPr>
                      <w:i/>
                    </w:rPr>
                    <w:t>Administratívne náklady</w:t>
                  </w:r>
                </w:p>
              </w:tc>
              <w:tc>
                <w:tcPr>
                  <w:tcW w:w="2994" w:type="dxa"/>
                </w:tcPr>
                <w:p w:rsidR="009F2DFA" w:rsidRPr="00F04CCD" w:rsidRDefault="00893514" w:rsidP="00780335">
                  <w:pPr>
                    <w:jc w:val="center"/>
                    <w:rPr>
                      <w:i/>
                    </w:rPr>
                  </w:pPr>
                  <w:r>
                    <w:rPr>
                      <w:i/>
                    </w:rPr>
                    <w:t xml:space="preserve">0 </w:t>
                  </w:r>
                </w:p>
              </w:tc>
              <w:tc>
                <w:tcPr>
                  <w:tcW w:w="2994" w:type="dxa"/>
                </w:tcPr>
                <w:p w:rsidR="009F2DFA" w:rsidRPr="00F04CCD" w:rsidRDefault="00893514" w:rsidP="00780335">
                  <w:pPr>
                    <w:jc w:val="center"/>
                    <w:rPr>
                      <w:i/>
                    </w:rPr>
                  </w:pPr>
                  <w:r>
                    <w:rPr>
                      <w:i/>
                    </w:rPr>
                    <w:t>0</w:t>
                  </w:r>
                </w:p>
              </w:tc>
            </w:tr>
            <w:tr w:rsidR="009F2DFA" w:rsidRPr="00F04CCD" w:rsidTr="00F84E4A">
              <w:tc>
                <w:tcPr>
                  <w:tcW w:w="2993" w:type="dxa"/>
                </w:tcPr>
                <w:p w:rsidR="009F2DFA" w:rsidRPr="00F04CCD" w:rsidRDefault="009F2DFA" w:rsidP="00F84E4A">
                  <w:pPr>
                    <w:rPr>
                      <w:b/>
                      <w:i/>
                    </w:rPr>
                  </w:pPr>
                  <w:r w:rsidRPr="00F04CCD">
                    <w:rPr>
                      <w:b/>
                      <w:i/>
                    </w:rPr>
                    <w:t>Celkové náklady regulácie</w:t>
                  </w:r>
                </w:p>
              </w:tc>
              <w:tc>
                <w:tcPr>
                  <w:tcW w:w="2994" w:type="dxa"/>
                </w:tcPr>
                <w:p w:rsidR="009F2DFA" w:rsidRPr="006E593D" w:rsidRDefault="002236B6" w:rsidP="00780335">
                  <w:pPr>
                    <w:jc w:val="center"/>
                    <w:rPr>
                      <w:b/>
                      <w:i/>
                    </w:rPr>
                  </w:pPr>
                  <w:r w:rsidRPr="002236B6">
                    <w:rPr>
                      <w:b/>
                      <w:i/>
                    </w:rPr>
                    <w:t xml:space="preserve">2 926 </w:t>
                  </w:r>
                  <w:r w:rsidR="00683DA9" w:rsidRPr="00683DA9">
                    <w:rPr>
                      <w:b/>
                      <w:i/>
                      <w:sz w:val="22"/>
                    </w:rPr>
                    <w:t>€</w:t>
                  </w:r>
                </w:p>
              </w:tc>
              <w:tc>
                <w:tcPr>
                  <w:tcW w:w="2994" w:type="dxa"/>
                </w:tcPr>
                <w:p w:rsidR="009F2DFA" w:rsidRPr="00F04CCD" w:rsidRDefault="002236B6" w:rsidP="00F84E4A">
                  <w:pPr>
                    <w:jc w:val="center"/>
                    <w:rPr>
                      <w:b/>
                      <w:i/>
                    </w:rPr>
                  </w:pPr>
                  <w:r>
                    <w:rPr>
                      <w:b/>
                      <w:i/>
                    </w:rPr>
                    <w:t xml:space="preserve">152 </w:t>
                  </w:r>
                  <w:proofErr w:type="spellStart"/>
                  <w:r>
                    <w:rPr>
                      <w:b/>
                      <w:i/>
                    </w:rPr>
                    <w:t>152</w:t>
                  </w:r>
                  <w:proofErr w:type="spellEnd"/>
                  <w:r w:rsidR="00315C9C" w:rsidRPr="00315C9C">
                    <w:rPr>
                      <w:b/>
                      <w:i/>
                    </w:rPr>
                    <w:t xml:space="preserve"> </w:t>
                  </w:r>
                  <w:r w:rsidR="00683DA9" w:rsidRPr="00683DA9">
                    <w:rPr>
                      <w:b/>
                      <w:i/>
                      <w:sz w:val="22"/>
                    </w:rPr>
                    <w:t>€</w:t>
                  </w:r>
                </w:p>
              </w:tc>
            </w:tr>
          </w:tbl>
          <w:p w:rsidR="009F2DFA" w:rsidRDefault="009F2DFA" w:rsidP="00F84E4A">
            <w:pPr>
              <w:rPr>
                <w:i/>
              </w:rPr>
            </w:pPr>
          </w:p>
          <w:tbl>
            <w:tblPr>
              <w:tblStyle w:val="Mriekatabuky"/>
              <w:tblW w:w="0" w:type="auto"/>
              <w:tblLook w:val="04A0" w:firstRow="1" w:lastRow="0" w:firstColumn="1" w:lastColumn="0" w:noHBand="0" w:noVBand="1"/>
            </w:tblPr>
            <w:tblGrid>
              <w:gridCol w:w="2993"/>
              <w:gridCol w:w="2994"/>
              <w:gridCol w:w="2994"/>
            </w:tblGrid>
            <w:tr w:rsidR="00780335" w:rsidRPr="00F04CCD" w:rsidTr="00F84E4A">
              <w:tc>
                <w:tcPr>
                  <w:tcW w:w="2993" w:type="dxa"/>
                </w:tcPr>
                <w:p w:rsidR="00780335" w:rsidRPr="00F04CCD" w:rsidRDefault="00477541" w:rsidP="00F84E4A">
                  <w:pPr>
                    <w:rPr>
                      <w:i/>
                    </w:rPr>
                  </w:pPr>
                  <w:r>
                    <w:rPr>
                      <w:i/>
                    </w:rPr>
                    <w:t>Náklad na žiadateľa, ktorý už má akreditáciu a má 1 pracovisko a 1 veličinu</w:t>
                  </w:r>
                </w:p>
              </w:tc>
              <w:tc>
                <w:tcPr>
                  <w:tcW w:w="2994" w:type="dxa"/>
                </w:tcPr>
                <w:p w:rsidR="00780335" w:rsidRPr="00F04CCD" w:rsidRDefault="00780335" w:rsidP="00F84E4A">
                  <w:pPr>
                    <w:jc w:val="center"/>
                    <w:rPr>
                      <w:i/>
                    </w:rPr>
                  </w:pPr>
                  <w:r w:rsidRPr="00F04CCD">
                    <w:rPr>
                      <w:i/>
                    </w:rPr>
                    <w:t>Náklady na 1 podnikateľa</w:t>
                  </w:r>
                </w:p>
              </w:tc>
              <w:tc>
                <w:tcPr>
                  <w:tcW w:w="2994" w:type="dxa"/>
                </w:tcPr>
                <w:p w:rsidR="00780335" w:rsidRPr="00F04CCD" w:rsidRDefault="00780335" w:rsidP="00F84E4A">
                  <w:pPr>
                    <w:jc w:val="center"/>
                    <w:rPr>
                      <w:i/>
                    </w:rPr>
                  </w:pPr>
                  <w:r w:rsidRPr="00F04CCD">
                    <w:rPr>
                      <w:i/>
                    </w:rPr>
                    <w:t>Náklady na celé podnikateľské prostredie</w:t>
                  </w:r>
                </w:p>
              </w:tc>
            </w:tr>
            <w:tr w:rsidR="00780335" w:rsidRPr="00F04CCD" w:rsidTr="00F84E4A">
              <w:tc>
                <w:tcPr>
                  <w:tcW w:w="2993" w:type="dxa"/>
                </w:tcPr>
                <w:p w:rsidR="00780335" w:rsidRPr="00F04CCD" w:rsidRDefault="00780335" w:rsidP="00F84E4A">
                  <w:pPr>
                    <w:rPr>
                      <w:i/>
                    </w:rPr>
                  </w:pPr>
                  <w:r w:rsidRPr="00F04CCD">
                    <w:rPr>
                      <w:i/>
                    </w:rPr>
                    <w:t>Priame finančné náklady</w:t>
                  </w:r>
                </w:p>
              </w:tc>
              <w:tc>
                <w:tcPr>
                  <w:tcW w:w="2994" w:type="dxa"/>
                </w:tcPr>
                <w:p w:rsidR="00780335" w:rsidRPr="00F04CCD" w:rsidRDefault="002236B6" w:rsidP="00F84E4A">
                  <w:pPr>
                    <w:jc w:val="center"/>
                    <w:rPr>
                      <w:i/>
                    </w:rPr>
                  </w:pPr>
                  <w:r>
                    <w:rPr>
                      <w:i/>
                    </w:rPr>
                    <w:t>2 516</w:t>
                  </w:r>
                  <w:r w:rsidR="00477541">
                    <w:rPr>
                      <w:i/>
                    </w:rPr>
                    <w:t xml:space="preserve"> </w:t>
                  </w:r>
                  <w:r w:rsidR="00683DA9" w:rsidRPr="00683DA9">
                    <w:rPr>
                      <w:i/>
                      <w:sz w:val="22"/>
                    </w:rPr>
                    <w:t>€</w:t>
                  </w:r>
                </w:p>
              </w:tc>
              <w:tc>
                <w:tcPr>
                  <w:tcW w:w="2994" w:type="dxa"/>
                </w:tcPr>
                <w:p w:rsidR="00780335" w:rsidRPr="00F04CCD" w:rsidRDefault="002236B6" w:rsidP="00F84E4A">
                  <w:pPr>
                    <w:jc w:val="center"/>
                    <w:rPr>
                      <w:i/>
                    </w:rPr>
                  </w:pPr>
                  <w:r>
                    <w:rPr>
                      <w:i/>
                    </w:rPr>
                    <w:t>40 256</w:t>
                  </w:r>
                  <w:r w:rsidR="00315C9C" w:rsidRPr="00315C9C">
                    <w:rPr>
                      <w:i/>
                    </w:rPr>
                    <w:t xml:space="preserve"> </w:t>
                  </w:r>
                  <w:r w:rsidR="00683DA9" w:rsidRPr="00683DA9">
                    <w:rPr>
                      <w:i/>
                      <w:sz w:val="22"/>
                    </w:rPr>
                    <w:t>€</w:t>
                  </w:r>
                </w:p>
              </w:tc>
            </w:tr>
            <w:tr w:rsidR="00780335" w:rsidRPr="00F04CCD" w:rsidTr="00F84E4A">
              <w:tc>
                <w:tcPr>
                  <w:tcW w:w="2993" w:type="dxa"/>
                </w:tcPr>
                <w:p w:rsidR="00780335" w:rsidRPr="00F04CCD" w:rsidRDefault="00780335" w:rsidP="00F84E4A">
                  <w:pPr>
                    <w:rPr>
                      <w:i/>
                    </w:rPr>
                  </w:pPr>
                  <w:r w:rsidRPr="00F04CCD">
                    <w:rPr>
                      <w:i/>
                    </w:rPr>
                    <w:t>Nepriame finančné náklady</w:t>
                  </w:r>
                </w:p>
              </w:tc>
              <w:tc>
                <w:tcPr>
                  <w:tcW w:w="2994" w:type="dxa"/>
                </w:tcPr>
                <w:p w:rsidR="00780335" w:rsidRPr="00F04CCD" w:rsidRDefault="00780335" w:rsidP="00F84E4A">
                  <w:pPr>
                    <w:jc w:val="center"/>
                    <w:rPr>
                      <w:i/>
                    </w:rPr>
                  </w:pPr>
                  <w:r w:rsidRPr="00F04CCD">
                    <w:rPr>
                      <w:i/>
                    </w:rPr>
                    <w:t>0</w:t>
                  </w:r>
                </w:p>
              </w:tc>
              <w:tc>
                <w:tcPr>
                  <w:tcW w:w="2994" w:type="dxa"/>
                </w:tcPr>
                <w:p w:rsidR="00780335" w:rsidRPr="00F04CCD" w:rsidRDefault="00780335" w:rsidP="00F84E4A">
                  <w:pPr>
                    <w:jc w:val="center"/>
                    <w:rPr>
                      <w:i/>
                    </w:rPr>
                  </w:pPr>
                  <w:r w:rsidRPr="00F04CCD">
                    <w:rPr>
                      <w:i/>
                    </w:rPr>
                    <w:t>0</w:t>
                  </w:r>
                </w:p>
              </w:tc>
            </w:tr>
            <w:tr w:rsidR="00780335" w:rsidRPr="00F04CCD" w:rsidTr="00F84E4A">
              <w:tc>
                <w:tcPr>
                  <w:tcW w:w="2993" w:type="dxa"/>
                </w:tcPr>
                <w:p w:rsidR="00780335" w:rsidRPr="00F04CCD" w:rsidRDefault="00780335" w:rsidP="00F84E4A">
                  <w:pPr>
                    <w:rPr>
                      <w:i/>
                    </w:rPr>
                  </w:pPr>
                  <w:r w:rsidRPr="00F04CCD">
                    <w:rPr>
                      <w:i/>
                    </w:rPr>
                    <w:t>Administratívne náklady</w:t>
                  </w:r>
                </w:p>
              </w:tc>
              <w:tc>
                <w:tcPr>
                  <w:tcW w:w="2994" w:type="dxa"/>
                </w:tcPr>
                <w:p w:rsidR="00780335" w:rsidRPr="00F04CCD" w:rsidRDefault="00477541" w:rsidP="00F84E4A">
                  <w:pPr>
                    <w:jc w:val="center"/>
                    <w:rPr>
                      <w:i/>
                    </w:rPr>
                  </w:pPr>
                  <w:r>
                    <w:rPr>
                      <w:i/>
                    </w:rPr>
                    <w:t>0</w:t>
                  </w:r>
                </w:p>
              </w:tc>
              <w:tc>
                <w:tcPr>
                  <w:tcW w:w="2994" w:type="dxa"/>
                </w:tcPr>
                <w:p w:rsidR="00780335" w:rsidRPr="00F04CCD" w:rsidRDefault="00477541" w:rsidP="00F84E4A">
                  <w:pPr>
                    <w:jc w:val="center"/>
                    <w:rPr>
                      <w:i/>
                    </w:rPr>
                  </w:pPr>
                  <w:r>
                    <w:rPr>
                      <w:i/>
                    </w:rPr>
                    <w:t>0</w:t>
                  </w:r>
                </w:p>
              </w:tc>
            </w:tr>
            <w:tr w:rsidR="00780335" w:rsidRPr="00F04CCD" w:rsidTr="00F84E4A">
              <w:tc>
                <w:tcPr>
                  <w:tcW w:w="2993" w:type="dxa"/>
                </w:tcPr>
                <w:p w:rsidR="00780335" w:rsidRPr="00F04CCD" w:rsidRDefault="00780335" w:rsidP="00F84E4A">
                  <w:pPr>
                    <w:rPr>
                      <w:b/>
                      <w:i/>
                    </w:rPr>
                  </w:pPr>
                  <w:r w:rsidRPr="00F04CCD">
                    <w:rPr>
                      <w:b/>
                      <w:i/>
                    </w:rPr>
                    <w:t>Celkové náklady regulácie</w:t>
                  </w:r>
                </w:p>
              </w:tc>
              <w:tc>
                <w:tcPr>
                  <w:tcW w:w="2994" w:type="dxa"/>
                </w:tcPr>
                <w:p w:rsidR="00780335" w:rsidRPr="006E593D" w:rsidRDefault="002236B6" w:rsidP="00F84E4A">
                  <w:pPr>
                    <w:jc w:val="center"/>
                    <w:rPr>
                      <w:b/>
                      <w:i/>
                    </w:rPr>
                  </w:pPr>
                  <w:r>
                    <w:rPr>
                      <w:b/>
                      <w:i/>
                    </w:rPr>
                    <w:t>2 516</w:t>
                  </w:r>
                  <w:r w:rsidR="00477541">
                    <w:rPr>
                      <w:b/>
                      <w:i/>
                    </w:rPr>
                    <w:t xml:space="preserve"> </w:t>
                  </w:r>
                  <w:r w:rsidR="00683DA9" w:rsidRPr="00683DA9">
                    <w:rPr>
                      <w:b/>
                      <w:i/>
                      <w:sz w:val="22"/>
                    </w:rPr>
                    <w:t>€</w:t>
                  </w:r>
                </w:p>
              </w:tc>
              <w:tc>
                <w:tcPr>
                  <w:tcW w:w="2994" w:type="dxa"/>
                </w:tcPr>
                <w:p w:rsidR="00780335" w:rsidRPr="00F04CCD" w:rsidRDefault="002236B6" w:rsidP="00F84E4A">
                  <w:pPr>
                    <w:jc w:val="center"/>
                    <w:rPr>
                      <w:b/>
                      <w:i/>
                    </w:rPr>
                  </w:pPr>
                  <w:r>
                    <w:rPr>
                      <w:b/>
                      <w:i/>
                    </w:rPr>
                    <w:t>40 256</w:t>
                  </w:r>
                  <w:r w:rsidR="00315C9C" w:rsidRPr="00315C9C">
                    <w:rPr>
                      <w:b/>
                      <w:i/>
                    </w:rPr>
                    <w:t xml:space="preserve"> </w:t>
                  </w:r>
                  <w:r w:rsidR="00683DA9" w:rsidRPr="00683DA9">
                    <w:rPr>
                      <w:b/>
                      <w:i/>
                      <w:sz w:val="22"/>
                    </w:rPr>
                    <w:t>€</w:t>
                  </w:r>
                </w:p>
              </w:tc>
            </w:tr>
          </w:tbl>
          <w:p w:rsidR="00780335" w:rsidRPr="00F04CCD" w:rsidRDefault="00780335" w:rsidP="00F84E4A">
            <w:pPr>
              <w:rPr>
                <w:i/>
              </w:rPr>
            </w:pPr>
          </w:p>
        </w:tc>
      </w:tr>
      <w:tr w:rsidR="009F2DFA" w:rsidRPr="00F04CCD" w:rsidTr="00F84E4A">
        <w:tc>
          <w:tcPr>
            <w:tcW w:w="9212" w:type="dxa"/>
            <w:shd w:val="clear" w:color="auto" w:fill="D9D9D9" w:themeFill="background1" w:themeFillShade="D9"/>
          </w:tcPr>
          <w:p w:rsidR="009F2DFA" w:rsidRPr="00042C66" w:rsidRDefault="002B1108" w:rsidP="00F84E4A">
            <w:pPr>
              <w:rPr>
                <w:b/>
                <w:sz w:val="24"/>
              </w:rPr>
            </w:pPr>
            <w:r>
              <w:rPr>
                <w:b/>
                <w:sz w:val="24"/>
              </w:rPr>
              <w:t>3</w:t>
            </w:r>
            <w:r w:rsidR="009F2DFA" w:rsidRPr="00042C66">
              <w:rPr>
                <w:b/>
                <w:sz w:val="24"/>
              </w:rPr>
              <w:t>.4 Konkurencieschopnosť a správanie sa podnikov na trhu</w:t>
            </w:r>
          </w:p>
          <w:p w:rsidR="009F2DFA" w:rsidRPr="00F04CCD" w:rsidRDefault="009F2DFA" w:rsidP="00F84E4A">
            <w:r w:rsidRPr="00042C66">
              <w:rPr>
                <w:b/>
                <w:sz w:val="24"/>
              </w:rPr>
              <w:t xml:space="preserve">       </w:t>
            </w:r>
            <w:r w:rsidRPr="00042C66">
              <w:rPr>
                <w:sz w:val="24"/>
              </w:rPr>
              <w:t xml:space="preserve">- </w:t>
            </w:r>
            <w:r w:rsidRPr="00042C66">
              <w:rPr>
                <w:b/>
                <w:sz w:val="24"/>
              </w:rPr>
              <w:t>z toho MSP</w:t>
            </w:r>
          </w:p>
        </w:tc>
      </w:tr>
      <w:tr w:rsidR="009F2DFA" w:rsidRPr="00F04CCD" w:rsidTr="00F84E4A">
        <w:tc>
          <w:tcPr>
            <w:tcW w:w="9212" w:type="dxa"/>
            <w:tcBorders>
              <w:bottom w:val="single" w:sz="4" w:space="0" w:color="auto"/>
            </w:tcBorders>
          </w:tcPr>
          <w:p w:rsidR="009F2DFA" w:rsidRPr="00F04CCD" w:rsidRDefault="009F2DFA" w:rsidP="00F84E4A">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xml:space="preserve">, malé </w:t>
            </w:r>
            <w:r w:rsidRPr="00F04CCD">
              <w:rPr>
                <w:i/>
              </w:rPr>
              <w:lastRenderedPageBreak/>
              <w:t>a stredné podniky tzv. MSP)? Ak áno, popíšte.</w:t>
            </w:r>
          </w:p>
          <w:p w:rsidR="009F2DFA" w:rsidRPr="00F04CCD" w:rsidRDefault="009F2DFA" w:rsidP="00F84E4A">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F84E4A">
            <w:pPr>
              <w:rPr>
                <w:i/>
              </w:rPr>
            </w:pPr>
            <w:r w:rsidRPr="00F04CCD">
              <w:rPr>
                <w:i/>
              </w:rPr>
              <w:t>Ako ovplyvní cenu alebo dostupnosť základných zdrojov (suroviny, mechanizmy, pracovná sila, energie atď.)?</w:t>
            </w:r>
          </w:p>
          <w:p w:rsidR="009F2DFA" w:rsidRPr="00F04CCD" w:rsidRDefault="009F2DFA" w:rsidP="00F84E4A">
            <w:pPr>
              <w:rPr>
                <w:i/>
              </w:rPr>
            </w:pPr>
            <w:r w:rsidRPr="00F04CCD">
              <w:rPr>
                <w:i/>
              </w:rPr>
              <w:t>Ovplyvňuje prístup k financiám? Ak áno, ako?</w:t>
            </w:r>
          </w:p>
        </w:tc>
      </w:tr>
      <w:tr w:rsidR="009F2DFA" w:rsidRPr="00F04CCD" w:rsidTr="00F84E4A">
        <w:trPr>
          <w:trHeight w:val="1282"/>
        </w:trPr>
        <w:tc>
          <w:tcPr>
            <w:tcW w:w="9212" w:type="dxa"/>
            <w:tcBorders>
              <w:bottom w:val="single" w:sz="4" w:space="0" w:color="auto"/>
            </w:tcBorders>
          </w:tcPr>
          <w:p w:rsidR="00CC4C60" w:rsidRPr="0014259C" w:rsidRDefault="00CC4C60" w:rsidP="000E10D4">
            <w:pPr>
              <w:jc w:val="both"/>
              <w:rPr>
                <w:sz w:val="22"/>
                <w:szCs w:val="22"/>
              </w:rPr>
            </w:pPr>
            <w:r w:rsidRPr="0014259C">
              <w:rPr>
                <w:sz w:val="22"/>
                <w:szCs w:val="22"/>
              </w:rPr>
              <w:lastRenderedPageBreak/>
              <w:t>Predk</w:t>
            </w:r>
            <w:r>
              <w:rPr>
                <w:sz w:val="22"/>
                <w:szCs w:val="22"/>
              </w:rPr>
              <w:t>ladaným návrhom zákona</w:t>
            </w:r>
            <w:r w:rsidRPr="0014259C">
              <w:rPr>
                <w:sz w:val="22"/>
                <w:szCs w:val="22"/>
              </w:rPr>
              <w:t xml:space="preserve"> ne</w:t>
            </w:r>
            <w:r>
              <w:rPr>
                <w:sz w:val="22"/>
                <w:szCs w:val="22"/>
              </w:rPr>
              <w:t>d</w:t>
            </w:r>
            <w:r w:rsidRPr="0014259C">
              <w:rPr>
                <w:sz w:val="22"/>
                <w:szCs w:val="22"/>
              </w:rPr>
              <w:t>ochádza k vytvoreniu bariér pre vstup na trh pre nových dodávateľov alebo poskytovateľov služieb.</w:t>
            </w:r>
          </w:p>
          <w:p w:rsidR="008B35B6" w:rsidRPr="008B35B6" w:rsidRDefault="008B35B6" w:rsidP="000E10D4">
            <w:pPr>
              <w:jc w:val="both"/>
              <w:rPr>
                <w:color w:val="000000"/>
                <w:sz w:val="22"/>
                <w:szCs w:val="24"/>
              </w:rPr>
            </w:pPr>
            <w:r w:rsidRPr="008B35B6">
              <w:rPr>
                <w:color w:val="000000"/>
                <w:sz w:val="22"/>
                <w:szCs w:val="24"/>
              </w:rPr>
              <w:t xml:space="preserve">Z hľadiska podnikateľského prostredia </w:t>
            </w:r>
            <w:r w:rsidR="008A3936">
              <w:rPr>
                <w:color w:val="000000"/>
                <w:sz w:val="22"/>
                <w:szCs w:val="24"/>
              </w:rPr>
              <w:t xml:space="preserve">návrh zákona </w:t>
            </w:r>
            <w:r w:rsidR="008A3936" w:rsidRPr="008B35B6">
              <w:rPr>
                <w:color w:val="000000"/>
                <w:sz w:val="22"/>
                <w:szCs w:val="24"/>
              </w:rPr>
              <w:t>zos</w:t>
            </w:r>
            <w:r w:rsidR="008A3936">
              <w:rPr>
                <w:color w:val="000000"/>
                <w:sz w:val="22"/>
                <w:szCs w:val="24"/>
              </w:rPr>
              <w:t>ú</w:t>
            </w:r>
            <w:r w:rsidR="008A3936" w:rsidRPr="008B35B6">
              <w:rPr>
                <w:color w:val="000000"/>
                <w:sz w:val="22"/>
                <w:szCs w:val="24"/>
              </w:rPr>
              <w:t>la</w:t>
            </w:r>
            <w:r w:rsidR="008A3936">
              <w:rPr>
                <w:color w:val="000000"/>
                <w:sz w:val="22"/>
                <w:szCs w:val="24"/>
              </w:rPr>
              <w:t>ďuje</w:t>
            </w:r>
            <w:r w:rsidRPr="008B35B6">
              <w:rPr>
                <w:color w:val="000000"/>
                <w:sz w:val="22"/>
                <w:szCs w:val="24"/>
              </w:rPr>
              <w:t xml:space="preserve"> požiadav</w:t>
            </w:r>
            <w:r w:rsidR="008A3936">
              <w:rPr>
                <w:color w:val="000000"/>
                <w:sz w:val="22"/>
                <w:szCs w:val="24"/>
              </w:rPr>
              <w:t>ky</w:t>
            </w:r>
            <w:r w:rsidRPr="008B35B6">
              <w:rPr>
                <w:color w:val="000000"/>
                <w:sz w:val="22"/>
                <w:szCs w:val="24"/>
              </w:rPr>
              <w:t xml:space="preserve"> na jednotlivé podnikateľské subjekty</w:t>
            </w:r>
            <w:r w:rsidR="00903AFD">
              <w:rPr>
                <w:color w:val="000000"/>
                <w:sz w:val="22"/>
                <w:szCs w:val="24"/>
              </w:rPr>
              <w:t xml:space="preserve"> a dáva ich do súladu s požiadavkami v iných štátoch</w:t>
            </w:r>
            <w:r w:rsidRPr="008B35B6">
              <w:rPr>
                <w:color w:val="000000"/>
                <w:sz w:val="22"/>
                <w:szCs w:val="24"/>
              </w:rPr>
              <w:t>.</w:t>
            </w:r>
          </w:p>
          <w:p w:rsidR="00CC4C60" w:rsidRPr="003F2217" w:rsidRDefault="00CC4C60" w:rsidP="000E10D4">
            <w:pPr>
              <w:jc w:val="both"/>
              <w:rPr>
                <w:sz w:val="22"/>
                <w:szCs w:val="22"/>
              </w:rPr>
            </w:pPr>
            <w:r w:rsidRPr="003F2217">
              <w:rPr>
                <w:sz w:val="22"/>
                <w:szCs w:val="22"/>
              </w:rPr>
              <w:t xml:space="preserve">S podnikmi alebo </w:t>
            </w:r>
            <w:r w:rsidR="00D64BF2">
              <w:rPr>
                <w:sz w:val="22"/>
                <w:szCs w:val="22"/>
              </w:rPr>
              <w:t>s</w:t>
            </w:r>
            <w:r w:rsidRPr="003F2217">
              <w:rPr>
                <w:sz w:val="22"/>
                <w:szCs w:val="22"/>
              </w:rPr>
              <w:t xml:space="preserve"> produktmi sa nebude zaobchádzať v porovnateľnej situácii rôzne.</w:t>
            </w:r>
          </w:p>
          <w:p w:rsidR="009F2DFA" w:rsidRPr="00CC4C60" w:rsidRDefault="00CC4C60" w:rsidP="000E10D4">
            <w:pPr>
              <w:jc w:val="both"/>
            </w:pPr>
            <w:r w:rsidRPr="003F2217">
              <w:rPr>
                <w:sz w:val="22"/>
                <w:szCs w:val="22"/>
              </w:rPr>
              <w:t>Navrhovaná zmena nebude mať vplyv na obchodné bariéry ani na vyvolanie cezhraničných investícií. Neovplyvní sa cena ani dostupnosť základných zdrojov ani</w:t>
            </w:r>
            <w:r>
              <w:rPr>
                <w:sz w:val="22"/>
                <w:szCs w:val="22"/>
              </w:rPr>
              <w:t xml:space="preserve"> prístup k financiám.</w:t>
            </w:r>
          </w:p>
        </w:tc>
      </w:tr>
      <w:tr w:rsidR="009F2DFA" w:rsidRPr="00F04CCD" w:rsidTr="00F84E4A">
        <w:tc>
          <w:tcPr>
            <w:tcW w:w="9212" w:type="dxa"/>
            <w:shd w:val="clear" w:color="auto" w:fill="D9D9D9" w:themeFill="background1" w:themeFillShade="D9"/>
          </w:tcPr>
          <w:p w:rsidR="009F2DFA" w:rsidRPr="00042C66" w:rsidRDefault="002B1108" w:rsidP="00F84E4A">
            <w:pPr>
              <w:rPr>
                <w:b/>
                <w:sz w:val="24"/>
              </w:rPr>
            </w:pPr>
            <w:r>
              <w:rPr>
                <w:b/>
                <w:sz w:val="24"/>
              </w:rPr>
              <w:t>3</w:t>
            </w:r>
            <w:r w:rsidR="009F2DFA" w:rsidRPr="00042C66">
              <w:rPr>
                <w:b/>
                <w:sz w:val="24"/>
              </w:rPr>
              <w:t xml:space="preserve">.5 Inovácie </w:t>
            </w:r>
          </w:p>
          <w:p w:rsidR="009F2DFA" w:rsidRPr="00F04CCD" w:rsidRDefault="009F2DFA" w:rsidP="00F84E4A">
            <w:pPr>
              <w:rPr>
                <w:b/>
              </w:rPr>
            </w:pPr>
            <w:r w:rsidRPr="00042C66">
              <w:rPr>
                <w:sz w:val="24"/>
              </w:rPr>
              <w:t xml:space="preserve">       - </w:t>
            </w:r>
            <w:r w:rsidRPr="00042C66">
              <w:rPr>
                <w:b/>
                <w:sz w:val="24"/>
              </w:rPr>
              <w:t>z toho MSP</w:t>
            </w:r>
          </w:p>
        </w:tc>
      </w:tr>
      <w:tr w:rsidR="009F2DFA" w:rsidRPr="00F04CCD" w:rsidTr="00F84E4A">
        <w:tc>
          <w:tcPr>
            <w:tcW w:w="9212" w:type="dxa"/>
          </w:tcPr>
          <w:p w:rsidR="009F2DFA" w:rsidRPr="00F04CCD" w:rsidRDefault="009F2DFA" w:rsidP="00F84E4A">
            <w:pPr>
              <w:rPr>
                <w:i/>
              </w:rPr>
            </w:pPr>
            <w:r w:rsidRPr="00F04CCD">
              <w:rPr>
                <w:i/>
              </w:rPr>
              <w:t>Uveďte, ako podporuje navrhovaná zmena inovácie.</w:t>
            </w:r>
          </w:p>
          <w:p w:rsidR="009F2DFA" w:rsidRPr="00F04CCD" w:rsidRDefault="009F2DFA" w:rsidP="00F84E4A">
            <w:pPr>
              <w:rPr>
                <w:i/>
              </w:rPr>
            </w:pPr>
            <w:r w:rsidRPr="00F04CCD">
              <w:rPr>
                <w:i/>
              </w:rPr>
              <w:t>Zjednodušuje uvedenie alebo rozšírenie nových výrobných metód, technológií a výrobkov na trh?</w:t>
            </w:r>
          </w:p>
          <w:p w:rsidR="009F2DFA" w:rsidRPr="00F04CCD" w:rsidRDefault="009F2DFA" w:rsidP="00F84E4A">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xml:space="preserve">, vlastníctvo </w:t>
            </w:r>
            <w:proofErr w:type="spellStart"/>
            <w:r w:rsidRPr="00F04CCD">
              <w:rPr>
                <w:i/>
              </w:rPr>
              <w:t>know-how</w:t>
            </w:r>
            <w:proofErr w:type="spellEnd"/>
            <w:r w:rsidRPr="00F04CCD">
              <w:rPr>
                <w:i/>
              </w:rPr>
              <w:t>).</w:t>
            </w:r>
          </w:p>
          <w:p w:rsidR="009F2DFA" w:rsidRDefault="009F2DFA" w:rsidP="00F84E4A">
            <w:pPr>
              <w:rPr>
                <w:i/>
              </w:rPr>
            </w:pPr>
            <w:r w:rsidRPr="00F04CCD">
              <w:rPr>
                <w:i/>
              </w:rPr>
              <w:t>Podporuje vyššiu efektivitu výroby/využívania zdrojov? Ak áno, ako?</w:t>
            </w:r>
          </w:p>
          <w:p w:rsidR="00837639" w:rsidRPr="00F04CCD" w:rsidRDefault="00837639" w:rsidP="00F84E4A">
            <w:r w:rsidRPr="00154881">
              <w:rPr>
                <w:i/>
              </w:rPr>
              <w:t>Vytvorí zmena nové pracovné miesta pre zamestnancov výskumu a vývoja v</w:t>
            </w:r>
            <w:r>
              <w:rPr>
                <w:i/>
              </w:rPr>
              <w:t> </w:t>
            </w:r>
            <w:r w:rsidRPr="00154881">
              <w:rPr>
                <w:i/>
              </w:rPr>
              <w:t>SR</w:t>
            </w:r>
            <w:r>
              <w:rPr>
                <w:i/>
              </w:rPr>
              <w:t>?</w:t>
            </w:r>
          </w:p>
        </w:tc>
      </w:tr>
      <w:tr w:rsidR="009F2DFA" w:rsidRPr="00F04CCD" w:rsidTr="00F84E4A">
        <w:trPr>
          <w:trHeight w:val="1747"/>
        </w:trPr>
        <w:tc>
          <w:tcPr>
            <w:tcW w:w="9212" w:type="dxa"/>
          </w:tcPr>
          <w:p w:rsidR="009F2DFA" w:rsidRPr="00F04CCD" w:rsidRDefault="00CC4C60" w:rsidP="00CC4C60">
            <w:pPr>
              <w:rPr>
                <w:i/>
              </w:rPr>
            </w:pPr>
            <w:r w:rsidRPr="008623F2">
              <w:rPr>
                <w:sz w:val="22"/>
              </w:rPr>
              <w:t xml:space="preserve">Predkladaný návrh </w:t>
            </w:r>
            <w:r>
              <w:rPr>
                <w:sz w:val="22"/>
              </w:rPr>
              <w:t xml:space="preserve">zákona </w:t>
            </w:r>
            <w:r w:rsidRPr="008623F2">
              <w:rPr>
                <w:sz w:val="22"/>
              </w:rPr>
              <w:t>nemá vplyv na inovácie podnikateľov</w:t>
            </w:r>
            <w:r>
              <w:rPr>
                <w:sz w:val="22"/>
              </w:rPr>
              <w:t>.</w:t>
            </w:r>
          </w:p>
        </w:tc>
      </w:tr>
    </w:tbl>
    <w:p w:rsidR="009F2DFA" w:rsidRPr="00F04CCD"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A37F21" w:rsidRDefault="00A37F21" w:rsidP="009F2DFA">
      <w:pPr>
        <w:spacing w:before="240"/>
        <w:jc w:val="center"/>
        <w:rPr>
          <w:b/>
          <w:sz w:val="28"/>
          <w:szCs w:val="24"/>
        </w:rPr>
      </w:pPr>
    </w:p>
    <w:p w:rsidR="00A37F21" w:rsidRDefault="00A37F21" w:rsidP="009F2DFA">
      <w:pPr>
        <w:spacing w:before="240"/>
        <w:jc w:val="center"/>
        <w:rPr>
          <w:b/>
          <w:sz w:val="28"/>
          <w:szCs w:val="24"/>
        </w:rPr>
      </w:pPr>
    </w:p>
    <w:p w:rsidR="00A37F21" w:rsidRDefault="00A37F21" w:rsidP="009F2DFA">
      <w:pPr>
        <w:spacing w:before="240"/>
        <w:jc w:val="center"/>
        <w:rPr>
          <w:b/>
          <w:sz w:val="28"/>
          <w:szCs w:val="24"/>
        </w:rPr>
      </w:pPr>
    </w:p>
    <w:p w:rsidR="00A37F21" w:rsidRDefault="00A37F21" w:rsidP="009F2DFA">
      <w:pPr>
        <w:spacing w:before="240"/>
        <w:jc w:val="center"/>
        <w:rPr>
          <w:b/>
          <w:sz w:val="28"/>
          <w:szCs w:val="24"/>
        </w:rPr>
      </w:pPr>
    </w:p>
    <w:p w:rsidR="00A37F21" w:rsidRDefault="00A37F21" w:rsidP="009F2DFA">
      <w:pPr>
        <w:spacing w:before="240"/>
        <w:jc w:val="center"/>
        <w:rPr>
          <w:b/>
          <w:sz w:val="28"/>
          <w:szCs w:val="24"/>
        </w:rPr>
      </w:pPr>
    </w:p>
    <w:p w:rsidR="00A37F21" w:rsidRDefault="00A37F21" w:rsidP="009F2DFA">
      <w:pPr>
        <w:spacing w:before="240"/>
        <w:jc w:val="center"/>
        <w:rPr>
          <w:b/>
          <w:sz w:val="28"/>
          <w:szCs w:val="24"/>
        </w:rPr>
      </w:pPr>
    </w:p>
    <w:p w:rsidR="00A37F21" w:rsidRDefault="00A37F21" w:rsidP="009F2DFA">
      <w:pPr>
        <w:spacing w:before="240"/>
        <w:jc w:val="center"/>
        <w:rPr>
          <w:b/>
          <w:sz w:val="28"/>
          <w:szCs w:val="24"/>
        </w:rPr>
      </w:pPr>
    </w:p>
    <w:p w:rsidR="00A37F21" w:rsidRDefault="00A37F21" w:rsidP="009F2DFA">
      <w:pPr>
        <w:spacing w:before="240"/>
        <w:jc w:val="center"/>
        <w:rPr>
          <w:b/>
          <w:sz w:val="28"/>
          <w:szCs w:val="24"/>
        </w:rPr>
      </w:pPr>
    </w:p>
    <w:p w:rsidR="00E578D1" w:rsidRDefault="00E578D1" w:rsidP="009F2DFA">
      <w:pPr>
        <w:spacing w:before="240"/>
        <w:jc w:val="center"/>
        <w:rPr>
          <w:b/>
          <w:sz w:val="28"/>
          <w:szCs w:val="24"/>
        </w:rPr>
      </w:pPr>
    </w:p>
    <w:p w:rsidR="009F2DFA" w:rsidRPr="00074919" w:rsidRDefault="009F2DFA" w:rsidP="009F2DFA">
      <w:pPr>
        <w:spacing w:before="240"/>
        <w:jc w:val="center"/>
        <w:rPr>
          <w:b/>
          <w:sz w:val="28"/>
          <w:szCs w:val="24"/>
        </w:rPr>
      </w:pPr>
      <w:r w:rsidRPr="00074919">
        <w:rPr>
          <w:b/>
          <w:sz w:val="28"/>
          <w:szCs w:val="24"/>
        </w:rPr>
        <w:lastRenderedPageBreak/>
        <w:t>Metodický postup pre analýzu vplyvov na podnikateľské prostredie</w:t>
      </w:r>
    </w:p>
    <w:p w:rsidR="009F2DFA" w:rsidRPr="00042C66" w:rsidRDefault="009F2DFA" w:rsidP="009F2DFA">
      <w:pPr>
        <w:spacing w:before="240"/>
        <w:jc w:val="both"/>
        <w:rPr>
          <w:sz w:val="24"/>
          <w:szCs w:val="24"/>
        </w:rPr>
      </w:pPr>
      <w:r w:rsidRPr="00042C66">
        <w:rPr>
          <w:sz w:val="24"/>
          <w:szCs w:val="24"/>
        </w:rPr>
        <w:t>V členských štátoch EÚ sa neprestajne zvyšuje povedomie o nákladoch spojených s</w:t>
      </w:r>
      <w:r>
        <w:rPr>
          <w:sz w:val="24"/>
          <w:szCs w:val="24"/>
        </w:rPr>
        <w:t> </w:t>
      </w:r>
      <w:r w:rsidRPr="00042C66">
        <w:rPr>
          <w:sz w:val="24"/>
          <w:szCs w:val="24"/>
        </w:rPr>
        <w:t xml:space="preserve">regulačnou záťažou a o potrebe maximálne zjednodušiť požiadavky vyplývajúce z regulácie, pričom je potrebné rešpektovať jej ciele. Zásah štátu predstavuje pre podnikateľov zvyčajne istú sumu </w:t>
      </w:r>
      <w:r>
        <w:rPr>
          <w:sz w:val="24"/>
          <w:szCs w:val="24"/>
        </w:rPr>
        <w:t>nákladov, ktorú musia vynaložiť</w:t>
      </w:r>
      <w:r w:rsidRPr="00042C66">
        <w:rPr>
          <w:sz w:val="24"/>
          <w:szCs w:val="24"/>
        </w:rPr>
        <w:t xml:space="preserve"> v snahe naplniť požiadavky implementovaných regulácií, pričom časť z nich predstavujú aj administratívne náklady.</w:t>
      </w:r>
    </w:p>
    <w:p w:rsidR="009F2DFA" w:rsidRPr="00042C66" w:rsidRDefault="009F2DFA" w:rsidP="009F2DFA">
      <w:pPr>
        <w:jc w:val="both"/>
        <w:rPr>
          <w:sz w:val="24"/>
          <w:szCs w:val="24"/>
        </w:rPr>
      </w:pPr>
      <w:r w:rsidRPr="00042C66">
        <w:rPr>
          <w:sz w:val="24"/>
          <w:szCs w:val="24"/>
        </w:rPr>
        <w:t xml:space="preserve">V prvom kroku je potrebné určiť, na ktorú z veľkostných kategórií podnikov bude mať navrhovaný materiál vplyv. V prípade, ak nie je možné určiť, či materiál bude mať vplyv iba na jednu z veľkostných kategórií , treba označiť vplyvy na všetky kategórie. Tento údaj je potrebný pre vypracovanie a vyhodnotenie testu MSP vrátane SZČO. Test MSP tvorí súčasť analýzy vplyvov na podnikateľské prostredie. </w:t>
      </w:r>
    </w:p>
    <w:p w:rsidR="009F2DFA" w:rsidRPr="00042C66" w:rsidRDefault="009F2DFA" w:rsidP="009F2DFA">
      <w:pPr>
        <w:jc w:val="both"/>
        <w:rPr>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.1 Dotknuté podnikateľské subjekty</w:t>
      </w:r>
    </w:p>
    <w:p w:rsidR="009F2DFA" w:rsidRPr="00042C66" w:rsidRDefault="009F2DFA" w:rsidP="009F2DFA">
      <w:pPr>
        <w:jc w:val="both"/>
        <w:rPr>
          <w:sz w:val="24"/>
          <w:szCs w:val="24"/>
        </w:rPr>
      </w:pPr>
      <w:r w:rsidRPr="00042C66">
        <w:rPr>
          <w:sz w:val="24"/>
          <w:szCs w:val="24"/>
        </w:rPr>
        <w:t xml:space="preserve">Pri posudzovaní vplyvov na podnikateľské prostredie je dôležité identifikovať, či sa daný návrh dotýka: </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podnikateľského prostredia vo všeobecnosti</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niektorých právnych foriem podnikania (samostatne zárobkovo činná osoba, slobodné povolanie, samostatne hospodáriaci roľník, spoločnosť s ručením obmedzeným, akciová spoločnosť, družstvo, verejná obchodná spoločnosť a iné)</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 xml:space="preserve">niektorých odvetví hospodárstva (napr. podľa </w:t>
      </w:r>
      <w:hyperlink r:id="rId9" w:history="1">
        <w:r w:rsidRPr="00042C66">
          <w:rPr>
            <w:sz w:val="24"/>
            <w:szCs w:val="24"/>
          </w:rPr>
          <w:t>SK NACE - klasifikácia ekonomických činností</w:t>
        </w:r>
      </w:hyperlink>
      <w:r w:rsidRPr="00042C66">
        <w:rPr>
          <w:sz w:val="24"/>
          <w:szCs w:val="24"/>
        </w:rPr>
        <w:t xml:space="preserve"> dostupnej na stránke Štatistického úradu SR).</w:t>
      </w:r>
    </w:p>
    <w:p w:rsidR="009F2DFA" w:rsidRPr="00042C66" w:rsidRDefault="009F2DFA" w:rsidP="009F2DFA">
      <w:pPr>
        <w:jc w:val="both"/>
        <w:rPr>
          <w:sz w:val="24"/>
          <w:szCs w:val="24"/>
        </w:rPr>
      </w:pPr>
      <w:r w:rsidRPr="00042C66">
        <w:rPr>
          <w:sz w:val="24"/>
          <w:szCs w:val="24"/>
        </w:rPr>
        <w:t xml:space="preserve">Na základe identifikovania dotknutých subjektov je nutné kvantifikovať približný počet dotknutých podnikateľov s využitím dostupných štatistík a evidencií. V prípade špecifickej povinnosti je možné určiť predpokladaný počet dotknutých podnikateľov na základe priemerného počtu podnikateľov za posledné obdobie plniacich podobnú povinnosť. V prípade vzniku úplne novej povinnosti možno určiť očakávané množstvo plnení. </w:t>
      </w:r>
    </w:p>
    <w:p w:rsidR="009F2DFA" w:rsidRDefault="009F2DFA" w:rsidP="009F2DFA">
      <w:pPr>
        <w:jc w:val="both"/>
        <w:rPr>
          <w:b/>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.2 Vyhodnotenie konzultácií</w:t>
      </w:r>
    </w:p>
    <w:p w:rsidR="009F2DFA" w:rsidRPr="00042C66" w:rsidRDefault="009F2DFA" w:rsidP="009F2DFA">
      <w:pPr>
        <w:jc w:val="both"/>
        <w:rPr>
          <w:sz w:val="24"/>
          <w:szCs w:val="24"/>
        </w:rPr>
      </w:pPr>
      <w:r w:rsidRPr="00042C66">
        <w:rPr>
          <w:sz w:val="24"/>
          <w:szCs w:val="24"/>
        </w:rPr>
        <w:t>Efektívne konzultácie s dotknutými subjektmi zvyšujú transparentnosť prípravy materiálu a tým zvyšujú jeho legitimitu. Pre tento účel je v tejto časti nutné uviesť formu konzultácie, ktorú predkladateľ zvolil spolu s odôvodnením tohto výberu, a</w:t>
      </w:r>
      <w:r>
        <w:rPr>
          <w:sz w:val="24"/>
          <w:szCs w:val="24"/>
        </w:rPr>
        <w:t> </w:t>
      </w:r>
      <w:r w:rsidRPr="00042C66">
        <w:rPr>
          <w:sz w:val="24"/>
          <w:szCs w:val="24"/>
        </w:rPr>
        <w:t>subjekty</w:t>
      </w:r>
      <w:r>
        <w:rPr>
          <w:sz w:val="24"/>
          <w:szCs w:val="24"/>
        </w:rPr>
        <w:t>,</w:t>
      </w:r>
      <w:r w:rsidRPr="00042C66">
        <w:rPr>
          <w:sz w:val="24"/>
          <w:szCs w:val="24"/>
        </w:rPr>
        <w:t xml:space="preserve"> ktoré boli do konzultácie zapojené. V prípade veľkého počtu zúčastnených ich možno iba typovo popísať.</w:t>
      </w:r>
    </w:p>
    <w:p w:rsidR="009F2DFA" w:rsidRPr="00042C66" w:rsidRDefault="009F2DFA" w:rsidP="009F2DFA">
      <w:pPr>
        <w:jc w:val="both"/>
        <w:rPr>
          <w:sz w:val="24"/>
          <w:szCs w:val="24"/>
        </w:rPr>
      </w:pPr>
      <w:r w:rsidRPr="00042C66">
        <w:rPr>
          <w:sz w:val="24"/>
          <w:szCs w:val="24"/>
        </w:rPr>
        <w:t xml:space="preserve">Predkladateľ uvedie dĺžku konzultácií v prípade elektronickej konzultácie. V prípade konzultácií osobnou formou (seminár, verejné prerokovania a pod.) uvedie, koľko dní vopred bolo oznámené uskutočnenie konzultácie. Predkladateľ uvedie </w:t>
      </w:r>
      <w:proofErr w:type="spellStart"/>
      <w:r w:rsidRPr="00042C66">
        <w:rPr>
          <w:sz w:val="24"/>
          <w:szCs w:val="24"/>
        </w:rPr>
        <w:t>link</w:t>
      </w:r>
      <w:proofErr w:type="spellEnd"/>
      <w:r w:rsidRPr="00042C66">
        <w:rPr>
          <w:sz w:val="24"/>
          <w:szCs w:val="24"/>
        </w:rPr>
        <w:t xml:space="preserve"> na webovú stránku, na ktorej boli konzultácie zverejnené.</w:t>
      </w:r>
    </w:p>
    <w:p w:rsidR="009F2DFA" w:rsidRPr="00042C66" w:rsidRDefault="009F2DFA" w:rsidP="009F2DFA">
      <w:pPr>
        <w:jc w:val="both"/>
        <w:rPr>
          <w:sz w:val="24"/>
          <w:szCs w:val="24"/>
        </w:rPr>
      </w:pPr>
      <w:r w:rsidRPr="00042C66">
        <w:rPr>
          <w:sz w:val="24"/>
          <w:szCs w:val="24"/>
        </w:rPr>
        <w:t>Predkladateľ tiež uvedie formulované otázky alebo témy diskusie, ktoré boli predmetom konzultácie a odpovede, prípadne stanoviská zúčastnených strán. Odpovede a názory konzultujúcich je možné uviesť aj v skrátenej forme zo zachovaním hlavnej myšlienky. Podrobnosť tejto časti je potrebné zvoliť s ohľadom na rozsah navrhovaných zmien podľa princípu proporcionality.</w:t>
      </w:r>
    </w:p>
    <w:p w:rsidR="009F2DFA" w:rsidRPr="00042C66" w:rsidRDefault="009F2DFA" w:rsidP="009F2DFA">
      <w:pPr>
        <w:jc w:val="both"/>
        <w:rPr>
          <w:sz w:val="24"/>
          <w:szCs w:val="24"/>
        </w:rPr>
      </w:pPr>
      <w:r w:rsidRPr="00042C66">
        <w:rPr>
          <w:sz w:val="24"/>
          <w:szCs w:val="24"/>
        </w:rPr>
        <w:t>Predkladateľ zhodnotí, či boli splnené ciele, ktoré si stanovil pri príprave konzultácií spolu s odôvodnením, resp. či získal potrebné informácie. Tiež uvedie, ako boli odpovede zúčastnených strán využité pri príprave navrhovaného materiálu. Táto časť slúži ako spätná väzba pre zúčastnených, od ktorej závisí aj ich ochota participovať na ďalších konzultáciách.</w:t>
      </w:r>
    </w:p>
    <w:p w:rsidR="009F2DFA" w:rsidRPr="00042C66" w:rsidRDefault="009F2DFA" w:rsidP="009F2DFA">
      <w:pPr>
        <w:jc w:val="both"/>
        <w:rPr>
          <w:sz w:val="24"/>
          <w:szCs w:val="24"/>
        </w:rPr>
      </w:pPr>
      <w:r w:rsidRPr="00042C66">
        <w:rPr>
          <w:sz w:val="24"/>
          <w:szCs w:val="24"/>
        </w:rPr>
        <w:lastRenderedPageBreak/>
        <w:t>Pre uskutočnenie konzultácií je vhodné využiť odporúčania ku konzultáciám v časti III. Jednotnej metodiky.</w:t>
      </w:r>
    </w:p>
    <w:p w:rsidR="009F2DFA" w:rsidRDefault="009F2DFA" w:rsidP="009F2DFA">
      <w:pPr>
        <w:jc w:val="both"/>
        <w:rPr>
          <w:b/>
          <w:sz w:val="28"/>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.3 Náklady regulácie</w:t>
      </w:r>
    </w:p>
    <w:p w:rsidR="009F2DFA" w:rsidRPr="00042C66" w:rsidRDefault="009F2DFA" w:rsidP="009F2DFA">
      <w:pPr>
        <w:pStyle w:val="BodyText1"/>
        <w:spacing w:line="276" w:lineRule="auto"/>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S implementáciou novej regulácie ovplyvňujúcej podnikateľské prostredie sú spojené povinnosti, ktoré musia podnikatelia plniť za účelom zabezpečenia súladu s danou reguláciou. Významnú časť z týchto povinností tvoria tzv. </w:t>
      </w:r>
      <w:r w:rsidRPr="00042C66">
        <w:rPr>
          <w:rFonts w:ascii="Times New Roman" w:eastAsiaTheme="minorHAnsi" w:hAnsi="Times New Roman"/>
          <w:b/>
          <w:color w:val="auto"/>
          <w:sz w:val="24"/>
          <w:szCs w:val="24"/>
        </w:rPr>
        <w:t>informačné povinnosti (IP)</w:t>
      </w:r>
      <w:r w:rsidRPr="00042C66">
        <w:rPr>
          <w:rFonts w:ascii="Times New Roman" w:eastAsiaTheme="minorHAnsi" w:hAnsi="Times New Roman"/>
          <w:color w:val="auto"/>
          <w:sz w:val="24"/>
          <w:szCs w:val="24"/>
        </w:rPr>
        <w:t xml:space="preserve"> spojené s  výkonom určitých administratívnych úkonov zo strany podnikateľa na zabezpečenie súladu s reguláciou.  Príkladom IP je</w:t>
      </w:r>
      <w:r>
        <w:rPr>
          <w:rFonts w:ascii="Times New Roman" w:eastAsiaTheme="minorHAnsi" w:hAnsi="Times New Roman"/>
          <w:color w:val="auto"/>
          <w:sz w:val="24"/>
          <w:szCs w:val="24"/>
        </w:rPr>
        <w:t xml:space="preserve"> povinnosť poskytovať informácie</w:t>
      </w:r>
      <w:r w:rsidRPr="00042C66">
        <w:rPr>
          <w:rFonts w:ascii="Times New Roman" w:eastAsiaTheme="minorHAnsi" w:hAnsi="Times New Roman"/>
          <w:color w:val="auto"/>
          <w:sz w:val="24"/>
          <w:szCs w:val="24"/>
        </w:rPr>
        <w:t xml:space="preserve"> a dáta verejnému sektoru a</w:t>
      </w:r>
      <w:r>
        <w:rPr>
          <w:rFonts w:ascii="Times New Roman" w:eastAsiaTheme="minorHAnsi" w:hAnsi="Times New Roman"/>
          <w:color w:val="auto"/>
          <w:sz w:val="24"/>
          <w:szCs w:val="24"/>
        </w:rPr>
        <w:t> </w:t>
      </w:r>
      <w:r w:rsidRPr="00042C66">
        <w:rPr>
          <w:rFonts w:ascii="Times New Roman" w:eastAsiaTheme="minorHAnsi" w:hAnsi="Times New Roman"/>
          <w:color w:val="auto"/>
          <w:sz w:val="24"/>
          <w:szCs w:val="24"/>
        </w:rPr>
        <w:t>tretím stranám, povinnosť mať informácie zverejnené či poskytnúť alebo sprístupniť ich na požiadanie, predkladať dokumenty a hlásenia, viesť dokumentáciu, evidovať a archivovať, podať žiadosť, vypracovať správu a pod.</w:t>
      </w:r>
    </w:p>
    <w:p w:rsidR="009F2DFA" w:rsidRPr="00042C66" w:rsidRDefault="009F2DFA" w:rsidP="009F2DFA">
      <w:pPr>
        <w:pStyle w:val="BodyText1"/>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Okrem vyššie uvedených informačných povinností vyplývajú podnikateľom z regulácie aj ďalšie, tzv. </w:t>
      </w:r>
      <w:r w:rsidRPr="00042C66">
        <w:rPr>
          <w:rFonts w:ascii="Times New Roman" w:eastAsiaTheme="minorHAnsi" w:hAnsi="Times New Roman"/>
          <w:b/>
          <w:color w:val="auto"/>
          <w:sz w:val="24"/>
          <w:szCs w:val="24"/>
        </w:rPr>
        <w:t>regulačné povinnosti</w:t>
      </w:r>
      <w:r w:rsidRPr="00042C66">
        <w:rPr>
          <w:rFonts w:ascii="Times New Roman" w:eastAsiaTheme="minorHAnsi" w:hAnsi="Times New Roman"/>
          <w:color w:val="auto"/>
          <w:sz w:val="24"/>
          <w:szCs w:val="24"/>
        </w:rPr>
        <w:t xml:space="preserve">, vyvolávajúce na strane podnikateľov priame alebo nepriame finančné náklady. Príkladom je povinnosť absolvovať školenie; používať a teda zakúpiť elektronickú registračnú pokladňu, ochranné odevy, uhradiť registračný poplatok, poistné, daň a iné. </w:t>
      </w:r>
    </w:p>
    <w:p w:rsidR="009F2DFA" w:rsidRPr="00042C66" w:rsidRDefault="009F2DFA" w:rsidP="009F2DFA">
      <w:pPr>
        <w:jc w:val="both"/>
        <w:rPr>
          <w:sz w:val="24"/>
          <w:szCs w:val="24"/>
        </w:rPr>
      </w:pPr>
      <w:r w:rsidRPr="00042C66">
        <w:rPr>
          <w:sz w:val="24"/>
          <w:szCs w:val="24"/>
        </w:rPr>
        <w:t xml:space="preserve">S ohľadom na charakter povinností vyplývajúcich z regulácie členíme náklady spojené s ich plnením do 3 kategórií: </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Administratívne náklady</w:t>
      </w:r>
      <w:r w:rsidRPr="00042C66">
        <w:rPr>
          <w:rFonts w:ascii="Times New Roman" w:hAnsi="Times New Roman" w:cs="Times New Roman"/>
          <w:sz w:val="24"/>
          <w:szCs w:val="24"/>
        </w:rPr>
        <w:t xml:space="preserve"> – náklady spojené s administratívnymi úkonmi pri plnení informačnej povinnosti, ktoré musí podnikateľ vykonať na zabezpečenie súladu s</w:t>
      </w:r>
      <w:r>
        <w:rPr>
          <w:rFonts w:ascii="Times New Roman" w:hAnsi="Times New Roman" w:cs="Times New Roman"/>
          <w:sz w:val="24"/>
          <w:szCs w:val="24"/>
        </w:rPr>
        <w:t> </w:t>
      </w:r>
      <w:r w:rsidRPr="00042C66">
        <w:rPr>
          <w:rFonts w:ascii="Times New Roman" w:hAnsi="Times New Roman" w:cs="Times New Roman"/>
          <w:sz w:val="24"/>
          <w:szCs w:val="24"/>
        </w:rPr>
        <w:t>reguláciou. Ide o nákladové vyjadrenie času, ktorý strávi podnikateľ realizáciou konkrétnych činností vyžadovaných reguláciou  (napr. vypracovanie dokumentu, vedenie evidencie a archivácia, oznamovanie skutočností, predloženie dokladov, spracovanie žiadosti a iné).</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Priame finančné náklady</w:t>
      </w:r>
      <w:r w:rsidRPr="00042C66">
        <w:rPr>
          <w:rFonts w:ascii="Times New Roman" w:hAnsi="Times New Roman" w:cs="Times New Roman"/>
          <w:sz w:val="24"/>
          <w:szCs w:val="24"/>
        </w:rPr>
        <w:t xml:space="preserve"> – sú odvodené z konkrétnej priamej povinnosti previesť určitú sumu peňazí štátu alebo príslušnému orgánu verejnej správy (napr. poplatok za vystavenie stavebného povolenia, správne poplatky, registračný poplatok, poistné, dane, clá a iné).</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Nepriame finančné náklady</w:t>
      </w:r>
      <w:r w:rsidRPr="00042C66">
        <w:rPr>
          <w:rFonts w:ascii="Times New Roman" w:hAnsi="Times New Roman" w:cs="Times New Roman"/>
          <w:sz w:val="24"/>
          <w:szCs w:val="24"/>
        </w:rPr>
        <w:t xml:space="preserve"> – sú náklady, ktoré musí podnikateľ vynaložiť pre účely zabezpečenia súladu výrobku, služieb, interných procesov, vybavenia prevádzky s</w:t>
      </w:r>
      <w:r>
        <w:rPr>
          <w:rFonts w:ascii="Times New Roman" w:hAnsi="Times New Roman" w:cs="Times New Roman"/>
          <w:sz w:val="24"/>
          <w:szCs w:val="24"/>
        </w:rPr>
        <w:t> </w:t>
      </w:r>
      <w:r w:rsidRPr="00042C66">
        <w:rPr>
          <w:rFonts w:ascii="Times New Roman" w:hAnsi="Times New Roman" w:cs="Times New Roman"/>
          <w:sz w:val="24"/>
          <w:szCs w:val="24"/>
        </w:rPr>
        <w:t>požiadavkami regulácie (napr. náklady spojené so zabezpečením ochranných pracovných odevov, náklady na zabezpečenie pitného režimu, náklady na vybavenie prevádzky elektronickou registračnou pokladňou, náklady na získanie potrebných vedomostí nevyhnutných pre získanie osvedčenia a iné)</w:t>
      </w:r>
      <w:r w:rsidR="0052297F">
        <w:rPr>
          <w:rFonts w:ascii="Times New Roman" w:hAnsi="Times New Roman" w:cs="Times New Roman"/>
          <w:sz w:val="24"/>
          <w:szCs w:val="24"/>
        </w:rPr>
        <w:t xml:space="preserve"> a náklady spojené so zamestnávaním</w:t>
      </w:r>
      <w:r w:rsidRPr="00042C66">
        <w:rPr>
          <w:rFonts w:ascii="Times New Roman" w:hAnsi="Times New Roman" w:cs="Times New Roman"/>
          <w:sz w:val="24"/>
          <w:szCs w:val="24"/>
        </w:rPr>
        <w:t>.</w:t>
      </w:r>
    </w:p>
    <w:p w:rsidR="009F2DFA" w:rsidRPr="00D2017D" w:rsidRDefault="009F2DFA" w:rsidP="009F2DFA">
      <w:pPr>
        <w:pStyle w:val="BodyText1"/>
        <w:jc w:val="both"/>
        <w:rPr>
          <w:rFonts w:ascii="Times New Roman" w:eastAsiaTheme="minorHAnsi" w:hAnsi="Times New Roman"/>
          <w:color w:val="auto"/>
          <w:sz w:val="20"/>
          <w:szCs w:val="22"/>
        </w:rPr>
      </w:pPr>
    </w:p>
    <w:p w:rsidR="009F2DFA" w:rsidRDefault="009F2DFA" w:rsidP="009F2DFA">
      <w:pPr>
        <w:pStyle w:val="BodyText1"/>
      </w:pPr>
      <w:r w:rsidRPr="00781353">
        <w:rPr>
          <w:noProof/>
          <w:lang w:eastAsia="sk-SK"/>
        </w:rPr>
        <w:lastRenderedPageBreak/>
        <mc:AlternateContent>
          <mc:Choice Requires="wpg">
            <w:drawing>
              <wp:inline distT="0" distB="0" distL="0" distR="0" wp14:anchorId="13C6321C" wp14:editId="357D0D40">
                <wp:extent cx="4348716" cy="2541181"/>
                <wp:effectExtent l="0" t="0" r="0" b="0"/>
                <wp:docPr id="405" name="Group 4"/>
                <wp:cNvGraphicFramePr/>
                <a:graphic xmlns:a="http://schemas.openxmlformats.org/drawingml/2006/main">
                  <a:graphicData uri="http://schemas.microsoft.com/office/word/2010/wordprocessingGroup">
                    <wpg:wgp>
                      <wpg:cNvGrpSpPr/>
                      <wpg:grpSpPr>
                        <a:xfrm>
                          <a:off x="0" y="0"/>
                          <a:ext cx="4348716" cy="2541181"/>
                          <a:chOff x="0" y="-32276"/>
                          <a:chExt cx="7403620" cy="2469001"/>
                        </a:xfrm>
                      </wpg:grpSpPr>
                      <wps:wsp>
                        <wps:cNvPr id="406" name="Rectangle 14"/>
                        <wps:cNvSpPr>
                          <a:spLocks noChangeArrowheads="1"/>
                        </wps:cNvSpPr>
                        <wps:spPr bwMode="auto">
                          <a:xfrm>
                            <a:off x="0" y="842820"/>
                            <a:ext cx="2003448" cy="710527"/>
                          </a:xfrm>
                          <a:prstGeom prst="rect">
                            <a:avLst/>
                          </a:prstGeom>
                          <a:solidFill>
                            <a:srgbClr val="00A0DE"/>
                          </a:solidFill>
                          <a:ln w="9525">
                            <a:noFill/>
                            <a:miter lim="800000"/>
                            <a:headEnd/>
                            <a:tailEnd/>
                          </a:ln>
                        </wps:spPr>
                        <wps:txbx>
                          <w:txbxContent>
                            <w:p w:rsidR="00F84E4A" w:rsidRPr="00042C66" w:rsidRDefault="00F84E4A" w:rsidP="009F2DFA">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wps:txbx>
                        <wps:bodyPr wrap="square" lIns="36000" tIns="36000" rIns="36000" bIns="36000" anchor="ctr"/>
                      </wps:wsp>
                      <wps:wsp>
                        <wps:cNvPr id="407" name="Rectangle 16"/>
                        <wps:cNvSpPr>
                          <a:spLocks noChangeArrowheads="1"/>
                        </wps:cNvSpPr>
                        <wps:spPr bwMode="auto">
                          <a:xfrm>
                            <a:off x="2468955" y="98172"/>
                            <a:ext cx="1837171" cy="457380"/>
                          </a:xfrm>
                          <a:prstGeom prst="rect">
                            <a:avLst/>
                          </a:prstGeom>
                          <a:solidFill>
                            <a:srgbClr val="81BC00"/>
                          </a:solidFill>
                          <a:ln w="9525">
                            <a:noFill/>
                            <a:miter lim="800000"/>
                            <a:headEnd/>
                            <a:tailEnd/>
                          </a:ln>
                        </wps:spPr>
                        <wps:txbx>
                          <w:txbxContent>
                            <w:p w:rsidR="00F84E4A" w:rsidRPr="00042C66" w:rsidRDefault="00F84E4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wps:txbx>
                        <wps:bodyPr wrap="square" lIns="36000" tIns="36000" rIns="36000" bIns="36000" anchor="ctr"/>
                      </wps:wsp>
                      <wps:wsp>
                        <wps:cNvPr id="408" name="Rectangle 21"/>
                        <wps:cNvSpPr>
                          <a:spLocks noChangeArrowheads="1"/>
                        </wps:cNvSpPr>
                        <wps:spPr bwMode="auto">
                          <a:xfrm>
                            <a:off x="2468954" y="969393"/>
                            <a:ext cx="1837172" cy="457380"/>
                          </a:xfrm>
                          <a:prstGeom prst="rect">
                            <a:avLst/>
                          </a:prstGeom>
                          <a:solidFill>
                            <a:srgbClr val="00A0DE"/>
                          </a:solidFill>
                          <a:ln w="9525">
                            <a:noFill/>
                            <a:miter lim="800000"/>
                            <a:headEnd/>
                            <a:tailEnd/>
                          </a:ln>
                        </wps:spPr>
                        <wps:txbx>
                          <w:txbxContent>
                            <w:p w:rsidR="00F84E4A" w:rsidRPr="00042C66" w:rsidRDefault="00F84E4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wps:txbx>
                        <wps:bodyPr wrap="square" lIns="36000" tIns="36000" rIns="36000" bIns="36000" anchor="ctr"/>
                      </wps:wsp>
                      <wps:wsp>
                        <wps:cNvPr id="409" name="Rectangle 23"/>
                        <wps:cNvSpPr>
                          <a:spLocks noChangeArrowheads="1"/>
                        </wps:cNvSpPr>
                        <wps:spPr bwMode="auto">
                          <a:xfrm>
                            <a:off x="2468955" y="1873185"/>
                            <a:ext cx="1837171" cy="457380"/>
                          </a:xfrm>
                          <a:prstGeom prst="rect">
                            <a:avLst/>
                          </a:prstGeom>
                          <a:solidFill>
                            <a:srgbClr val="00A0DE"/>
                          </a:solidFill>
                          <a:ln w="9525">
                            <a:noFill/>
                            <a:miter lim="800000"/>
                            <a:headEnd/>
                            <a:tailEnd/>
                          </a:ln>
                        </wps:spPr>
                        <wps:txbx>
                          <w:txbxContent>
                            <w:p w:rsidR="00F84E4A" w:rsidRPr="00042C66" w:rsidRDefault="00F84E4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wps:txbx>
                        <wps:bodyPr wrap="square" lIns="36000" tIns="36000" rIns="36000" bIns="36000" anchor="ctr"/>
                      </wps:wsp>
                      <wps:wsp>
                        <wps:cNvPr id="410" name="Elbow Connector 24"/>
                        <wps:cNvCnPr>
                          <a:stCxn id="406" idx="3"/>
                          <a:endCxn id="409" idx="1"/>
                        </wps:cNvCnPr>
                        <wps:spPr bwMode="auto">
                          <a:xfrm>
                            <a:off x="2003449" y="1198084"/>
                            <a:ext cx="465506" cy="90379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1" name="Elbow Connector 25"/>
                        <wps:cNvCnPr>
                          <a:stCxn id="406" idx="3"/>
                          <a:endCxn id="408" idx="1"/>
                        </wps:cNvCnPr>
                        <wps:spPr bwMode="auto">
                          <a:xfrm flipV="1">
                            <a:off x="2003448" y="1198083"/>
                            <a:ext cx="465506" cy="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2" name="Elbow Connector 26"/>
                        <wps:cNvCnPr>
                          <a:stCxn id="406" idx="3"/>
                          <a:endCxn id="407" idx="1"/>
                        </wps:cNvCnPr>
                        <wps:spPr bwMode="auto">
                          <a:xfrm flipV="1">
                            <a:off x="2003449" y="326862"/>
                            <a:ext cx="465506" cy="871222"/>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3" name="Rectangle 27"/>
                        <wps:cNvSpPr>
                          <a:spLocks noChangeArrowheads="1"/>
                        </wps:cNvSpPr>
                        <wps:spPr bwMode="auto">
                          <a:xfrm>
                            <a:off x="4477540" y="1680607"/>
                            <a:ext cx="2926080" cy="756118"/>
                          </a:xfrm>
                          <a:prstGeom prst="rect">
                            <a:avLst/>
                          </a:prstGeom>
                          <a:solidFill>
                            <a:srgbClr val="00A0DE"/>
                          </a:solidFill>
                          <a:ln w="9525">
                            <a:noFill/>
                            <a:miter lim="800000"/>
                            <a:headEnd/>
                            <a:tailEnd/>
                          </a:ln>
                        </wps:spPr>
                        <wps:txbx>
                          <w:txbxContent>
                            <w:p w:rsidR="00F84E4A" w:rsidRPr="00042C66" w:rsidRDefault="00F84E4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wps:txbx>
                        <wps:bodyPr wrap="square" lIns="36000" tIns="36000" rIns="36000" bIns="36000" anchor="ctr"/>
                      </wps:wsp>
                      <wps:wsp>
                        <wps:cNvPr id="414" name="Rectangle 28"/>
                        <wps:cNvSpPr>
                          <a:spLocks noChangeArrowheads="1"/>
                        </wps:cNvSpPr>
                        <wps:spPr bwMode="auto">
                          <a:xfrm>
                            <a:off x="4476905" y="820024"/>
                            <a:ext cx="2925446" cy="756118"/>
                          </a:xfrm>
                          <a:prstGeom prst="rect">
                            <a:avLst/>
                          </a:prstGeom>
                          <a:solidFill>
                            <a:srgbClr val="00A0DE"/>
                          </a:solidFill>
                          <a:ln w="9525">
                            <a:noFill/>
                            <a:miter lim="800000"/>
                            <a:headEnd/>
                            <a:tailEnd/>
                          </a:ln>
                        </wps:spPr>
                        <wps:txbx>
                          <w:txbxContent>
                            <w:p w:rsidR="00F84E4A" w:rsidRPr="00042C66" w:rsidRDefault="00F84E4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wps:txbx>
                        <wps:bodyPr wrap="square" lIns="36000" tIns="36000" rIns="36000" bIns="36000" anchor="ctr"/>
                      </wps:wsp>
                      <wps:wsp>
                        <wps:cNvPr id="415" name="Rectangle 29"/>
                        <wps:cNvSpPr>
                          <a:spLocks noChangeArrowheads="1"/>
                        </wps:cNvSpPr>
                        <wps:spPr bwMode="auto">
                          <a:xfrm>
                            <a:off x="4477540" y="-32276"/>
                            <a:ext cx="2925445" cy="756118"/>
                          </a:xfrm>
                          <a:prstGeom prst="rect">
                            <a:avLst/>
                          </a:prstGeom>
                          <a:solidFill>
                            <a:srgbClr val="81BC00"/>
                          </a:solidFill>
                          <a:ln w="9525">
                            <a:noFill/>
                            <a:miter lim="800000"/>
                            <a:headEnd/>
                            <a:tailEnd/>
                          </a:ln>
                        </wps:spPr>
                        <wps:txbx>
                          <w:txbxContent>
                            <w:p w:rsidR="00F84E4A" w:rsidRPr="00042C66" w:rsidRDefault="00F84E4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wps:txbx>
                        <wps:bodyPr wrap="square" lIns="36000" tIns="36000" rIns="36000" bIns="36000" anchor="ctr"/>
                      </wps:wsp>
                    </wpg:wgp>
                  </a:graphicData>
                </a:graphic>
              </wp:inline>
            </w:drawing>
          </mc:Choice>
          <mc:Fallback>
            <w:pict>
              <v:group id="Group 4" o:spid="_x0000_s1026" style="width:342.4pt;height:200.1pt;mso-position-horizontal-relative:char;mso-position-vertical-relative:line" coordorigin=",-322" coordsize="74036,2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">
                <v:rect id="Rectangle 14" o:spid="_x0000_s1027" style="position:absolute;top:8428;width:20034;height:7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y8YA&#10;AADcAAAADwAAAGRycy9kb3ducmV2LnhtbESPT2vCQBTE70K/w/KE3nRXKbFGV0mFloJ40Prv+Mg+&#10;k2D2bchuNf32bqHQ4zAzv2Hmy87W4katrxxrGA0VCOLcmYoLDfuv98ErCB+QDdaOScMPeVgunnpz&#10;TI2785Zuu1CICGGfooYyhCaV0uclWfRD1xBH7+JaiyHKtpCmxXuE21qOlUqkxYrjQokNrUrKr7tv&#10;q+G08W/nyfpjfdweptnmPL1meaK0fu532QxEoC78h//an0bDi0r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b+y8YAAADcAAAADwAAAAAAAAAAAAAAAACYAgAAZHJz&#10;L2Rvd25yZXYueG1sUEsFBgAAAAAEAAQA9QAAAIsDAAAAAA==&#10;" fillcolor="#00a0de" stroked="f">
                  <v:textbox inset="1mm,1mm,1mm,1mm">
                    <w:txbxContent>
                      <w:p w:rsidR="00F84E4A" w:rsidRPr="00042C66" w:rsidRDefault="00F84E4A" w:rsidP="009F2DFA">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v:textbox>
                </v:rect>
                <v:rect id="Rectangle 16" o:spid="_x0000_s1028" style="position:absolute;left:24689;top:981;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VRMYA&#10;AADcAAAADwAAAGRycy9kb3ducmV2LnhtbESPQWvCQBSE70L/w/IKvUjdVK2W1E0QS1EQhEah10f2&#10;NQnNvo3ZbRL/vSsIPQ4z8w2zSgdTi45aV1lW8DKJQBDnVldcKDgdP5/fQDiPrLG2TAou5CBNHkYr&#10;jLXt+Yu6zBciQNjFqKD0vomldHlJBt3ENsTB+7GtQR9kW0jdYh/gppbTKFpIgxWHhRIb2pSU/2Z/&#10;RsEh84vxx/SwnJ3P/b4ztP22r6zU0+OwfgfhafD/4Xt7pxXMoyX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XVRMYAAADcAAAADwAAAAAAAAAAAAAAAACYAgAAZHJz&#10;L2Rvd25yZXYueG1sUEsFBgAAAAAEAAQA9QAAAIsDAAAAAA==&#10;" fillcolor="#81bc00" stroked="f">
                  <v:textbox inset="1mm,1mm,1mm,1mm">
                    <w:txbxContent>
                      <w:p w:rsidR="00F84E4A" w:rsidRPr="00042C66" w:rsidRDefault="00F84E4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v:textbox>
                </v:rect>
                <v:rect id="Rectangle 21" o:spid="_x0000_s1029" style="position:absolute;left:24689;top:9693;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PIsQA&#10;AADcAAAADwAAAGRycy9kb3ducmV2LnhtbERPy2rCQBTdC/2H4Rbc6UxLsTV1ImmhIogLU1/LS+Y2&#10;CWbuhMwY07/vLAouD+e9WA62ET11vnas4WmqQBAXztRcath/f03eQPiAbLBxTBp+ycMyfRgtMDHu&#10;xjvq81CKGMI+QQ1VCG0ipS8qsuinriWO3I/rLIYIu1KaDm8x3DbyWamZtFhzbKiwpc+Kikt+tRpO&#10;W/9xft2sNsfdYZ5tz/NLVsyU1uPHIXsHEWgId/G/e200vKi4Np6JR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FzyLEAAAA3AAAAA8AAAAAAAAAAAAAAAAAmAIAAGRycy9k&#10;b3ducmV2LnhtbFBLBQYAAAAABAAEAPUAAACJAwAAAAA=&#10;" fillcolor="#00a0de" stroked="f">
                  <v:textbox inset="1mm,1mm,1mm,1mm">
                    <w:txbxContent>
                      <w:p w:rsidR="00F84E4A" w:rsidRPr="00042C66" w:rsidRDefault="00F84E4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v:textbox>
                </v:rect>
                <v:rect id="Rectangle 23" o:spid="_x0000_s1030" style="position:absolute;left:24689;top:18731;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qucYA&#10;AADcAAAADwAAAGRycy9kb3ducmV2LnhtbESPT2vCQBTE70K/w/KE3nRXKdpEV0mFloJ40Prv+Mg+&#10;k2D2bchuNf32bqHQ4zAzv2Hmy87W4katrxxrGA0VCOLcmYoLDfuv98ErCB+QDdaOScMPeVgunnpz&#10;TI2785Zuu1CICGGfooYyhCaV0uclWfRD1xBH7+JaiyHKtpCmxXuE21qOlZpIixXHhRIbWpWUX3ff&#10;VsNp49/O0/XH+rg9JNnmnFyzfKK0fu532QxEoC78h//an0bDi0r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lqucYAAADcAAAADwAAAAAAAAAAAAAAAACYAgAAZHJz&#10;L2Rvd25yZXYueG1sUEsFBgAAAAAEAAQA9QAAAIsDAAAAAA==&#10;" fillcolor="#00a0de" stroked="f">
                  <v:textbox inset="1mm,1mm,1mm,1mm">
                    <w:txbxContent>
                      <w:p w:rsidR="00F84E4A" w:rsidRPr="00042C66" w:rsidRDefault="00F84E4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31" type="#_x0000_t34" style="position:absolute;left:20034;top:11980;width:4655;height:90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Wnr0AAADcAAAADwAAAGRycy9kb3ducmV2LnhtbERPuwrCMBTdBf8hXMFNU0VEalMRQXBR&#10;8LG4XZprW2xuShPb6tebQXA8nHey6U0lWmpcaVnBbBqBIM6sLjlXcLvuJysQziNrrCyTgjc52KTD&#10;QYKxth2fqb34XIQQdjEqKLyvYyldVpBBN7U1ceAetjHoA2xyqRvsQrip5DyKltJgyaGhwJp2BWXP&#10;y8soaCO81117XJ7MFd/3j9tmznRKjUf9dg3CU+//4p/7oBUsZm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MTFp69AAAA3AAAAA8AAAAAAAAAAAAAAAAAoQIA&#10;AGRycy9kb3ducmV2LnhtbFBLBQYAAAAABAAEAPkAAACLAwAAAAA=&#10;" strokecolor="#006">
                  <v:stroke endarrow="open" joinstyle="round"/>
                </v:shape>
                <v:shape id="Elbow Connector 25" o:spid="_x0000_s1032" type="#_x0000_t34" style="position:absolute;left:20034;top:11980;width:4655;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qSsUAAADcAAAADwAAAGRycy9kb3ducmV2LnhtbESP0WrCQBRE3wv+w3ILvtVNgtiauopW&#10;BOlLifoBl+xtEpq9m2S3MfHru4LQx2FmzjCrzWBq0VPnKssK4lkEgji3uuJCweV8eHkD4Tyyxtoy&#10;KRjJwWY9eVphqu2VM+pPvhABwi5FBaX3TSqly0sy6Ga2IQ7et+0M+iC7QuoOrwFuaplE0UIarDgs&#10;lNjQR0n5z+nXKPhaZu1uf+y3WXuLXy/4ObZJMio1fR627yA8Df4//GgftYJ5HMP9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uqSsUAAADcAAAADwAAAAAAAAAA&#10;AAAAAAChAgAAZHJzL2Rvd25yZXYueG1sUEsFBgAAAAAEAAQA+QAAAJMDAAAAAA==&#10;" strokecolor="#006">
                  <v:stroke endarrow="open" joinstyle="round"/>
                </v:shape>
                <v:shape id="Elbow Connector 26" o:spid="_x0000_s1033" type="#_x0000_t34" style="position:absolute;left:20034;top:3268;width:4655;height:871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0PcUAAADcAAAADwAAAGRycy9kb3ducmV2LnhtbESP0WrCQBRE3wv+w3ILvtVNgtiauopW&#10;BOlLifoBl+xtEpq9m2S3MfHru4LQx2FmzjCrzWBq0VPnKssK4lkEgji3uuJCweV8eHkD4Tyyxtoy&#10;KRjJwWY9eVphqu2VM+pPvhABwi5FBaX3TSqly0sy6Ga2IQ7et+0M+iC7QuoOrwFuaplE0UIarDgs&#10;lNjQR0n5z+nXKPhaZu1uf+y3WXuLXy/4ObZJMio1fR627yA8Df4//GgftYJ5nMD9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k0PcUAAADcAAAADwAAAAAAAAAA&#10;AAAAAAChAgAAZHJzL2Rvd25yZXYueG1sUEsFBgAAAAAEAAQA+QAAAJMDAAAAAA==&#10;" strokecolor="#006">
                  <v:stroke endarrow="open" joinstyle="round"/>
                </v:shape>
                <v:rect id="Rectangle 27" o:spid="_x0000_s1034" style="position:absolute;left:44775;top:16806;width:29261;height:7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jscA&#10;AADcAAAADwAAAGRycy9kb3ducmV2LnhtbESPT2vCQBTE7wW/w/IKvdWNVrRGV0kLFUE8GOuf4yP7&#10;mgSzb0N2q/Hbu4LgcZiZ3zDTeWsqcabGlZYV9LoRCOLM6pJzBb/bn/dPEM4ja6wsk4IrOZjPOi9T&#10;jLW98IbOqc9FgLCLUUHhfR1L6bKCDLqurYmD92cbgz7IJpe6wUuAm0r2o2goDZYcFgqs6bug7JT+&#10;GwWHtfs6jlaL1X6zGyfr4/iUZMNIqbfXNpmA8NT6Z/jRXmoFg94H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4y47HAAAA3AAAAA8AAAAAAAAAAAAAAAAAmAIAAGRy&#10;cy9kb3ducmV2LnhtbFBLBQYAAAAABAAEAPUAAACMAwAAAAA=&#10;" fillcolor="#00a0de" stroked="f">
                  <v:textbox inset="1mm,1mm,1mm,1mm">
                    <w:txbxContent>
                      <w:p w:rsidR="00F84E4A" w:rsidRPr="00042C66" w:rsidRDefault="00F84E4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v:textbox>
                </v:rect>
                <v:rect id="Rectangle 28" o:spid="_x0000_s1035" style="position:absolute;left:44769;top:8200;width:29254;height:7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T+sUA&#10;AADcAAAADwAAAGRycy9kb3ducmV2LnhtbESPS4vCQBCE74L/YWhhbzpxER9ZR8kKiiAefHtsMr1J&#10;MNMTMrOa/ffOguCxqKqvqOm8MaW4U+0Kywr6vQgEcWp1wZmC42HZHYNwHlljaZkU/JGD+azdmmKs&#10;7YN3dN/7TAQIuxgV5N5XsZQuzcmg69mKOHg/tjbog6wzqWt8BLgp5WcUDaXBgsNCjhUtckpv+1+j&#10;4LJ139fRZrU5706TZHud3JJ0GCn10WmSLxCeGv8Ov9prrWDQH8D/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VP6xQAAANwAAAAPAAAAAAAAAAAAAAAAAJgCAABkcnMv&#10;ZG93bnJldi54bWxQSwUGAAAAAAQABAD1AAAAigMAAAAA&#10;" fillcolor="#00a0de" stroked="f">
                  <v:textbox inset="1mm,1mm,1mm,1mm">
                    <w:txbxContent>
                      <w:p w:rsidR="00F84E4A" w:rsidRPr="00042C66" w:rsidRDefault="00F84E4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v:textbox>
                </v:rect>
                <v:rect id="Rectangle 29" o:spid="_x0000_s1036" style="position:absolute;left:44775;top:-322;width:29254;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4dcYA&#10;AADcAAAADwAAAGRycy9kb3ducmV2LnhtbESPQWvCQBSE74L/YXlCL6IbbbUS3YTSUioUBKPQ6yP7&#10;TILZtzG7TdJ/3xUKPQ4z8w2zSwdTi45aV1lWsJhHIIhzqysuFJxP77MNCOeRNdaWScEPOUiT8WiH&#10;sbY9H6nLfCEChF2MCkrvm1hKl5dk0M1tQxy8i20N+iDbQuoW+wA3tVxG0VoarDgslNjQa0n5Nfs2&#10;Cg6ZX0/flofnx9ut/+wMfXzZFSv1MBletiA8Df4//NfeawVPixXcz4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J4dcYAAADcAAAADwAAAAAAAAAAAAAAAACYAgAAZHJz&#10;L2Rvd25yZXYueG1sUEsFBgAAAAAEAAQA9QAAAIsDAAAAAA==&#10;" fillcolor="#81bc00" stroked="f">
                  <v:textbox inset="1mm,1mm,1mm,1mm">
                    <w:txbxContent>
                      <w:p w:rsidR="00F84E4A" w:rsidRPr="00042C66" w:rsidRDefault="00F84E4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v:textbox>
                </v:rect>
                <w10:anchorlock/>
              </v:group>
            </w:pict>
          </mc:Fallback>
        </mc:AlternateConten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hAnsi="Times New Roman"/>
          <w:sz w:val="24"/>
        </w:rPr>
        <w:t>Kalkulácia nákladov regulácie vychádza z metodiky štandardného nákladového modelu (SCM).</w:t>
      </w:r>
      <w:r w:rsidRPr="00042C66">
        <w:rPr>
          <w:rFonts w:ascii="Times New Roman" w:eastAsiaTheme="minorHAnsi" w:hAnsi="Times New Roman"/>
          <w:color w:val="auto"/>
          <w:sz w:val="24"/>
          <w:szCs w:val="22"/>
        </w:rPr>
        <w:t xml:space="preserve"> Jej podstatou je rozklad regulácie a paragrafového znenia do súboru menších, ľahšie merateľných komponentov – povinností, s následným nákladovým vyjadrením ich plnenia. </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Vyčíslenie nákladov jednej povinnosti je založené na postupnosti štyroch jednoduchých krokov, ktoré musí predkladateľ v rámci kalkulácie vykonať:</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t>Krok 1 – Stanovenie časovej náročnosti plnenia povinností</w:t>
      </w:r>
    </w:p>
    <w:p w:rsidR="009F2DFA" w:rsidRPr="00042C66" w:rsidRDefault="009F2DFA" w:rsidP="009F2DFA">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Pri priraďovaní časovej náročnosti plnenia povinnosti je možné využiť dva základné prístupy:</w:t>
      </w:r>
    </w:p>
    <w:p w:rsidR="009F2DFA" w:rsidRPr="00042C66" w:rsidRDefault="009F2DFA" w:rsidP="009F2DFA">
      <w:pPr>
        <w:pStyle w:val="BodyText1"/>
        <w:numPr>
          <w:ilvl w:val="0"/>
          <w:numId w:val="5"/>
        </w:numPr>
        <w:jc w:val="both"/>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 xml:space="preserve">Štandardná časová náročnosť povinnosti (min.)  </w:t>
      </w:r>
    </w:p>
    <w:p w:rsidR="009F2DFA" w:rsidRDefault="009F2DFA" w:rsidP="00780BA6">
      <w:pPr>
        <w:pStyle w:val="BodyText1"/>
        <w:spacing w:line="276" w:lineRule="auto"/>
        <w:ind w:left="708"/>
        <w:jc w:val="both"/>
        <w:rPr>
          <w:i/>
        </w:rPr>
      </w:pPr>
      <w:r w:rsidRPr="00042C66">
        <w:rPr>
          <w:rFonts w:ascii="Times New Roman" w:eastAsiaTheme="minorHAnsi" w:hAnsi="Times New Roman"/>
          <w:color w:val="auto"/>
          <w:sz w:val="24"/>
          <w:szCs w:val="22"/>
        </w:rPr>
        <w:t>Predkladateľ vyberie jednu z 10  typických informačných povinností, ktorým sú priradené štandardizované časové náročnosti uvedené v tabuľke. V prípade, že by sa jednalo o obšírnejšiu povinnosť, je možné v rámci jednej povinnosti zvoliť kombináciu až troch typických informačných povinností (napr. povinnosť vypracovania dokumentu a jeho predloženie príslušnému úradu).</w:t>
      </w:r>
      <w:r>
        <w:rPr>
          <w:i/>
        </w:rPr>
        <w:br w:type="page"/>
      </w:r>
    </w:p>
    <w:tbl>
      <w:tblPr>
        <w:tblpPr w:leftFromText="181" w:rightFromText="181" w:vertAnchor="page" w:horzAnchor="margin" w:tblpY="1711"/>
        <w:tblOverlap w:val="never"/>
        <w:tblW w:w="5000" w:type="pct"/>
        <w:tblLayout w:type="fixed"/>
        <w:tblCellMar>
          <w:left w:w="28" w:type="dxa"/>
          <w:right w:w="28" w:type="dxa"/>
        </w:tblCellMar>
        <w:tblLook w:val="04A0" w:firstRow="1" w:lastRow="0" w:firstColumn="1" w:lastColumn="0" w:noHBand="0" w:noVBand="1"/>
      </w:tblPr>
      <w:tblGrid>
        <w:gridCol w:w="3724"/>
        <w:gridCol w:w="953"/>
        <w:gridCol w:w="1607"/>
        <w:gridCol w:w="1258"/>
        <w:gridCol w:w="1586"/>
      </w:tblGrid>
      <w:tr w:rsidR="009F2DFA" w:rsidRPr="00042C66" w:rsidTr="00F84E4A">
        <w:trPr>
          <w:trHeight w:val="170"/>
        </w:trPr>
        <w:tc>
          <w:tcPr>
            <w:tcW w:w="2040" w:type="pct"/>
            <w:shd w:val="clear" w:color="auto" w:fill="92D400"/>
            <w:vAlign w:val="center"/>
            <w:hideMark/>
          </w:tcPr>
          <w:p w:rsidR="009F2DFA" w:rsidRPr="00074919" w:rsidRDefault="009F2DFA" w:rsidP="00F84E4A">
            <w:pPr>
              <w:jc w:val="center"/>
              <w:rPr>
                <w:b/>
                <w:color w:val="FFFFFF" w:themeColor="background1"/>
                <w:szCs w:val="16"/>
              </w:rPr>
            </w:pPr>
            <w:r w:rsidRPr="00074919">
              <w:rPr>
                <w:b/>
                <w:color w:val="FFFFFF" w:themeColor="background1"/>
                <w:szCs w:val="16"/>
              </w:rPr>
              <w:lastRenderedPageBreak/>
              <w:t>Typické IP</w:t>
            </w:r>
          </w:p>
        </w:tc>
        <w:tc>
          <w:tcPr>
            <w:tcW w:w="522" w:type="pct"/>
            <w:shd w:val="clear" w:color="auto" w:fill="92D400"/>
            <w:vAlign w:val="center"/>
          </w:tcPr>
          <w:p w:rsidR="009F2DFA" w:rsidRPr="00074919" w:rsidRDefault="009F2DFA" w:rsidP="00F84E4A">
            <w:pPr>
              <w:jc w:val="center"/>
              <w:rPr>
                <w:b/>
                <w:color w:val="FFFFFF" w:themeColor="background1"/>
                <w:szCs w:val="16"/>
              </w:rPr>
            </w:pPr>
            <w:proofErr w:type="spellStart"/>
            <w:r w:rsidRPr="00074919">
              <w:rPr>
                <w:b/>
                <w:color w:val="FFFFFF" w:themeColor="background1"/>
                <w:szCs w:val="16"/>
              </w:rPr>
              <w:t>Mikro</w:t>
            </w:r>
            <w:proofErr w:type="spellEnd"/>
          </w:p>
        </w:tc>
        <w:tc>
          <w:tcPr>
            <w:tcW w:w="880" w:type="pct"/>
            <w:shd w:val="clear" w:color="auto" w:fill="92D400"/>
            <w:vAlign w:val="center"/>
          </w:tcPr>
          <w:p w:rsidR="009F2DFA" w:rsidRPr="00074919" w:rsidRDefault="009F2DFA" w:rsidP="00F84E4A">
            <w:pPr>
              <w:jc w:val="center"/>
              <w:rPr>
                <w:b/>
                <w:color w:val="FFFFFF" w:themeColor="background1"/>
                <w:szCs w:val="16"/>
              </w:rPr>
            </w:pPr>
            <w:r w:rsidRPr="00074919">
              <w:rPr>
                <w:b/>
                <w:color w:val="FFFFFF" w:themeColor="background1"/>
                <w:szCs w:val="16"/>
              </w:rPr>
              <w:t>Malé a stredné</w:t>
            </w:r>
          </w:p>
        </w:tc>
        <w:tc>
          <w:tcPr>
            <w:tcW w:w="689" w:type="pct"/>
            <w:tcBorders>
              <w:right w:val="single" w:sz="8" w:space="0" w:color="92D050"/>
            </w:tcBorders>
            <w:shd w:val="clear" w:color="auto" w:fill="92D400"/>
            <w:vAlign w:val="center"/>
          </w:tcPr>
          <w:p w:rsidR="009F2DFA" w:rsidRPr="00074919" w:rsidRDefault="009F2DFA" w:rsidP="00F84E4A">
            <w:pPr>
              <w:jc w:val="center"/>
              <w:rPr>
                <w:b/>
                <w:color w:val="FFFFFF" w:themeColor="background1"/>
                <w:szCs w:val="16"/>
              </w:rPr>
            </w:pPr>
            <w:r w:rsidRPr="00074919">
              <w:rPr>
                <w:b/>
                <w:color w:val="FFFFFF" w:themeColor="background1"/>
                <w:szCs w:val="16"/>
              </w:rPr>
              <w:t>Veľké</w:t>
            </w:r>
          </w:p>
        </w:tc>
        <w:tc>
          <w:tcPr>
            <w:tcW w:w="869" w:type="pct"/>
            <w:tcBorders>
              <w:left w:val="single" w:sz="8" w:space="0" w:color="92D050"/>
            </w:tcBorders>
            <w:shd w:val="clear" w:color="auto" w:fill="92D400"/>
            <w:vAlign w:val="center"/>
            <w:hideMark/>
          </w:tcPr>
          <w:p w:rsidR="009F2DFA" w:rsidRPr="00074919" w:rsidRDefault="009F2DFA" w:rsidP="00F84E4A">
            <w:pPr>
              <w:jc w:val="center"/>
              <w:rPr>
                <w:b/>
                <w:color w:val="FFFFFF" w:themeColor="background1"/>
                <w:szCs w:val="16"/>
              </w:rPr>
            </w:pPr>
            <w:r w:rsidRPr="00074919">
              <w:rPr>
                <w:b/>
                <w:color w:val="FFFFFF" w:themeColor="background1"/>
                <w:szCs w:val="16"/>
              </w:rPr>
              <w:t>Vážený priemer použitý pre kalkuláciu</w:t>
            </w:r>
          </w:p>
        </w:tc>
      </w:tr>
      <w:tr w:rsidR="009F2DFA" w:rsidRPr="00042C66" w:rsidTr="00F84E4A">
        <w:trPr>
          <w:trHeight w:val="170"/>
        </w:trPr>
        <w:tc>
          <w:tcPr>
            <w:tcW w:w="2040" w:type="pct"/>
            <w:tcBorders>
              <w:top w:val="nil"/>
              <w:left w:val="nil"/>
              <w:bottom w:val="single" w:sz="4" w:space="0" w:color="92D400"/>
              <w:right w:val="nil"/>
            </w:tcBorders>
            <w:vAlign w:val="center"/>
            <w:hideMark/>
          </w:tcPr>
          <w:p w:rsidR="009F2DFA" w:rsidRPr="00042C66" w:rsidRDefault="009F2DFA" w:rsidP="00F84E4A">
            <w:pPr>
              <w:rPr>
                <w:sz w:val="16"/>
                <w:szCs w:val="16"/>
              </w:rPr>
            </w:pPr>
            <w:r w:rsidRPr="00042C66">
              <w:rPr>
                <w:bCs/>
                <w:color w:val="000000"/>
                <w:sz w:val="16"/>
                <w:szCs w:val="16"/>
              </w:rPr>
              <w:t>Archivácia</w:t>
            </w:r>
          </w:p>
        </w:tc>
        <w:tc>
          <w:tcPr>
            <w:tcW w:w="522" w:type="pct"/>
            <w:tcBorders>
              <w:top w:val="nil"/>
              <w:left w:val="nil"/>
              <w:bottom w:val="single" w:sz="4" w:space="0" w:color="92D400"/>
              <w:right w:val="nil"/>
            </w:tcBorders>
            <w:vAlign w:val="center"/>
          </w:tcPr>
          <w:p w:rsidR="009F2DFA" w:rsidRPr="00042C66" w:rsidRDefault="009F2DFA" w:rsidP="00F84E4A">
            <w:pPr>
              <w:jc w:val="center"/>
              <w:rPr>
                <w:sz w:val="16"/>
                <w:szCs w:val="16"/>
              </w:rPr>
            </w:pPr>
            <w:r>
              <w:rPr>
                <w:sz w:val="16"/>
                <w:szCs w:val="16"/>
              </w:rPr>
              <w:t xml:space="preserve">  </w:t>
            </w:r>
            <w:r w:rsidRPr="00042C66">
              <w:rPr>
                <w:sz w:val="16"/>
                <w:szCs w:val="16"/>
              </w:rPr>
              <w:t>45</w:t>
            </w:r>
          </w:p>
        </w:tc>
        <w:tc>
          <w:tcPr>
            <w:tcW w:w="880" w:type="pct"/>
            <w:tcBorders>
              <w:top w:val="nil"/>
              <w:left w:val="nil"/>
              <w:bottom w:val="single" w:sz="4" w:space="0" w:color="92D400"/>
              <w:right w:val="nil"/>
            </w:tcBorders>
            <w:vAlign w:val="center"/>
          </w:tcPr>
          <w:p w:rsidR="009F2DFA" w:rsidRPr="00042C66" w:rsidRDefault="009F2DFA" w:rsidP="00F84E4A">
            <w:pPr>
              <w:jc w:val="center"/>
              <w:rPr>
                <w:sz w:val="16"/>
                <w:szCs w:val="16"/>
              </w:rPr>
            </w:pPr>
            <w:r>
              <w:rPr>
                <w:sz w:val="16"/>
                <w:szCs w:val="16"/>
              </w:rPr>
              <w:t xml:space="preserve">  </w:t>
            </w:r>
            <w:r w:rsidRPr="00042C66">
              <w:rPr>
                <w:sz w:val="16"/>
                <w:szCs w:val="16"/>
              </w:rPr>
              <w:t>90</w:t>
            </w:r>
          </w:p>
        </w:tc>
        <w:tc>
          <w:tcPr>
            <w:tcW w:w="689" w:type="pct"/>
            <w:tcBorders>
              <w:top w:val="nil"/>
              <w:left w:val="nil"/>
              <w:bottom w:val="single" w:sz="4" w:space="0" w:color="92D400"/>
              <w:right w:val="single" w:sz="8" w:space="0" w:color="92D050"/>
            </w:tcBorders>
            <w:vAlign w:val="center"/>
          </w:tcPr>
          <w:p w:rsidR="009F2DFA" w:rsidRPr="00042C66" w:rsidRDefault="009F2DFA" w:rsidP="00F84E4A">
            <w:pPr>
              <w:jc w:val="center"/>
              <w:rPr>
                <w:sz w:val="16"/>
                <w:szCs w:val="16"/>
              </w:rPr>
            </w:pPr>
            <w:r>
              <w:rPr>
                <w:sz w:val="16"/>
                <w:szCs w:val="16"/>
              </w:rPr>
              <w:t xml:space="preserve">  </w:t>
            </w:r>
            <w:r w:rsidRPr="00042C66">
              <w:rPr>
                <w:sz w:val="16"/>
                <w:szCs w:val="16"/>
              </w:rPr>
              <w:t>180</w:t>
            </w:r>
          </w:p>
        </w:tc>
        <w:tc>
          <w:tcPr>
            <w:tcW w:w="869" w:type="pct"/>
            <w:tcBorders>
              <w:top w:val="nil"/>
              <w:left w:val="single" w:sz="8" w:space="0" w:color="92D050"/>
              <w:bottom w:val="single" w:sz="4" w:space="0" w:color="92D400"/>
              <w:right w:val="nil"/>
            </w:tcBorders>
            <w:vAlign w:val="center"/>
            <w:hideMark/>
          </w:tcPr>
          <w:p w:rsidR="009F2DFA" w:rsidRPr="00042C66" w:rsidRDefault="009F2DFA" w:rsidP="00F84E4A">
            <w:pPr>
              <w:jc w:val="center"/>
              <w:rPr>
                <w:b/>
                <w:sz w:val="16"/>
                <w:szCs w:val="16"/>
              </w:rPr>
            </w:pPr>
            <w:r>
              <w:rPr>
                <w:b/>
                <w:sz w:val="16"/>
                <w:szCs w:val="16"/>
              </w:rPr>
              <w:t xml:space="preserve">  </w:t>
            </w:r>
            <w:r w:rsidRPr="00042C66">
              <w:rPr>
                <w:b/>
                <w:sz w:val="16"/>
                <w:szCs w:val="16"/>
              </w:rPr>
              <w:t>60 min.</w:t>
            </w:r>
          </w:p>
        </w:tc>
      </w:tr>
      <w:tr w:rsidR="009F2DFA" w:rsidRPr="00042C66" w:rsidTr="00F84E4A">
        <w:trPr>
          <w:trHeight w:val="170"/>
        </w:trPr>
        <w:tc>
          <w:tcPr>
            <w:tcW w:w="2040" w:type="pct"/>
            <w:tcBorders>
              <w:top w:val="nil"/>
              <w:left w:val="nil"/>
              <w:bottom w:val="single" w:sz="4" w:space="0" w:color="92D400"/>
              <w:right w:val="nil"/>
            </w:tcBorders>
            <w:vAlign w:val="center"/>
          </w:tcPr>
          <w:p w:rsidR="009F2DFA" w:rsidRPr="00042C66" w:rsidRDefault="009F2DFA" w:rsidP="00F84E4A">
            <w:pPr>
              <w:rPr>
                <w:sz w:val="16"/>
                <w:szCs w:val="16"/>
              </w:rPr>
            </w:pPr>
            <w:r w:rsidRPr="00042C66">
              <w:rPr>
                <w:sz w:val="16"/>
                <w:szCs w:val="16"/>
              </w:rPr>
              <w:t>Evidencia, vedenie dokumentácie</w:t>
            </w:r>
          </w:p>
        </w:tc>
        <w:tc>
          <w:tcPr>
            <w:tcW w:w="522" w:type="pct"/>
            <w:tcBorders>
              <w:top w:val="nil"/>
              <w:left w:val="nil"/>
              <w:bottom w:val="single" w:sz="4" w:space="0" w:color="92D400"/>
              <w:right w:val="nil"/>
            </w:tcBorders>
            <w:vAlign w:val="center"/>
          </w:tcPr>
          <w:p w:rsidR="009F2DFA" w:rsidRPr="00042C66" w:rsidRDefault="009F2DFA" w:rsidP="00F84E4A">
            <w:pPr>
              <w:jc w:val="center"/>
              <w:rPr>
                <w:sz w:val="16"/>
                <w:szCs w:val="16"/>
              </w:rPr>
            </w:pPr>
            <w:r w:rsidRPr="00042C66">
              <w:rPr>
                <w:sz w:val="16"/>
                <w:szCs w:val="16"/>
              </w:rPr>
              <w:t>240</w:t>
            </w:r>
          </w:p>
        </w:tc>
        <w:tc>
          <w:tcPr>
            <w:tcW w:w="880" w:type="pct"/>
            <w:tcBorders>
              <w:top w:val="nil"/>
              <w:left w:val="nil"/>
              <w:bottom w:val="single" w:sz="4" w:space="0" w:color="92D400"/>
              <w:right w:val="nil"/>
            </w:tcBorders>
            <w:vAlign w:val="center"/>
          </w:tcPr>
          <w:p w:rsidR="009F2DFA" w:rsidRPr="00042C66" w:rsidRDefault="009F2DFA" w:rsidP="00F84E4A">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rsidR="009F2DFA" w:rsidRPr="00042C66" w:rsidRDefault="009F2DFA" w:rsidP="00F84E4A">
            <w:pPr>
              <w:jc w:val="center"/>
              <w:rPr>
                <w:sz w:val="16"/>
                <w:szCs w:val="16"/>
              </w:rPr>
            </w:pPr>
            <w:r>
              <w:rPr>
                <w:sz w:val="16"/>
                <w:szCs w:val="16"/>
              </w:rPr>
              <w:t xml:space="preserve">  </w:t>
            </w:r>
            <w:r w:rsidRPr="00042C66">
              <w:rPr>
                <w:sz w:val="16"/>
                <w:szCs w:val="16"/>
              </w:rPr>
              <w:t>720</w:t>
            </w:r>
          </w:p>
        </w:tc>
        <w:tc>
          <w:tcPr>
            <w:tcW w:w="869" w:type="pct"/>
            <w:tcBorders>
              <w:top w:val="nil"/>
              <w:left w:val="single" w:sz="8" w:space="0" w:color="92D050"/>
              <w:bottom w:val="single" w:sz="4" w:space="0" w:color="92D400"/>
              <w:right w:val="nil"/>
            </w:tcBorders>
            <w:vAlign w:val="center"/>
          </w:tcPr>
          <w:p w:rsidR="009F2DFA" w:rsidRPr="00042C66" w:rsidRDefault="009F2DFA" w:rsidP="00F84E4A">
            <w:pPr>
              <w:jc w:val="center"/>
              <w:rPr>
                <w:b/>
                <w:sz w:val="16"/>
                <w:szCs w:val="16"/>
              </w:rPr>
            </w:pPr>
            <w:r w:rsidRPr="00042C66">
              <w:rPr>
                <w:b/>
                <w:sz w:val="16"/>
                <w:szCs w:val="16"/>
              </w:rPr>
              <w:t>300 min.</w:t>
            </w:r>
          </w:p>
        </w:tc>
      </w:tr>
      <w:tr w:rsidR="009F2DFA" w:rsidRPr="00042C66" w:rsidTr="00F84E4A">
        <w:trPr>
          <w:trHeight w:val="170"/>
        </w:trPr>
        <w:tc>
          <w:tcPr>
            <w:tcW w:w="2040" w:type="pct"/>
            <w:tcBorders>
              <w:top w:val="nil"/>
              <w:left w:val="nil"/>
              <w:bottom w:val="single" w:sz="4" w:space="0" w:color="92D400"/>
              <w:right w:val="nil"/>
            </w:tcBorders>
            <w:vAlign w:val="center"/>
          </w:tcPr>
          <w:p w:rsidR="009F2DFA" w:rsidRPr="00042C66" w:rsidRDefault="009F2DFA" w:rsidP="00F84E4A">
            <w:pPr>
              <w:rPr>
                <w:sz w:val="16"/>
                <w:szCs w:val="16"/>
              </w:rPr>
            </w:pPr>
            <w:r w:rsidRPr="00042C66">
              <w:rPr>
                <w:sz w:val="16"/>
                <w:szCs w:val="16"/>
              </w:rPr>
              <w:t>Inventarizácia</w:t>
            </w:r>
          </w:p>
        </w:tc>
        <w:tc>
          <w:tcPr>
            <w:tcW w:w="522" w:type="pct"/>
            <w:tcBorders>
              <w:top w:val="nil"/>
              <w:left w:val="nil"/>
              <w:bottom w:val="single" w:sz="4" w:space="0" w:color="92D400"/>
              <w:right w:val="nil"/>
            </w:tcBorders>
            <w:vAlign w:val="center"/>
          </w:tcPr>
          <w:p w:rsidR="009F2DFA" w:rsidRPr="00042C66" w:rsidRDefault="009F2DFA" w:rsidP="00F84E4A">
            <w:pPr>
              <w:jc w:val="center"/>
              <w:rPr>
                <w:sz w:val="16"/>
                <w:szCs w:val="16"/>
              </w:rPr>
            </w:pPr>
            <w:r w:rsidRPr="00042C66">
              <w:rPr>
                <w:sz w:val="16"/>
                <w:szCs w:val="16"/>
              </w:rPr>
              <w:t>360</w:t>
            </w:r>
          </w:p>
        </w:tc>
        <w:tc>
          <w:tcPr>
            <w:tcW w:w="880" w:type="pct"/>
            <w:tcBorders>
              <w:top w:val="nil"/>
              <w:left w:val="nil"/>
              <w:bottom w:val="single" w:sz="4" w:space="0" w:color="92D400"/>
              <w:right w:val="nil"/>
            </w:tcBorders>
            <w:vAlign w:val="center"/>
          </w:tcPr>
          <w:p w:rsidR="009F2DFA" w:rsidRPr="00042C66" w:rsidRDefault="009F2DFA" w:rsidP="00F84E4A">
            <w:pPr>
              <w:jc w:val="center"/>
              <w:rPr>
                <w:sz w:val="16"/>
                <w:szCs w:val="16"/>
              </w:rPr>
            </w:pPr>
            <w:r w:rsidRPr="00042C66">
              <w:rPr>
                <w:sz w:val="16"/>
                <w:szCs w:val="16"/>
              </w:rPr>
              <w:t>720</w:t>
            </w:r>
          </w:p>
        </w:tc>
        <w:tc>
          <w:tcPr>
            <w:tcW w:w="689" w:type="pct"/>
            <w:tcBorders>
              <w:top w:val="nil"/>
              <w:left w:val="nil"/>
              <w:bottom w:val="single" w:sz="4" w:space="0" w:color="92D400"/>
              <w:right w:val="single" w:sz="8" w:space="0" w:color="92D050"/>
            </w:tcBorders>
            <w:vAlign w:val="center"/>
          </w:tcPr>
          <w:p w:rsidR="009F2DFA" w:rsidRPr="00042C66" w:rsidRDefault="009F2DFA" w:rsidP="00F84E4A">
            <w:pPr>
              <w:jc w:val="center"/>
              <w:rPr>
                <w:sz w:val="16"/>
                <w:szCs w:val="16"/>
              </w:rPr>
            </w:pPr>
            <w:r w:rsidRPr="00042C66">
              <w:rPr>
                <w:sz w:val="16"/>
                <w:szCs w:val="16"/>
              </w:rPr>
              <w:t>1 200</w:t>
            </w:r>
          </w:p>
        </w:tc>
        <w:tc>
          <w:tcPr>
            <w:tcW w:w="869" w:type="pct"/>
            <w:tcBorders>
              <w:top w:val="nil"/>
              <w:left w:val="single" w:sz="8" w:space="0" w:color="92D050"/>
              <w:bottom w:val="single" w:sz="4" w:space="0" w:color="92D400"/>
              <w:right w:val="nil"/>
            </w:tcBorders>
            <w:vAlign w:val="center"/>
          </w:tcPr>
          <w:p w:rsidR="009F2DFA" w:rsidRPr="00042C66" w:rsidRDefault="009F2DFA" w:rsidP="00F84E4A">
            <w:pPr>
              <w:jc w:val="center"/>
              <w:rPr>
                <w:b/>
                <w:sz w:val="16"/>
                <w:szCs w:val="16"/>
              </w:rPr>
            </w:pPr>
            <w:r w:rsidRPr="00042C66">
              <w:rPr>
                <w:b/>
                <w:sz w:val="16"/>
                <w:szCs w:val="16"/>
              </w:rPr>
              <w:t>460 min.</w:t>
            </w:r>
          </w:p>
        </w:tc>
      </w:tr>
      <w:tr w:rsidR="009F2DFA" w:rsidRPr="00042C66" w:rsidTr="00F84E4A">
        <w:trPr>
          <w:trHeight w:val="170"/>
        </w:trPr>
        <w:tc>
          <w:tcPr>
            <w:tcW w:w="2040" w:type="pct"/>
            <w:tcBorders>
              <w:top w:val="nil"/>
              <w:left w:val="nil"/>
              <w:bottom w:val="single" w:sz="4" w:space="0" w:color="92D400"/>
              <w:right w:val="nil"/>
            </w:tcBorders>
            <w:vAlign w:val="center"/>
          </w:tcPr>
          <w:p w:rsidR="009F2DFA" w:rsidRPr="00042C66" w:rsidRDefault="009F2DFA" w:rsidP="00F84E4A">
            <w:pPr>
              <w:rPr>
                <w:sz w:val="16"/>
                <w:szCs w:val="16"/>
              </w:rPr>
            </w:pPr>
            <w:r w:rsidRPr="00042C66">
              <w:rPr>
                <w:sz w:val="16"/>
                <w:szCs w:val="16"/>
              </w:rPr>
              <w:t>Ohlásenie, oznámenie, poskytnutie informácie</w:t>
            </w:r>
          </w:p>
        </w:tc>
        <w:tc>
          <w:tcPr>
            <w:tcW w:w="522" w:type="pct"/>
            <w:tcBorders>
              <w:top w:val="nil"/>
              <w:left w:val="nil"/>
              <w:bottom w:val="single" w:sz="4" w:space="0" w:color="92D400"/>
              <w:right w:val="nil"/>
            </w:tcBorders>
            <w:vAlign w:val="center"/>
          </w:tcPr>
          <w:p w:rsidR="009F2DFA" w:rsidRPr="00042C66" w:rsidRDefault="009F2DFA" w:rsidP="00F84E4A">
            <w:pPr>
              <w:jc w:val="center"/>
              <w:rPr>
                <w:sz w:val="16"/>
                <w:szCs w:val="16"/>
              </w:rPr>
            </w:pPr>
            <w:r>
              <w:rPr>
                <w:sz w:val="16"/>
                <w:szCs w:val="16"/>
              </w:rPr>
              <w:t xml:space="preserve">  </w:t>
            </w:r>
            <w:r w:rsidRPr="00042C66">
              <w:rPr>
                <w:sz w:val="16"/>
                <w:szCs w:val="16"/>
              </w:rPr>
              <w:t>60</w:t>
            </w:r>
          </w:p>
        </w:tc>
        <w:tc>
          <w:tcPr>
            <w:tcW w:w="880" w:type="pct"/>
            <w:tcBorders>
              <w:top w:val="nil"/>
              <w:left w:val="nil"/>
              <w:bottom w:val="single" w:sz="4" w:space="0" w:color="92D400"/>
              <w:right w:val="nil"/>
            </w:tcBorders>
            <w:vAlign w:val="center"/>
          </w:tcPr>
          <w:p w:rsidR="009F2DFA" w:rsidRPr="00042C66" w:rsidRDefault="009F2DFA" w:rsidP="00F84E4A">
            <w:pPr>
              <w:jc w:val="center"/>
              <w:rPr>
                <w:sz w:val="16"/>
                <w:szCs w:val="16"/>
              </w:rPr>
            </w:pPr>
            <w:r>
              <w:rPr>
                <w:sz w:val="16"/>
                <w:szCs w:val="16"/>
              </w:rPr>
              <w:t xml:space="preserve">  </w:t>
            </w:r>
            <w:r w:rsidRPr="00042C66">
              <w:rPr>
                <w:sz w:val="16"/>
                <w:szCs w:val="16"/>
              </w:rPr>
              <w:t>60</w:t>
            </w:r>
          </w:p>
        </w:tc>
        <w:tc>
          <w:tcPr>
            <w:tcW w:w="689" w:type="pct"/>
            <w:tcBorders>
              <w:top w:val="nil"/>
              <w:left w:val="nil"/>
              <w:bottom w:val="single" w:sz="4" w:space="0" w:color="92D400"/>
              <w:right w:val="single" w:sz="8" w:space="0" w:color="92D050"/>
            </w:tcBorders>
            <w:vAlign w:val="center"/>
          </w:tcPr>
          <w:p w:rsidR="009F2DFA" w:rsidRPr="00042C66" w:rsidRDefault="009F2DFA" w:rsidP="00F84E4A">
            <w:pPr>
              <w:jc w:val="center"/>
              <w:rPr>
                <w:sz w:val="16"/>
                <w:szCs w:val="16"/>
              </w:rPr>
            </w:pPr>
            <w:r>
              <w:rPr>
                <w:sz w:val="16"/>
                <w:szCs w:val="16"/>
              </w:rPr>
              <w:t xml:space="preserve">    </w:t>
            </w:r>
            <w:r w:rsidRPr="00042C66">
              <w:rPr>
                <w:sz w:val="16"/>
                <w:szCs w:val="16"/>
              </w:rPr>
              <w:t>60</w:t>
            </w:r>
          </w:p>
        </w:tc>
        <w:tc>
          <w:tcPr>
            <w:tcW w:w="869" w:type="pct"/>
            <w:tcBorders>
              <w:top w:val="nil"/>
              <w:left w:val="single" w:sz="8" w:space="0" w:color="92D050"/>
              <w:bottom w:val="single" w:sz="4" w:space="0" w:color="92D400"/>
              <w:right w:val="nil"/>
            </w:tcBorders>
            <w:vAlign w:val="center"/>
          </w:tcPr>
          <w:p w:rsidR="009F2DFA" w:rsidRPr="00042C66" w:rsidRDefault="009F2DFA" w:rsidP="00F84E4A">
            <w:pPr>
              <w:jc w:val="center"/>
              <w:rPr>
                <w:b/>
                <w:sz w:val="16"/>
                <w:szCs w:val="16"/>
              </w:rPr>
            </w:pPr>
            <w:r>
              <w:rPr>
                <w:b/>
                <w:sz w:val="16"/>
                <w:szCs w:val="16"/>
              </w:rPr>
              <w:t xml:space="preserve">  </w:t>
            </w:r>
            <w:r w:rsidRPr="00042C66">
              <w:rPr>
                <w:b/>
                <w:sz w:val="16"/>
                <w:szCs w:val="16"/>
              </w:rPr>
              <w:t>60 min.</w:t>
            </w:r>
          </w:p>
        </w:tc>
      </w:tr>
      <w:tr w:rsidR="009F2DFA" w:rsidRPr="00042C66" w:rsidTr="00F84E4A">
        <w:trPr>
          <w:trHeight w:val="170"/>
        </w:trPr>
        <w:tc>
          <w:tcPr>
            <w:tcW w:w="2040" w:type="pct"/>
            <w:tcBorders>
              <w:top w:val="nil"/>
              <w:left w:val="nil"/>
              <w:bottom w:val="single" w:sz="4" w:space="0" w:color="92D400"/>
              <w:right w:val="nil"/>
            </w:tcBorders>
            <w:vAlign w:val="center"/>
          </w:tcPr>
          <w:p w:rsidR="009F2DFA" w:rsidRPr="00042C66" w:rsidRDefault="009F2DFA" w:rsidP="00F84E4A">
            <w:pPr>
              <w:rPr>
                <w:sz w:val="16"/>
                <w:szCs w:val="16"/>
              </w:rPr>
            </w:pPr>
            <w:r w:rsidRPr="00042C66">
              <w:rPr>
                <w:sz w:val="16"/>
                <w:szCs w:val="16"/>
              </w:rPr>
              <w:t>Overenie súladu</w:t>
            </w:r>
          </w:p>
        </w:tc>
        <w:tc>
          <w:tcPr>
            <w:tcW w:w="522" w:type="pct"/>
            <w:tcBorders>
              <w:top w:val="nil"/>
              <w:left w:val="nil"/>
              <w:bottom w:val="single" w:sz="4" w:space="0" w:color="92D400"/>
              <w:right w:val="nil"/>
            </w:tcBorders>
            <w:vAlign w:val="center"/>
          </w:tcPr>
          <w:p w:rsidR="009F2DFA" w:rsidRPr="00042C66" w:rsidRDefault="009F2DFA" w:rsidP="00F84E4A">
            <w:pPr>
              <w:jc w:val="center"/>
              <w:rPr>
                <w:sz w:val="16"/>
                <w:szCs w:val="16"/>
              </w:rPr>
            </w:pPr>
            <w:r w:rsidRPr="00042C66">
              <w:rPr>
                <w:sz w:val="16"/>
                <w:szCs w:val="16"/>
              </w:rPr>
              <w:t>120</w:t>
            </w:r>
          </w:p>
        </w:tc>
        <w:tc>
          <w:tcPr>
            <w:tcW w:w="880" w:type="pct"/>
            <w:tcBorders>
              <w:top w:val="nil"/>
              <w:left w:val="nil"/>
              <w:bottom w:val="single" w:sz="4" w:space="0" w:color="92D400"/>
              <w:right w:val="nil"/>
            </w:tcBorders>
            <w:vAlign w:val="center"/>
          </w:tcPr>
          <w:p w:rsidR="009F2DFA" w:rsidRPr="00042C66" w:rsidRDefault="009F2DFA" w:rsidP="00F84E4A">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rsidR="009F2DFA" w:rsidRPr="00042C66" w:rsidRDefault="009F2DFA" w:rsidP="00F84E4A">
            <w:pPr>
              <w:jc w:val="center"/>
              <w:rPr>
                <w:sz w:val="16"/>
                <w:szCs w:val="16"/>
              </w:rPr>
            </w:pPr>
            <w:r>
              <w:rPr>
                <w:sz w:val="16"/>
                <w:szCs w:val="16"/>
              </w:rPr>
              <w:t xml:space="preserve">  </w:t>
            </w:r>
            <w:r w:rsidRPr="00042C66">
              <w:rPr>
                <w:sz w:val="16"/>
                <w:szCs w:val="16"/>
              </w:rPr>
              <w:t>960</w:t>
            </w:r>
          </w:p>
        </w:tc>
        <w:tc>
          <w:tcPr>
            <w:tcW w:w="869" w:type="pct"/>
            <w:tcBorders>
              <w:top w:val="nil"/>
              <w:left w:val="single" w:sz="8" w:space="0" w:color="92D050"/>
              <w:bottom w:val="single" w:sz="4" w:space="0" w:color="92D400"/>
              <w:right w:val="nil"/>
            </w:tcBorders>
            <w:vAlign w:val="center"/>
          </w:tcPr>
          <w:p w:rsidR="009F2DFA" w:rsidRPr="00042C66" w:rsidRDefault="009F2DFA" w:rsidP="00F84E4A">
            <w:pPr>
              <w:jc w:val="center"/>
              <w:rPr>
                <w:b/>
                <w:sz w:val="16"/>
                <w:szCs w:val="16"/>
              </w:rPr>
            </w:pPr>
            <w:r w:rsidRPr="00042C66">
              <w:rPr>
                <w:b/>
                <w:sz w:val="16"/>
                <w:szCs w:val="16"/>
              </w:rPr>
              <w:t>220 min.</w:t>
            </w:r>
          </w:p>
        </w:tc>
      </w:tr>
      <w:tr w:rsidR="009F2DFA" w:rsidRPr="00042C66" w:rsidTr="00F84E4A">
        <w:trPr>
          <w:trHeight w:val="170"/>
        </w:trPr>
        <w:tc>
          <w:tcPr>
            <w:tcW w:w="2040" w:type="pct"/>
            <w:tcBorders>
              <w:top w:val="nil"/>
              <w:left w:val="nil"/>
              <w:bottom w:val="single" w:sz="4" w:space="0" w:color="92D400"/>
              <w:right w:val="nil"/>
            </w:tcBorders>
            <w:vAlign w:val="center"/>
          </w:tcPr>
          <w:p w:rsidR="009F2DFA" w:rsidRPr="00042C66" w:rsidRDefault="009F2DFA" w:rsidP="00F84E4A">
            <w:pPr>
              <w:rPr>
                <w:sz w:val="16"/>
                <w:szCs w:val="16"/>
              </w:rPr>
            </w:pPr>
            <w:r w:rsidRPr="00042C66">
              <w:rPr>
                <w:sz w:val="16"/>
                <w:szCs w:val="16"/>
              </w:rPr>
              <w:t>Poskytnutie súčinnosti</w:t>
            </w:r>
          </w:p>
        </w:tc>
        <w:tc>
          <w:tcPr>
            <w:tcW w:w="522" w:type="pct"/>
            <w:tcBorders>
              <w:top w:val="nil"/>
              <w:left w:val="nil"/>
              <w:bottom w:val="single" w:sz="4" w:space="0" w:color="92D400"/>
              <w:right w:val="nil"/>
            </w:tcBorders>
            <w:vAlign w:val="center"/>
          </w:tcPr>
          <w:p w:rsidR="009F2DFA" w:rsidRPr="00042C66" w:rsidRDefault="009F2DFA" w:rsidP="00F84E4A">
            <w:pPr>
              <w:jc w:val="center"/>
              <w:rPr>
                <w:sz w:val="16"/>
                <w:szCs w:val="16"/>
              </w:rPr>
            </w:pPr>
            <w:r w:rsidRPr="00042C66">
              <w:rPr>
                <w:sz w:val="16"/>
                <w:szCs w:val="16"/>
              </w:rPr>
              <w:t>100</w:t>
            </w:r>
          </w:p>
        </w:tc>
        <w:tc>
          <w:tcPr>
            <w:tcW w:w="880" w:type="pct"/>
            <w:tcBorders>
              <w:top w:val="nil"/>
              <w:left w:val="nil"/>
              <w:bottom w:val="single" w:sz="4" w:space="0" w:color="92D400"/>
              <w:right w:val="nil"/>
            </w:tcBorders>
            <w:vAlign w:val="center"/>
          </w:tcPr>
          <w:p w:rsidR="009F2DFA" w:rsidRPr="00042C66" w:rsidRDefault="009F2DFA" w:rsidP="00F84E4A">
            <w:pPr>
              <w:jc w:val="center"/>
              <w:rPr>
                <w:sz w:val="16"/>
                <w:szCs w:val="16"/>
              </w:rPr>
            </w:pPr>
            <w:r w:rsidRPr="00042C66">
              <w:rPr>
                <w:sz w:val="16"/>
                <w:szCs w:val="16"/>
              </w:rPr>
              <w:t>100</w:t>
            </w:r>
          </w:p>
        </w:tc>
        <w:tc>
          <w:tcPr>
            <w:tcW w:w="689" w:type="pct"/>
            <w:tcBorders>
              <w:top w:val="nil"/>
              <w:left w:val="nil"/>
              <w:bottom w:val="single" w:sz="4" w:space="0" w:color="92D400"/>
              <w:right w:val="single" w:sz="8" w:space="0" w:color="92D050"/>
            </w:tcBorders>
            <w:vAlign w:val="center"/>
          </w:tcPr>
          <w:p w:rsidR="009F2DFA" w:rsidRPr="00042C66" w:rsidRDefault="009F2DFA" w:rsidP="00F84E4A">
            <w:pPr>
              <w:jc w:val="center"/>
              <w:rPr>
                <w:sz w:val="16"/>
                <w:szCs w:val="16"/>
              </w:rPr>
            </w:pPr>
            <w:r>
              <w:rPr>
                <w:sz w:val="16"/>
                <w:szCs w:val="16"/>
              </w:rPr>
              <w:t xml:space="preserve">  </w:t>
            </w:r>
            <w:r w:rsidRPr="00042C66">
              <w:rPr>
                <w:sz w:val="16"/>
                <w:szCs w:val="16"/>
              </w:rPr>
              <w:t>100</w:t>
            </w:r>
          </w:p>
        </w:tc>
        <w:tc>
          <w:tcPr>
            <w:tcW w:w="869" w:type="pct"/>
            <w:tcBorders>
              <w:top w:val="nil"/>
              <w:left w:val="single" w:sz="8" w:space="0" w:color="92D050"/>
              <w:bottom w:val="single" w:sz="4" w:space="0" w:color="92D400"/>
              <w:right w:val="nil"/>
            </w:tcBorders>
            <w:vAlign w:val="center"/>
          </w:tcPr>
          <w:p w:rsidR="009F2DFA" w:rsidRPr="00042C66" w:rsidRDefault="009F2DFA" w:rsidP="00F84E4A">
            <w:pPr>
              <w:jc w:val="center"/>
              <w:rPr>
                <w:b/>
                <w:sz w:val="16"/>
                <w:szCs w:val="16"/>
              </w:rPr>
            </w:pPr>
            <w:r w:rsidRPr="00042C66">
              <w:rPr>
                <w:b/>
                <w:sz w:val="16"/>
                <w:szCs w:val="16"/>
              </w:rPr>
              <w:t>100 min.</w:t>
            </w:r>
          </w:p>
        </w:tc>
      </w:tr>
      <w:tr w:rsidR="009F2DFA" w:rsidRPr="00042C66" w:rsidTr="00F84E4A">
        <w:trPr>
          <w:trHeight w:val="170"/>
        </w:trPr>
        <w:tc>
          <w:tcPr>
            <w:tcW w:w="2040" w:type="pct"/>
            <w:tcBorders>
              <w:top w:val="nil"/>
              <w:left w:val="nil"/>
              <w:bottom w:val="single" w:sz="4" w:space="0" w:color="92D400"/>
              <w:right w:val="nil"/>
            </w:tcBorders>
            <w:vAlign w:val="center"/>
          </w:tcPr>
          <w:p w:rsidR="009F2DFA" w:rsidRPr="00042C66" w:rsidRDefault="009F2DFA" w:rsidP="00F84E4A">
            <w:pPr>
              <w:rPr>
                <w:sz w:val="16"/>
                <w:szCs w:val="16"/>
              </w:rPr>
            </w:pPr>
            <w:r w:rsidRPr="00042C66">
              <w:rPr>
                <w:sz w:val="16"/>
                <w:szCs w:val="16"/>
              </w:rPr>
              <w:t>Predloženie dokladu/ dokumentu elektronicky</w:t>
            </w:r>
          </w:p>
        </w:tc>
        <w:tc>
          <w:tcPr>
            <w:tcW w:w="522" w:type="pct"/>
            <w:tcBorders>
              <w:top w:val="nil"/>
              <w:left w:val="nil"/>
              <w:bottom w:val="single" w:sz="4" w:space="0" w:color="92D400"/>
              <w:right w:val="nil"/>
            </w:tcBorders>
            <w:vAlign w:val="center"/>
          </w:tcPr>
          <w:p w:rsidR="009F2DFA" w:rsidRPr="00042C66" w:rsidRDefault="009F2DFA" w:rsidP="00F84E4A">
            <w:pPr>
              <w:jc w:val="center"/>
              <w:rPr>
                <w:sz w:val="16"/>
                <w:szCs w:val="16"/>
              </w:rPr>
            </w:pPr>
            <w:r>
              <w:rPr>
                <w:sz w:val="16"/>
                <w:szCs w:val="16"/>
              </w:rPr>
              <w:t xml:space="preserve">  </w:t>
            </w:r>
            <w:r w:rsidRPr="00042C66">
              <w:rPr>
                <w:sz w:val="16"/>
                <w:szCs w:val="16"/>
              </w:rPr>
              <w:t>30</w:t>
            </w:r>
          </w:p>
        </w:tc>
        <w:tc>
          <w:tcPr>
            <w:tcW w:w="880" w:type="pct"/>
            <w:tcBorders>
              <w:top w:val="nil"/>
              <w:left w:val="nil"/>
              <w:bottom w:val="single" w:sz="4" w:space="0" w:color="92D400"/>
              <w:right w:val="nil"/>
            </w:tcBorders>
            <w:vAlign w:val="center"/>
          </w:tcPr>
          <w:p w:rsidR="009F2DFA" w:rsidRPr="00042C66" w:rsidRDefault="009F2DFA" w:rsidP="00F84E4A">
            <w:pPr>
              <w:jc w:val="center"/>
              <w:rPr>
                <w:sz w:val="16"/>
                <w:szCs w:val="16"/>
              </w:rPr>
            </w:pPr>
            <w:r>
              <w:rPr>
                <w:sz w:val="16"/>
                <w:szCs w:val="16"/>
              </w:rPr>
              <w:t xml:space="preserve">  </w:t>
            </w:r>
            <w:r w:rsidRPr="00042C66">
              <w:rPr>
                <w:sz w:val="16"/>
                <w:szCs w:val="16"/>
              </w:rPr>
              <w:t>30</w:t>
            </w:r>
          </w:p>
        </w:tc>
        <w:tc>
          <w:tcPr>
            <w:tcW w:w="689" w:type="pct"/>
            <w:tcBorders>
              <w:top w:val="nil"/>
              <w:left w:val="nil"/>
              <w:bottom w:val="single" w:sz="4" w:space="0" w:color="92D400"/>
              <w:right w:val="single" w:sz="8" w:space="0" w:color="92D050"/>
            </w:tcBorders>
            <w:vAlign w:val="center"/>
          </w:tcPr>
          <w:p w:rsidR="009F2DFA" w:rsidRPr="00042C66" w:rsidRDefault="009F2DFA" w:rsidP="00F84E4A">
            <w:pPr>
              <w:jc w:val="center"/>
              <w:rPr>
                <w:sz w:val="16"/>
                <w:szCs w:val="16"/>
              </w:rPr>
            </w:pPr>
            <w:r>
              <w:rPr>
                <w:sz w:val="16"/>
                <w:szCs w:val="16"/>
              </w:rPr>
              <w:t xml:space="preserve">    </w:t>
            </w:r>
            <w:r w:rsidRPr="00042C66">
              <w:rPr>
                <w:sz w:val="16"/>
                <w:szCs w:val="16"/>
              </w:rPr>
              <w:t>30</w:t>
            </w:r>
          </w:p>
        </w:tc>
        <w:tc>
          <w:tcPr>
            <w:tcW w:w="869" w:type="pct"/>
            <w:tcBorders>
              <w:top w:val="nil"/>
              <w:left w:val="single" w:sz="8" w:space="0" w:color="92D050"/>
              <w:bottom w:val="single" w:sz="4" w:space="0" w:color="92D400"/>
              <w:right w:val="nil"/>
            </w:tcBorders>
            <w:vAlign w:val="center"/>
          </w:tcPr>
          <w:p w:rsidR="009F2DFA" w:rsidRPr="00042C66" w:rsidRDefault="009F2DFA" w:rsidP="00F84E4A">
            <w:pPr>
              <w:jc w:val="center"/>
              <w:rPr>
                <w:b/>
                <w:sz w:val="16"/>
                <w:szCs w:val="16"/>
              </w:rPr>
            </w:pPr>
            <w:r>
              <w:rPr>
                <w:b/>
                <w:sz w:val="16"/>
                <w:szCs w:val="16"/>
              </w:rPr>
              <w:t xml:space="preserve">  </w:t>
            </w:r>
            <w:r w:rsidRPr="00042C66">
              <w:rPr>
                <w:b/>
                <w:sz w:val="16"/>
                <w:szCs w:val="16"/>
              </w:rPr>
              <w:t>30 min.</w:t>
            </w:r>
          </w:p>
        </w:tc>
      </w:tr>
      <w:tr w:rsidR="009F2DFA" w:rsidRPr="00042C66" w:rsidTr="00F84E4A">
        <w:trPr>
          <w:trHeight w:val="170"/>
        </w:trPr>
        <w:tc>
          <w:tcPr>
            <w:tcW w:w="2040" w:type="pct"/>
            <w:tcBorders>
              <w:top w:val="nil"/>
              <w:left w:val="nil"/>
              <w:bottom w:val="single" w:sz="4" w:space="0" w:color="92D400"/>
              <w:right w:val="nil"/>
            </w:tcBorders>
            <w:vAlign w:val="center"/>
          </w:tcPr>
          <w:p w:rsidR="009F2DFA" w:rsidRPr="00042C66" w:rsidRDefault="009F2DFA" w:rsidP="00F84E4A">
            <w:pPr>
              <w:rPr>
                <w:sz w:val="16"/>
                <w:szCs w:val="16"/>
              </w:rPr>
            </w:pPr>
            <w:r w:rsidRPr="00042C66">
              <w:rPr>
                <w:sz w:val="16"/>
                <w:szCs w:val="16"/>
              </w:rPr>
              <w:t>Predloženie dokladu/ dokumentu papierovo</w:t>
            </w:r>
          </w:p>
        </w:tc>
        <w:tc>
          <w:tcPr>
            <w:tcW w:w="522" w:type="pct"/>
            <w:tcBorders>
              <w:top w:val="nil"/>
              <w:left w:val="nil"/>
              <w:bottom w:val="single" w:sz="4" w:space="0" w:color="92D400"/>
              <w:right w:val="nil"/>
            </w:tcBorders>
            <w:vAlign w:val="center"/>
          </w:tcPr>
          <w:p w:rsidR="009F2DFA" w:rsidRPr="00042C66" w:rsidRDefault="009F2DFA" w:rsidP="00F84E4A">
            <w:pPr>
              <w:jc w:val="center"/>
              <w:rPr>
                <w:sz w:val="16"/>
                <w:szCs w:val="16"/>
              </w:rPr>
            </w:pPr>
            <w:r>
              <w:rPr>
                <w:sz w:val="16"/>
                <w:szCs w:val="16"/>
              </w:rPr>
              <w:t xml:space="preserve">  </w:t>
            </w:r>
            <w:r w:rsidRPr="00042C66">
              <w:rPr>
                <w:sz w:val="16"/>
                <w:szCs w:val="16"/>
              </w:rPr>
              <w:t>50</w:t>
            </w:r>
          </w:p>
        </w:tc>
        <w:tc>
          <w:tcPr>
            <w:tcW w:w="880" w:type="pct"/>
            <w:tcBorders>
              <w:top w:val="nil"/>
              <w:left w:val="nil"/>
              <w:bottom w:val="single" w:sz="4" w:space="0" w:color="92D400"/>
              <w:right w:val="nil"/>
            </w:tcBorders>
            <w:vAlign w:val="center"/>
          </w:tcPr>
          <w:p w:rsidR="009F2DFA" w:rsidRPr="00042C66" w:rsidRDefault="009F2DFA" w:rsidP="00F84E4A">
            <w:pPr>
              <w:jc w:val="center"/>
              <w:rPr>
                <w:sz w:val="16"/>
                <w:szCs w:val="16"/>
              </w:rPr>
            </w:pPr>
            <w:r>
              <w:rPr>
                <w:sz w:val="16"/>
                <w:szCs w:val="16"/>
              </w:rPr>
              <w:t xml:space="preserve">  </w:t>
            </w:r>
            <w:r w:rsidRPr="00042C66">
              <w:rPr>
                <w:sz w:val="16"/>
                <w:szCs w:val="16"/>
              </w:rPr>
              <w:t>50</w:t>
            </w:r>
          </w:p>
        </w:tc>
        <w:tc>
          <w:tcPr>
            <w:tcW w:w="689" w:type="pct"/>
            <w:tcBorders>
              <w:top w:val="nil"/>
              <w:left w:val="nil"/>
              <w:bottom w:val="single" w:sz="4" w:space="0" w:color="92D400"/>
              <w:right w:val="single" w:sz="8" w:space="0" w:color="92D050"/>
            </w:tcBorders>
            <w:vAlign w:val="center"/>
          </w:tcPr>
          <w:p w:rsidR="009F2DFA" w:rsidRPr="00042C66" w:rsidRDefault="009F2DFA" w:rsidP="00F84E4A">
            <w:pPr>
              <w:jc w:val="center"/>
              <w:rPr>
                <w:sz w:val="16"/>
                <w:szCs w:val="16"/>
              </w:rPr>
            </w:pPr>
            <w:r>
              <w:rPr>
                <w:sz w:val="16"/>
                <w:szCs w:val="16"/>
              </w:rPr>
              <w:t xml:space="preserve">    </w:t>
            </w:r>
            <w:r w:rsidRPr="00042C66">
              <w:rPr>
                <w:sz w:val="16"/>
                <w:szCs w:val="16"/>
              </w:rPr>
              <w:t>50</w:t>
            </w:r>
          </w:p>
        </w:tc>
        <w:tc>
          <w:tcPr>
            <w:tcW w:w="869" w:type="pct"/>
            <w:tcBorders>
              <w:top w:val="nil"/>
              <w:left w:val="single" w:sz="8" w:space="0" w:color="92D050"/>
              <w:bottom w:val="single" w:sz="4" w:space="0" w:color="92D400"/>
              <w:right w:val="nil"/>
            </w:tcBorders>
            <w:vAlign w:val="center"/>
          </w:tcPr>
          <w:p w:rsidR="009F2DFA" w:rsidRPr="00042C66" w:rsidRDefault="009F2DFA" w:rsidP="00F84E4A">
            <w:pPr>
              <w:jc w:val="center"/>
              <w:rPr>
                <w:b/>
                <w:sz w:val="16"/>
                <w:szCs w:val="16"/>
              </w:rPr>
            </w:pPr>
            <w:r>
              <w:rPr>
                <w:b/>
                <w:sz w:val="16"/>
                <w:szCs w:val="16"/>
              </w:rPr>
              <w:t xml:space="preserve">  </w:t>
            </w:r>
            <w:r w:rsidRPr="00042C66">
              <w:rPr>
                <w:b/>
                <w:sz w:val="16"/>
                <w:szCs w:val="16"/>
              </w:rPr>
              <w:t>50 min.</w:t>
            </w:r>
          </w:p>
        </w:tc>
      </w:tr>
      <w:tr w:rsidR="009F2DFA" w:rsidRPr="00042C66" w:rsidTr="00F84E4A">
        <w:trPr>
          <w:trHeight w:val="170"/>
        </w:trPr>
        <w:tc>
          <w:tcPr>
            <w:tcW w:w="2040" w:type="pct"/>
            <w:tcBorders>
              <w:top w:val="nil"/>
              <w:left w:val="nil"/>
              <w:bottom w:val="single" w:sz="4" w:space="0" w:color="92D400"/>
              <w:right w:val="nil"/>
            </w:tcBorders>
            <w:vAlign w:val="center"/>
          </w:tcPr>
          <w:p w:rsidR="009F2DFA" w:rsidRPr="00042C66" w:rsidRDefault="009F2DFA" w:rsidP="00F84E4A">
            <w:pPr>
              <w:rPr>
                <w:sz w:val="16"/>
                <w:szCs w:val="16"/>
              </w:rPr>
            </w:pPr>
            <w:r w:rsidRPr="00042C66">
              <w:rPr>
                <w:sz w:val="16"/>
                <w:szCs w:val="16"/>
              </w:rPr>
              <w:t>Vypracovanie dokumentu/ správy</w:t>
            </w:r>
          </w:p>
        </w:tc>
        <w:tc>
          <w:tcPr>
            <w:tcW w:w="522" w:type="pct"/>
            <w:tcBorders>
              <w:top w:val="nil"/>
              <w:left w:val="nil"/>
              <w:bottom w:val="single" w:sz="4" w:space="0" w:color="92D400"/>
              <w:right w:val="nil"/>
            </w:tcBorders>
            <w:vAlign w:val="center"/>
          </w:tcPr>
          <w:p w:rsidR="009F2DFA" w:rsidRPr="00042C66" w:rsidRDefault="009F2DFA" w:rsidP="00F84E4A">
            <w:pPr>
              <w:jc w:val="center"/>
              <w:rPr>
                <w:sz w:val="16"/>
                <w:szCs w:val="16"/>
              </w:rPr>
            </w:pPr>
            <w:r w:rsidRPr="00042C66">
              <w:rPr>
                <w:sz w:val="16"/>
                <w:szCs w:val="16"/>
              </w:rPr>
              <w:t>480</w:t>
            </w:r>
          </w:p>
        </w:tc>
        <w:tc>
          <w:tcPr>
            <w:tcW w:w="880" w:type="pct"/>
            <w:tcBorders>
              <w:top w:val="nil"/>
              <w:left w:val="nil"/>
              <w:bottom w:val="single" w:sz="4" w:space="0" w:color="92D400"/>
              <w:right w:val="nil"/>
            </w:tcBorders>
            <w:vAlign w:val="center"/>
          </w:tcPr>
          <w:p w:rsidR="009F2DFA" w:rsidRPr="00042C66" w:rsidRDefault="009F2DFA" w:rsidP="00F84E4A">
            <w:pPr>
              <w:jc w:val="center"/>
              <w:rPr>
                <w:sz w:val="16"/>
                <w:szCs w:val="16"/>
              </w:rPr>
            </w:pPr>
            <w:r w:rsidRPr="00042C66">
              <w:rPr>
                <w:sz w:val="16"/>
                <w:szCs w:val="16"/>
              </w:rPr>
              <w:t>960</w:t>
            </w:r>
          </w:p>
        </w:tc>
        <w:tc>
          <w:tcPr>
            <w:tcW w:w="689" w:type="pct"/>
            <w:tcBorders>
              <w:top w:val="nil"/>
              <w:left w:val="nil"/>
              <w:bottom w:val="single" w:sz="4" w:space="0" w:color="92D400"/>
              <w:right w:val="single" w:sz="8" w:space="0" w:color="92D050"/>
            </w:tcBorders>
            <w:vAlign w:val="center"/>
          </w:tcPr>
          <w:p w:rsidR="009F2DFA" w:rsidRPr="00042C66" w:rsidRDefault="009F2DFA" w:rsidP="00F84E4A">
            <w:pPr>
              <w:jc w:val="center"/>
              <w:rPr>
                <w:sz w:val="16"/>
                <w:szCs w:val="16"/>
              </w:rPr>
            </w:pPr>
            <w:r w:rsidRPr="00042C66">
              <w:rPr>
                <w:sz w:val="16"/>
                <w:szCs w:val="16"/>
              </w:rPr>
              <w:t>2 400</w:t>
            </w:r>
          </w:p>
        </w:tc>
        <w:tc>
          <w:tcPr>
            <w:tcW w:w="869" w:type="pct"/>
            <w:tcBorders>
              <w:top w:val="nil"/>
              <w:left w:val="single" w:sz="8" w:space="0" w:color="92D050"/>
              <w:bottom w:val="single" w:sz="4" w:space="0" w:color="92D400"/>
              <w:right w:val="nil"/>
            </w:tcBorders>
            <w:vAlign w:val="center"/>
          </w:tcPr>
          <w:p w:rsidR="009F2DFA" w:rsidRPr="00042C66" w:rsidRDefault="009F2DFA" w:rsidP="00F84E4A">
            <w:pPr>
              <w:jc w:val="center"/>
              <w:rPr>
                <w:b/>
                <w:sz w:val="16"/>
                <w:szCs w:val="16"/>
              </w:rPr>
            </w:pPr>
            <w:r w:rsidRPr="00042C66">
              <w:rPr>
                <w:b/>
                <w:sz w:val="16"/>
                <w:szCs w:val="16"/>
              </w:rPr>
              <w:t>650 min.</w:t>
            </w:r>
          </w:p>
        </w:tc>
      </w:tr>
      <w:tr w:rsidR="009F2DFA" w:rsidRPr="00042C66" w:rsidTr="00F84E4A">
        <w:trPr>
          <w:trHeight w:val="170"/>
        </w:trPr>
        <w:tc>
          <w:tcPr>
            <w:tcW w:w="2040" w:type="pct"/>
            <w:tcBorders>
              <w:top w:val="single" w:sz="4" w:space="0" w:color="92D400"/>
              <w:left w:val="nil"/>
              <w:bottom w:val="single" w:sz="4" w:space="0" w:color="C0504D" w:themeColor="accent2"/>
              <w:right w:val="nil"/>
            </w:tcBorders>
            <w:vAlign w:val="center"/>
          </w:tcPr>
          <w:p w:rsidR="009F2DFA" w:rsidRPr="00042C66" w:rsidRDefault="009F2DFA" w:rsidP="00F84E4A">
            <w:pPr>
              <w:rPr>
                <w:sz w:val="16"/>
                <w:szCs w:val="16"/>
              </w:rPr>
            </w:pPr>
            <w:r>
              <w:rPr>
                <w:sz w:val="16"/>
                <w:szCs w:val="16"/>
              </w:rPr>
              <w:t>Ž</w:t>
            </w:r>
            <w:r w:rsidRPr="00042C66">
              <w:rPr>
                <w:sz w:val="16"/>
                <w:szCs w:val="16"/>
              </w:rPr>
              <w:t>iadosť/ návrh</w:t>
            </w:r>
          </w:p>
        </w:tc>
        <w:tc>
          <w:tcPr>
            <w:tcW w:w="522" w:type="pct"/>
            <w:tcBorders>
              <w:top w:val="single" w:sz="4" w:space="0" w:color="92D400"/>
              <w:left w:val="nil"/>
              <w:bottom w:val="single" w:sz="4" w:space="0" w:color="C0504D" w:themeColor="accent2"/>
              <w:right w:val="nil"/>
            </w:tcBorders>
            <w:vAlign w:val="center"/>
          </w:tcPr>
          <w:p w:rsidR="009F2DFA" w:rsidRPr="00042C66" w:rsidRDefault="009F2DFA" w:rsidP="00F84E4A">
            <w:pPr>
              <w:jc w:val="center"/>
              <w:rPr>
                <w:sz w:val="16"/>
                <w:szCs w:val="16"/>
              </w:rPr>
            </w:pPr>
            <w:r w:rsidRPr="00042C66">
              <w:rPr>
                <w:sz w:val="16"/>
                <w:szCs w:val="16"/>
              </w:rPr>
              <w:t>180</w:t>
            </w:r>
          </w:p>
        </w:tc>
        <w:tc>
          <w:tcPr>
            <w:tcW w:w="880" w:type="pct"/>
            <w:tcBorders>
              <w:top w:val="single" w:sz="4" w:space="0" w:color="92D400"/>
              <w:left w:val="nil"/>
              <w:bottom w:val="single" w:sz="4" w:space="0" w:color="C0504D" w:themeColor="accent2"/>
              <w:right w:val="nil"/>
            </w:tcBorders>
            <w:vAlign w:val="center"/>
          </w:tcPr>
          <w:p w:rsidR="009F2DFA" w:rsidRPr="00042C66" w:rsidRDefault="009F2DFA" w:rsidP="00F84E4A">
            <w:pPr>
              <w:jc w:val="center"/>
              <w:rPr>
                <w:sz w:val="16"/>
                <w:szCs w:val="16"/>
              </w:rPr>
            </w:pPr>
            <w:r w:rsidRPr="00042C66">
              <w:rPr>
                <w:sz w:val="16"/>
                <w:szCs w:val="16"/>
              </w:rPr>
              <w:t>240</w:t>
            </w:r>
          </w:p>
        </w:tc>
        <w:tc>
          <w:tcPr>
            <w:tcW w:w="689" w:type="pct"/>
            <w:tcBorders>
              <w:top w:val="single" w:sz="4" w:space="0" w:color="92D400"/>
              <w:left w:val="nil"/>
              <w:bottom w:val="single" w:sz="4" w:space="0" w:color="C0504D" w:themeColor="accent2"/>
              <w:right w:val="single" w:sz="8" w:space="0" w:color="92D050"/>
            </w:tcBorders>
            <w:vAlign w:val="center"/>
          </w:tcPr>
          <w:p w:rsidR="009F2DFA" w:rsidRPr="00042C66" w:rsidRDefault="009F2DFA" w:rsidP="00F84E4A">
            <w:pPr>
              <w:jc w:val="center"/>
              <w:rPr>
                <w:sz w:val="16"/>
                <w:szCs w:val="16"/>
              </w:rPr>
            </w:pPr>
            <w:r>
              <w:rPr>
                <w:sz w:val="16"/>
                <w:szCs w:val="16"/>
              </w:rPr>
              <w:t xml:space="preserve">  </w:t>
            </w:r>
            <w:r w:rsidRPr="00042C66">
              <w:rPr>
                <w:sz w:val="16"/>
                <w:szCs w:val="16"/>
              </w:rPr>
              <w:t>480</w:t>
            </w:r>
          </w:p>
        </w:tc>
        <w:tc>
          <w:tcPr>
            <w:tcW w:w="869" w:type="pct"/>
            <w:tcBorders>
              <w:top w:val="single" w:sz="4" w:space="0" w:color="92D400"/>
              <w:left w:val="single" w:sz="8" w:space="0" w:color="92D050"/>
              <w:bottom w:val="single" w:sz="4" w:space="0" w:color="C0504D" w:themeColor="accent2"/>
              <w:right w:val="nil"/>
            </w:tcBorders>
            <w:vAlign w:val="center"/>
          </w:tcPr>
          <w:p w:rsidR="009F2DFA" w:rsidRPr="00042C66" w:rsidRDefault="009F2DFA" w:rsidP="00F84E4A">
            <w:pPr>
              <w:jc w:val="center"/>
              <w:rPr>
                <w:b/>
                <w:sz w:val="16"/>
                <w:szCs w:val="16"/>
              </w:rPr>
            </w:pPr>
            <w:r w:rsidRPr="00042C66">
              <w:rPr>
                <w:b/>
                <w:sz w:val="16"/>
                <w:szCs w:val="16"/>
              </w:rPr>
              <w:t>200 min.</w:t>
            </w:r>
          </w:p>
        </w:tc>
      </w:tr>
    </w:tbl>
    <w:p w:rsidR="009F2DFA" w:rsidRDefault="009F2DFA" w:rsidP="009F2DFA">
      <w:pPr>
        <w:pStyle w:val="BodyText1"/>
        <w:spacing w:after="0"/>
        <w:ind w:right="-426"/>
        <w:rPr>
          <w:rFonts w:ascii="Times New Roman" w:hAnsi="Times New Roman"/>
          <w:i/>
          <w:sz w:val="20"/>
          <w:szCs w:val="20"/>
        </w:rPr>
      </w:pPr>
      <w:r w:rsidRPr="00042C66">
        <w:rPr>
          <w:rFonts w:ascii="Times New Roman" w:hAnsi="Times New Roman"/>
          <w:i/>
          <w:sz w:val="20"/>
          <w:szCs w:val="20"/>
        </w:rPr>
        <w:t>Tabuľka štandardných časových náročností typických informačných povinností podľa veľkosti podniku (v minútach)</w:t>
      </w:r>
    </w:p>
    <w:p w:rsidR="009F2DFA" w:rsidRDefault="009F2DFA" w:rsidP="009F2DFA">
      <w:pPr>
        <w:pStyle w:val="BodyText1"/>
        <w:spacing w:after="0"/>
        <w:rPr>
          <w:rFonts w:ascii="Times New Roman" w:hAnsi="Times New Roman"/>
          <w:i/>
          <w:sz w:val="20"/>
          <w:szCs w:val="20"/>
        </w:rPr>
      </w:pPr>
    </w:p>
    <w:p w:rsidR="009F2DFA" w:rsidRDefault="009F2DFA" w:rsidP="009F2DFA">
      <w:pPr>
        <w:pStyle w:val="BodyText1"/>
        <w:spacing w:after="0"/>
        <w:rPr>
          <w:rFonts w:ascii="Times New Roman" w:hAnsi="Times New Roman"/>
          <w:i/>
          <w:sz w:val="20"/>
          <w:szCs w:val="20"/>
        </w:rPr>
      </w:pPr>
    </w:p>
    <w:p w:rsidR="009F2DFA" w:rsidRPr="00042C66" w:rsidRDefault="009F2DFA" w:rsidP="009F2DFA">
      <w:pPr>
        <w:pStyle w:val="BodyText1"/>
        <w:spacing w:after="0"/>
        <w:rPr>
          <w:rFonts w:ascii="Times New Roman" w:hAnsi="Times New Roman"/>
          <w:sz w:val="24"/>
          <w:szCs w:val="20"/>
        </w:rPr>
      </w:pPr>
      <w:r w:rsidRPr="00042C66">
        <w:rPr>
          <w:rFonts w:ascii="Times New Roman" w:hAnsi="Times New Roman"/>
          <w:sz w:val="24"/>
          <w:szCs w:val="20"/>
        </w:rPr>
        <w:t xml:space="preserve">Príklady konkrétnych typických informačných povinností podľa jednotlivých kategórií sú uvedené v nasledovnej tabuľke. </w:t>
      </w:r>
    </w:p>
    <w:p w:rsidR="009F2DFA" w:rsidRDefault="009F2DFA" w:rsidP="009F2DFA">
      <w:pPr>
        <w:pStyle w:val="BodyText1"/>
        <w:spacing w:after="0"/>
        <w:rPr>
          <w:rFonts w:ascii="Times New Roman" w:hAnsi="Times New Roman"/>
          <w:i/>
          <w:sz w:val="20"/>
          <w:szCs w:val="20"/>
        </w:rPr>
      </w:pPr>
    </w:p>
    <w:p w:rsidR="009F2DFA" w:rsidRPr="00042C66" w:rsidRDefault="009F2DFA" w:rsidP="009F2DFA">
      <w:pPr>
        <w:pStyle w:val="BodyText1"/>
        <w:spacing w:after="0"/>
        <w:rPr>
          <w:rFonts w:ascii="Times New Roman" w:hAnsi="Times New Roman"/>
          <w:i/>
          <w:sz w:val="20"/>
          <w:szCs w:val="20"/>
        </w:rPr>
      </w:pPr>
      <w:r w:rsidRPr="00042C66">
        <w:rPr>
          <w:rFonts w:ascii="Times New Roman" w:hAnsi="Times New Roman"/>
          <w:i/>
          <w:sz w:val="20"/>
          <w:szCs w:val="20"/>
        </w:rPr>
        <w:t>Prehľad kategórií typických informačných povinností</w:t>
      </w:r>
    </w:p>
    <w:tbl>
      <w:tblPr>
        <w:tblW w:w="5000" w:type="pct"/>
        <w:tblLook w:val="01E0" w:firstRow="1" w:lastRow="1" w:firstColumn="1" w:lastColumn="1" w:noHBand="0" w:noVBand="0"/>
      </w:tblPr>
      <w:tblGrid>
        <w:gridCol w:w="1663"/>
        <w:gridCol w:w="7625"/>
      </w:tblGrid>
      <w:tr w:rsidR="009F2DFA" w:rsidRPr="00042C66" w:rsidTr="00F84E4A">
        <w:trPr>
          <w:trHeight w:val="288"/>
        </w:trPr>
        <w:tc>
          <w:tcPr>
            <w:tcW w:w="895" w:type="pct"/>
            <w:shd w:val="clear" w:color="auto" w:fill="92D400"/>
            <w:vAlign w:val="center"/>
            <w:hideMark/>
          </w:tcPr>
          <w:p w:rsidR="009F2DFA" w:rsidRPr="00042C66" w:rsidRDefault="009F2DFA" w:rsidP="00F84E4A">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Kategória</w:t>
            </w:r>
          </w:p>
        </w:tc>
        <w:tc>
          <w:tcPr>
            <w:tcW w:w="4105" w:type="pct"/>
            <w:shd w:val="clear" w:color="auto" w:fill="92D400"/>
            <w:vAlign w:val="center"/>
            <w:hideMark/>
          </w:tcPr>
          <w:p w:rsidR="009F2DFA" w:rsidRPr="00042C66" w:rsidRDefault="009F2DFA" w:rsidP="00F84E4A">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Príklad IP</w:t>
            </w:r>
          </w:p>
        </w:tc>
      </w:tr>
      <w:tr w:rsidR="009F2DFA" w:rsidRPr="00042C66" w:rsidTr="00F84E4A">
        <w:trPr>
          <w:trHeight w:val="288"/>
        </w:trPr>
        <w:tc>
          <w:tcPr>
            <w:tcW w:w="895" w:type="pct"/>
            <w:tcBorders>
              <w:top w:val="nil"/>
              <w:left w:val="nil"/>
              <w:bottom w:val="single" w:sz="4" w:space="0" w:color="92D400"/>
              <w:right w:val="nil"/>
            </w:tcBorders>
            <w:vAlign w:val="center"/>
            <w:hideMark/>
          </w:tcPr>
          <w:p w:rsidR="009F2DFA" w:rsidRPr="00042C66" w:rsidRDefault="009F2DFA" w:rsidP="00F84E4A">
            <w:pPr>
              <w:rPr>
                <w:b/>
                <w:sz w:val="16"/>
                <w:szCs w:val="16"/>
              </w:rPr>
            </w:pPr>
            <w:r w:rsidRPr="00042C66">
              <w:rPr>
                <w:b/>
                <w:sz w:val="16"/>
                <w:szCs w:val="16"/>
              </w:rPr>
              <w:t>Archivácia</w:t>
            </w:r>
          </w:p>
        </w:tc>
        <w:tc>
          <w:tcPr>
            <w:tcW w:w="4105" w:type="pct"/>
            <w:tcBorders>
              <w:top w:val="nil"/>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dokumentácie po dobu päť rokov po skončení prítomnosti jadrových materiálov;</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posudkov z posudzovania rizika desať rokov odo dňa zatriedenia do rizikovej triedy;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uchovávať počas desiatich rokov od uvedenia hračky na trh kópiu ES certifikátu;</w:t>
            </w:r>
          </w:p>
        </w:tc>
      </w:tr>
      <w:tr w:rsidR="009F2DFA" w:rsidRPr="00042C66" w:rsidTr="00F84E4A">
        <w:trPr>
          <w:trHeight w:val="288"/>
        </w:trPr>
        <w:tc>
          <w:tcPr>
            <w:tcW w:w="895" w:type="pct"/>
            <w:tcBorders>
              <w:top w:val="single" w:sz="4" w:space="0" w:color="92D400"/>
              <w:left w:val="nil"/>
              <w:bottom w:val="single" w:sz="4" w:space="0" w:color="92D400"/>
              <w:right w:val="nil"/>
            </w:tcBorders>
            <w:vAlign w:val="center"/>
            <w:hideMark/>
          </w:tcPr>
          <w:p w:rsidR="009F2DFA" w:rsidRPr="00042C66" w:rsidRDefault="009F2DFA" w:rsidP="00F84E4A">
            <w:pPr>
              <w:rPr>
                <w:b/>
                <w:sz w:val="16"/>
                <w:szCs w:val="16"/>
              </w:rPr>
            </w:pPr>
            <w:r w:rsidRPr="00042C66">
              <w:rPr>
                <w:b/>
                <w:sz w:val="16"/>
                <w:szCs w:val="16"/>
              </w:rPr>
              <w:t>Evidencia, vedenie dokumentácie</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evidenciu používaných určených meradiel s uvedením dátumov ich overenia;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samostatnú evidenciu o zmenách na jadrovom zariadení;</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Držiteľ povolenia vedie evidenciu odborne spôsobilých zamestnancov;</w:t>
            </w:r>
          </w:p>
        </w:tc>
      </w:tr>
      <w:tr w:rsidR="009F2DFA" w:rsidRPr="00042C66" w:rsidTr="00F84E4A">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F84E4A">
            <w:pPr>
              <w:rPr>
                <w:b/>
                <w:sz w:val="16"/>
                <w:szCs w:val="16"/>
              </w:rPr>
            </w:pPr>
            <w:r w:rsidRPr="00042C66">
              <w:rPr>
                <w:b/>
                <w:sz w:val="16"/>
                <w:szCs w:val="16"/>
              </w:rPr>
              <w:t>Inventarizácia</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Vykonať inventarizáciu omamných a psychotropných látok do 31. decembra každého roka;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 uzatvorení dohody o hmotnej zodpovednosti, pri jej zániku, pri preradení zamestnanca na inú prácu alebo na iné pracovisko, pri jeho preložení a pri skončení pracovného pomeru sa musí vykonať inventarizácia;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Účtovná jednotka je povinná inventarizovať majetok, záväzky a rozdiel majetku a záväzkov;</w:t>
            </w:r>
          </w:p>
        </w:tc>
      </w:tr>
      <w:tr w:rsidR="009F2DFA" w:rsidRPr="00042C66" w:rsidTr="00F84E4A">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F84E4A">
            <w:pPr>
              <w:rPr>
                <w:b/>
                <w:sz w:val="16"/>
                <w:szCs w:val="16"/>
              </w:rPr>
            </w:pPr>
            <w:r w:rsidRPr="00042C66">
              <w:rPr>
                <w:b/>
                <w:sz w:val="16"/>
                <w:szCs w:val="16"/>
              </w:rPr>
              <w:t>Ohlásenie, oznámenie, poskytnutie informácie</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Oznámenie o zmene údajov uvedených v ohlásení živnosti;</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Bezodkladne informovať orgán dohľadu, že zariadenie sprístupnené na trhu nespĺňa technické požiadavky;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Informovať o pripravovanej zmene druhu opakovane použiteľného obalu najmenej tri mesiace pred vykonaním takejto zmeny;</w:t>
            </w:r>
          </w:p>
        </w:tc>
      </w:tr>
      <w:tr w:rsidR="009F2DFA" w:rsidRPr="00042C66" w:rsidTr="00F84E4A">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F84E4A">
            <w:pPr>
              <w:rPr>
                <w:b/>
                <w:sz w:val="16"/>
                <w:szCs w:val="16"/>
              </w:rPr>
            </w:pPr>
            <w:r w:rsidRPr="00042C66">
              <w:rPr>
                <w:b/>
                <w:sz w:val="16"/>
                <w:szCs w:val="16"/>
              </w:rPr>
              <w:t>Overenie súladu</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Vykonávať pravidelné kontroly výrobnej činnosti na zistenie koncentrácie ťažkých kovov;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Osoba, ktorá podpisuje návrh na zápis elektronickým podpisom, je povinná zabezpečiť overenie svojich osobných údajov na účely elektronického konania;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Pred začiatkom spúšťania musí držiteľ povolenia skontrolovať pripravenosť jadrového zariadenia na spúšťanie tak, že preverí a protokolárne zaznamená splnenie kritérií úspešnosti </w:t>
            </w:r>
            <w:proofErr w:type="spellStart"/>
            <w:r w:rsidRPr="00042C66">
              <w:rPr>
                <w:rFonts w:ascii="Times New Roman" w:hAnsi="Times New Roman"/>
                <w:sz w:val="16"/>
                <w:szCs w:val="16"/>
              </w:rPr>
              <w:t>pomontážnych</w:t>
            </w:r>
            <w:proofErr w:type="spellEnd"/>
            <w:r w:rsidRPr="00042C66">
              <w:rPr>
                <w:rFonts w:ascii="Times New Roman" w:hAnsi="Times New Roman"/>
                <w:sz w:val="16"/>
                <w:szCs w:val="16"/>
              </w:rPr>
              <w:t xml:space="preserve"> skúšok systémov, konštrukcií a komponentov;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Prehodnocovať a aktualizovať bezpečnostnú správu najmenej raz za päť rokov ako aj pri závažnej zmene v podniku;</w:t>
            </w:r>
          </w:p>
        </w:tc>
      </w:tr>
      <w:tr w:rsidR="009F2DFA" w:rsidRPr="00042C66" w:rsidTr="00F84E4A">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F84E4A">
            <w:pPr>
              <w:rPr>
                <w:b/>
                <w:sz w:val="16"/>
                <w:szCs w:val="16"/>
              </w:rPr>
            </w:pPr>
            <w:r w:rsidRPr="00042C66">
              <w:rPr>
                <w:b/>
                <w:sz w:val="16"/>
                <w:szCs w:val="16"/>
              </w:rPr>
              <w:t>Poskytnutie súčinnosti</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Prijímateľ, partner a osoba k nim majúca vzťah dodávateľa je povinná poskytnúť súčinnosť riadiacemu orgánu;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Na základe vyžiadania dodať príslušné materiály a technickú dokumentáciu o meradle v štátnom jazyku;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poskytnúť súčinnosť správe katastra pri revízii údajov katastra;</w:t>
            </w:r>
          </w:p>
        </w:tc>
      </w:tr>
      <w:tr w:rsidR="009F2DFA" w:rsidRPr="00042C66" w:rsidTr="00F84E4A">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F84E4A">
            <w:pPr>
              <w:rPr>
                <w:b/>
                <w:sz w:val="16"/>
                <w:szCs w:val="16"/>
              </w:rPr>
            </w:pPr>
            <w:r w:rsidRPr="00042C66">
              <w:rPr>
                <w:b/>
                <w:sz w:val="16"/>
                <w:szCs w:val="16"/>
              </w:rPr>
              <w:t>Predloženie dokladu/ dokumentu elektronicky</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Poskytnúť elektronickú verziu technickej dokumentácie do desiatich pracovných dní od doručenia žiadosti orgánu dohľadu nad trhom;</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Odovzdanie štatistických údajov spravodajskou jednotkou;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zasielať zoznamy vydaných a zoznamy zrušených kvalifikovaných certifikátov;</w:t>
            </w:r>
          </w:p>
        </w:tc>
      </w:tr>
      <w:tr w:rsidR="009F2DFA" w:rsidRPr="00042C66" w:rsidTr="00F84E4A">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F84E4A">
            <w:pPr>
              <w:rPr>
                <w:b/>
                <w:sz w:val="16"/>
                <w:szCs w:val="16"/>
              </w:rPr>
            </w:pPr>
            <w:r w:rsidRPr="00042C66">
              <w:rPr>
                <w:b/>
                <w:sz w:val="16"/>
                <w:szCs w:val="16"/>
              </w:rPr>
              <w:t>Predloženie dokladu/ dokumentu papierovo</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pri skončení činnosti, ktorá je predmetom registrácie, odovzdať úradu rozhodnutie o registrácii;</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Predloženie auditnej správy ako náhrady kontroly;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Predkladať NBS výkaz o vykonávaní finančného sprostredkovania a výkaz o vykonávaní finančného poradenstva;</w:t>
            </w:r>
          </w:p>
        </w:tc>
      </w:tr>
      <w:tr w:rsidR="009F2DFA" w:rsidRPr="00042C66" w:rsidTr="00F84E4A">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F84E4A">
            <w:pPr>
              <w:rPr>
                <w:b/>
                <w:sz w:val="16"/>
                <w:szCs w:val="16"/>
              </w:rPr>
            </w:pPr>
            <w:r w:rsidRPr="00042C66">
              <w:rPr>
                <w:b/>
                <w:sz w:val="16"/>
                <w:szCs w:val="16"/>
              </w:rPr>
              <w:t>Vypracovanie dokumentu/ správy</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zostaviť konsolidovanú účtovnú závierku;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daňové priznanie k dani z motorových vozidiel</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Vypracovanie písomného dokumentu o posúdení rizika pri všetkých činnostiach vykonávaných zamestnancami;</w:t>
            </w:r>
          </w:p>
        </w:tc>
      </w:tr>
      <w:tr w:rsidR="009F2DFA" w:rsidRPr="00042C66" w:rsidTr="00F84E4A">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F84E4A">
            <w:pPr>
              <w:rPr>
                <w:b/>
                <w:sz w:val="16"/>
                <w:szCs w:val="16"/>
              </w:rPr>
            </w:pPr>
            <w:r w:rsidRPr="00042C66">
              <w:rPr>
                <w:b/>
                <w:sz w:val="16"/>
                <w:szCs w:val="16"/>
              </w:rPr>
              <w:lastRenderedPageBreak/>
              <w:t>Žiadosť/ návrh</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akreditáciu;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Žiadosť o schválenie systému odbornej prípravy zamestnancov držiteľov povolenia;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povolenie na vypúšťanie skleníkových plynov do ovzdušia.</w:t>
            </w:r>
          </w:p>
        </w:tc>
      </w:tr>
    </w:tbl>
    <w:p w:rsidR="009F2DFA" w:rsidRPr="00042C66" w:rsidRDefault="009F2DFA" w:rsidP="009F2DFA">
      <w:pPr>
        <w:pStyle w:val="BodyText1"/>
        <w:rPr>
          <w:rFonts w:ascii="Times New Roman" w:hAnsi="Times New Roman"/>
          <w:i/>
        </w:rPr>
      </w:pPr>
    </w:p>
    <w:p w:rsidR="009F2DFA" w:rsidRPr="00042C66" w:rsidRDefault="009F2DFA" w:rsidP="009F2DFA">
      <w:pPr>
        <w:pStyle w:val="BodyText1"/>
        <w:numPr>
          <w:ilvl w:val="0"/>
          <w:numId w:val="5"/>
        </w:numPr>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Expertný odhad trvania povinnosti (</w:t>
      </w:r>
      <w:r>
        <w:rPr>
          <w:rFonts w:ascii="Times New Roman" w:eastAsiaTheme="minorHAnsi" w:hAnsi="Times New Roman"/>
          <w:i/>
          <w:color w:val="auto"/>
          <w:sz w:val="24"/>
          <w:szCs w:val="22"/>
        </w:rPr>
        <w:t xml:space="preserve">v </w:t>
      </w:r>
      <w:r w:rsidRPr="00042C66">
        <w:rPr>
          <w:rFonts w:ascii="Times New Roman" w:eastAsiaTheme="minorHAnsi" w:hAnsi="Times New Roman"/>
          <w:i/>
          <w:color w:val="auto"/>
          <w:sz w:val="24"/>
          <w:szCs w:val="22"/>
        </w:rPr>
        <w:t xml:space="preserve">min.) </w:t>
      </w:r>
    </w:p>
    <w:p w:rsidR="009F2DFA" w:rsidRPr="00042C66" w:rsidRDefault="009F2DFA" w:rsidP="009F2DFA">
      <w:pPr>
        <w:pStyle w:val="BodyText1"/>
        <w:spacing w:line="276" w:lineRule="auto"/>
        <w:ind w:left="720"/>
        <w:jc w:val="both"/>
        <w:rPr>
          <w:rFonts w:ascii="Times New Roman" w:hAnsi="Times New Roman"/>
          <w:sz w:val="24"/>
          <w:szCs w:val="20"/>
        </w:rPr>
      </w:pPr>
      <w:r w:rsidRPr="00042C66">
        <w:rPr>
          <w:rFonts w:ascii="Times New Roman" w:hAnsi="Times New Roman"/>
          <w:sz w:val="24"/>
          <w:szCs w:val="20"/>
        </w:rPr>
        <w:t xml:space="preserve">V prípade, že predkladateľ disponuje presnejšími údajmi o trvaní povinnosti získanými na základe vlastných meraní, diskusie so zainteresovanými subjektmi, prípadne vlastným expertným odhadom trvania povinnosti, môže použiť pre výpočet nákladov regulácie tieto údaje. Rovnako postupuje v prípade, že identifikuje špecifické povinnosti, ku ktorým nie je možné priradiť žiadnu z vyššie uvedených typických informačných povinností. </w:t>
      </w:r>
    </w:p>
    <w:p w:rsidR="009F2DFA" w:rsidRPr="00074919" w:rsidRDefault="009F2DFA" w:rsidP="009F2DFA">
      <w:pPr>
        <w:pStyle w:val="BodyText1"/>
        <w:spacing w:line="276" w:lineRule="auto"/>
        <w:ind w:left="720"/>
        <w:jc w:val="both"/>
        <w:rPr>
          <w:rFonts w:ascii="Times New Roman" w:hAnsi="Times New Roman"/>
          <w:color w:val="auto"/>
          <w:sz w:val="24"/>
          <w:szCs w:val="20"/>
        </w:rPr>
      </w:pPr>
      <w:r w:rsidRPr="00042C66">
        <w:rPr>
          <w:rFonts w:ascii="Times New Roman" w:hAnsi="Times New Roman"/>
          <w:sz w:val="24"/>
          <w:szCs w:val="20"/>
        </w:rPr>
        <w:t>Pri definovaní časovej náročnosti povinnosti je potrebné klásť dôraz na to, aby v rámci expertného odhadu časovej náročnosti bolo zohľadnené trvanie všetkých čiastkových administratívnych úkonov, ktoré musí podnikateľ vykonať, aby riadne splnil danú povinnosť (tak ako tomu je aj v prípade štand</w:t>
      </w:r>
      <w:r w:rsidRPr="00074919">
        <w:rPr>
          <w:rFonts w:ascii="Times New Roman" w:hAnsi="Times New Roman"/>
          <w:color w:val="auto"/>
          <w:sz w:val="24"/>
          <w:szCs w:val="20"/>
        </w:rPr>
        <w:t>ardizovaných časov uvedených pri typických informačných povinnostiach). Medzi čiastkové administratívne úkony</w:t>
      </w:r>
      <w:r>
        <w:rPr>
          <w:rFonts w:ascii="Times New Roman" w:hAnsi="Times New Roman"/>
          <w:color w:val="auto"/>
          <w:sz w:val="24"/>
          <w:szCs w:val="20"/>
        </w:rPr>
        <w:t>, ktoré podnikateľ zvyčajne vykonáva pri plnení jednotlivých informačných povinností,</w:t>
      </w:r>
      <w:r w:rsidRPr="00074919">
        <w:rPr>
          <w:rFonts w:ascii="Times New Roman" w:hAnsi="Times New Roman"/>
          <w:color w:val="auto"/>
          <w:sz w:val="24"/>
          <w:szCs w:val="20"/>
        </w:rPr>
        <w:t xml:space="preserve"> </w:t>
      </w:r>
      <w:r>
        <w:rPr>
          <w:rFonts w:ascii="Times New Roman" w:hAnsi="Times New Roman"/>
          <w:color w:val="auto"/>
          <w:sz w:val="24"/>
          <w:szCs w:val="20"/>
        </w:rPr>
        <w:t xml:space="preserve">patrí najmä oboznámenie sa s IP, vyhľadávanie a výber informácií, </w:t>
      </w:r>
      <w:r w:rsidRPr="00074919">
        <w:rPr>
          <w:rFonts w:ascii="Times New Roman" w:hAnsi="Times New Roman"/>
          <w:color w:val="auto"/>
          <w:sz w:val="24"/>
          <w:szCs w:val="20"/>
        </w:rPr>
        <w:t>s</w:t>
      </w:r>
      <w:r>
        <w:rPr>
          <w:rFonts w:ascii="Times New Roman" w:hAnsi="Times New Roman"/>
          <w:color w:val="auto"/>
          <w:sz w:val="24"/>
          <w:szCs w:val="20"/>
        </w:rPr>
        <w:t xml:space="preserve">pracovanie vstupných informácií, výpočty, spracovanie číselných údajov, kontrola, korekcia, vyúčtovanie/platba, interné stretnutia, externé stretnutia, </w:t>
      </w:r>
      <w:r w:rsidRPr="00074919">
        <w:rPr>
          <w:rFonts w:ascii="Times New Roman" w:hAnsi="Times New Roman"/>
          <w:color w:val="auto"/>
          <w:sz w:val="24"/>
          <w:szCs w:val="20"/>
        </w:rPr>
        <w:t>inšpek</w:t>
      </w:r>
      <w:r>
        <w:rPr>
          <w:rFonts w:ascii="Times New Roman" w:hAnsi="Times New Roman"/>
          <w:color w:val="auto"/>
          <w:sz w:val="24"/>
          <w:szCs w:val="20"/>
        </w:rPr>
        <w:t xml:space="preserve">cia zo strany verejných orgánov, </w:t>
      </w:r>
      <w:r w:rsidRPr="00074919">
        <w:rPr>
          <w:rFonts w:ascii="Times New Roman" w:hAnsi="Times New Roman"/>
          <w:color w:val="auto"/>
          <w:sz w:val="24"/>
          <w:szCs w:val="20"/>
        </w:rPr>
        <w:t>korekcia v</w:t>
      </w:r>
      <w:r>
        <w:rPr>
          <w:rFonts w:ascii="Times New Roman" w:hAnsi="Times New Roman"/>
          <w:color w:val="auto"/>
          <w:sz w:val="24"/>
          <w:szCs w:val="20"/>
        </w:rPr>
        <w:t>yplývajúca z výsledku inšpekcie, kopírovanie a</w:t>
      </w:r>
      <w:r w:rsidRPr="00074919">
        <w:rPr>
          <w:rFonts w:ascii="Times New Roman" w:hAnsi="Times New Roman"/>
          <w:color w:val="auto"/>
          <w:sz w:val="24"/>
          <w:szCs w:val="20"/>
        </w:rPr>
        <w:t xml:space="preserve"> skenovanie.  </w:t>
      </w:r>
    </w:p>
    <w:p w:rsidR="009F2DFA" w:rsidRPr="00042C66" w:rsidRDefault="009F2DFA" w:rsidP="009F2DFA">
      <w:pPr>
        <w:pStyle w:val="BodyText1"/>
        <w:spacing w:line="276" w:lineRule="auto"/>
        <w:ind w:firstLine="340"/>
        <w:jc w:val="both"/>
        <w:rPr>
          <w:rFonts w:ascii="Times New Roman" w:eastAsiaTheme="minorHAnsi" w:hAnsi="Times New Roman"/>
          <w:color w:val="auto"/>
          <w:sz w:val="24"/>
          <w:szCs w:val="22"/>
        </w:rPr>
      </w:pPr>
    </w:p>
    <w:p w:rsidR="009F2DFA" w:rsidRPr="00042C66" w:rsidRDefault="009F2DFA" w:rsidP="009F2DFA">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2 – Určenie výšky súvisiacich priamych a nepriamych finančných nákladov na splnenie povinnosti jedným podnikom, resp. na jedno plnenie</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plnenie povinnosti je spojené taktiež/výhradne s priamymi alebo nepriamymi finančnými nákladmi na strane podnikateľa, určí/odhadne predkladateľ výšku týchto nákladov na jedného podnikateľa, resp. jedno plnenie. Ide buď o náklady priame – poplatky za vystavenie dokladu/výpisu, kolky, správne poplatky, poistné alebo náklady nepriame – náklady na povinné školenia, testy, kontroly, investície do softvéru, zabezpečenie súladu s</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reguláciou technickým vybavením prevádzky, a pod.</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 xml:space="preserve">V prípade, že povinnosť je na strane podnikateľa spojená so </w:t>
      </w:r>
      <w:r w:rsidRPr="00042C66">
        <w:rPr>
          <w:rFonts w:ascii="Times New Roman" w:eastAsiaTheme="minorHAnsi" w:hAnsi="Times New Roman"/>
          <w:b/>
          <w:color w:val="auto"/>
          <w:sz w:val="24"/>
          <w:szCs w:val="22"/>
        </w:rPr>
        <w:t>zaplatením dane, cla alebo odvodov</w:t>
      </w:r>
      <w:r w:rsidRPr="00042C66">
        <w:rPr>
          <w:rFonts w:ascii="Times New Roman" w:eastAsiaTheme="minorHAnsi" w:hAnsi="Times New Roman"/>
          <w:color w:val="auto"/>
          <w:sz w:val="24"/>
          <w:szCs w:val="22"/>
        </w:rPr>
        <w:t>, opiera sa predkladateľ o analýzu vplyvu predkladaného materiálu na verejné financie. Súvisiaci vyvolaný dopad na verejné financie  vydelí spracovateľ počtom podnikateľov, ktorých sa povinnosť týka.  Tým získava údaj o vplyve daňového/odvodového/colného zaťaženia na jedného podnikateľa v súvislosti s plnením povinnosti. Informáciu, že ide o výšku odvedenej dane/cla/odvodov zároveň uvedie predkladateľ spolu s komentárom.</w:t>
      </w:r>
    </w:p>
    <w:p w:rsidR="009F2DFA" w:rsidRDefault="009F2DFA" w:rsidP="009F2DFA">
      <w:pPr>
        <w:rPr>
          <w:b/>
          <w:sz w:val="24"/>
        </w:rPr>
      </w:pPr>
      <w:r>
        <w:rPr>
          <w:b/>
          <w:sz w:val="24"/>
        </w:rPr>
        <w:br w:type="page"/>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lastRenderedPageBreak/>
        <w:t>Krok 3 – Určenie počtu dotknutých podnikateľov</w:t>
      </w:r>
      <w:r w:rsidRPr="00042C66">
        <w:rPr>
          <w:rFonts w:ascii="Times New Roman" w:eastAsiaTheme="minorHAnsi" w:hAnsi="Times New Roman"/>
          <w:color w:val="auto"/>
          <w:sz w:val="24"/>
          <w:szCs w:val="22"/>
        </w:rPr>
        <w:t xml:space="preserve"> – populácie, resp. počtu plnení</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Populácia predstavuje počet podnikateľov, na ktorých sa daná povinnosť vzťahuje resp. počet podnikateľov ovplyvnených predkladanou reguláciou. Tento údaj môže byť určený presne na základe evidencie zodpovedných útvarov za predošlé obdobia, odhadom prostredníctvom údajov za predchádzajúce obdobie, prostredníctvom štatistík podľa SK NACE klasifikácie alebo expertným odhadom.</w:t>
      </w:r>
    </w:p>
    <w:p w:rsidR="009F2DFA" w:rsidRPr="00042C66" w:rsidRDefault="009F2DFA" w:rsidP="009F2DFA">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predkladateľ disponuje údajom o presnom počte plnení povinností za rok, postupuje pri vypĺňaní tohto kroku nasledovne:</w:t>
      </w:r>
    </w:p>
    <w:p w:rsidR="009F2DFA" w:rsidRPr="00042C66" w:rsidRDefault="009F2DFA" w:rsidP="009F2DFA">
      <w:pPr>
        <w:pStyle w:val="BodyText1"/>
        <w:numPr>
          <w:ilvl w:val="0"/>
          <w:numId w:val="4"/>
        </w:numPr>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menšou ako 1 krát ročne, t.j. nepravidelne/ jednorázovo  alebo raz za niekoľko rokov (napr. počet žiadostí o registráciu, povinnosť periodického obnovenia odbornej spôsobilosti zamestnanca po 5 rokoch a</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pod.) uvedie predkladateľ v rámci tohto poľa údaj o presnom počte plnení v danom roku. S ohľadom na potrebu kalkulácie nákladov povinnosti na ročnej báze v takomto prípade následne používa v Kroku 4 – Stanovenie frekvencie plnenia povinnosti možnosť 1-krát ročne (koeficient frekvencie 0,1).</w:t>
      </w:r>
    </w:p>
    <w:p w:rsidR="009F2DFA" w:rsidRPr="00042C66" w:rsidRDefault="009F2DFA" w:rsidP="009F2DFA">
      <w:pPr>
        <w:pStyle w:val="BodyText1"/>
        <w:numPr>
          <w:ilvl w:val="0"/>
          <w:numId w:val="4"/>
        </w:numPr>
        <w:spacing w:after="240" w:line="276" w:lineRule="auto"/>
        <w:ind w:left="714" w:hanging="357"/>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niekoľkokrát za rok (napr. podávanie kvartálnych/mesačných výkazov DPH, predkladanie polročných štatistických výkazov a pod.), vydelí predkladateľ počet plnení v danom roku frekvenciou plnenia povinnosti (mesačne – 12, kvartálne – 4, polročne – 2, atď.), čím dostáva dáta o počte dotknutých podnikateľov, s ktorými uvažuje ďalej vo výpočte. V následnom Kroku 4 – Stanovenie frekvencie plnenia povinnosti – postupuje v súlade s nižšie uvedeným popisom/tabuľkou, t.j. uvádza skutočnú  frekvenciu plnenia povinnosti za rok.</w:t>
      </w:r>
    </w:p>
    <w:p w:rsidR="009F2DFA" w:rsidRPr="00042C66" w:rsidRDefault="009F2DFA" w:rsidP="009F2DFA">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4 – Stanovenie frekvencie plnenia povinnosti, ktorá sa určí pomocou nasledovných koeficientov:</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štvrtom kroku predkladateľ stanoví frekvenciu plnenia povinnosti, teda početnosť plnení danej povinnosti jedným podnikateľom za určité obdobie. Bázou</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voči ktorej je stanovovaná frekvencia</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je obdobie 1 roka. Povinnosti môžu byť plnené pravidelne na ročnej báze, polročne, kvartálne, raz za niekoľko rokov, prípadne jednorazovo (napr. povinnosti v</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súvislosti so vznikom a ukončením podnikania) alebo nepravidelne (v prípade zriedkavého výskytu určitej udalosti, napr. vznik priemyselnej havárie). Koeficienty pre výpočet nákladov regulácie zodpovedajúce frekvencii plnenia sú uvedené v tabuľke.</w:t>
      </w:r>
    </w:p>
    <w:p w:rsidR="009F2DFA" w:rsidRDefault="009F2DFA" w:rsidP="009F2DFA">
      <w:pPr>
        <w:pStyle w:val="BodyText1"/>
        <w:spacing w:after="0" w:line="276" w:lineRule="auto"/>
        <w:ind w:left="1134"/>
        <w:rPr>
          <w:rFonts w:ascii="Times New Roman" w:hAnsi="Times New Roman"/>
          <w:i/>
          <w:sz w:val="20"/>
          <w:szCs w:val="20"/>
        </w:rPr>
      </w:pPr>
      <w:r>
        <w:rPr>
          <w:rFonts w:ascii="Times New Roman" w:hAnsi="Times New Roman"/>
          <w:i/>
          <w:sz w:val="20"/>
          <w:szCs w:val="2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9F2DFA" w:rsidRPr="00C07FF5" w:rsidTr="00F84E4A">
        <w:trPr>
          <w:trHeight w:val="459"/>
          <w:jc w:val="center"/>
        </w:trPr>
        <w:tc>
          <w:tcPr>
            <w:tcW w:w="2292" w:type="dxa"/>
            <w:tcBorders>
              <w:top w:val="single" w:sz="2" w:space="0" w:color="81BC00"/>
              <w:left w:val="single" w:sz="2" w:space="0" w:color="81BC00"/>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F84E4A">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138"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F84E4A">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c>
          <w:tcPr>
            <w:tcW w:w="2411"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F84E4A">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079" w:type="dxa"/>
            <w:tcBorders>
              <w:top w:val="single" w:sz="2" w:space="0" w:color="81BC00"/>
              <w:left w:val="single" w:sz="4" w:space="0" w:color="FFFFFF" w:themeColor="background1"/>
              <w:bottom w:val="single" w:sz="2" w:space="0" w:color="81BC00"/>
              <w:right w:val="single" w:sz="2" w:space="0" w:color="81BC00"/>
            </w:tcBorders>
            <w:shd w:val="clear" w:color="auto" w:fill="81BC00"/>
            <w:tcMar>
              <w:top w:w="28" w:type="dxa"/>
              <w:left w:w="28" w:type="dxa"/>
              <w:bottom w:w="28" w:type="dxa"/>
              <w:right w:w="28" w:type="dxa"/>
            </w:tcMar>
            <w:vAlign w:val="center"/>
            <w:hideMark/>
          </w:tcPr>
          <w:p w:rsidR="009F2DFA" w:rsidRPr="00C07FF5" w:rsidRDefault="009F2DFA" w:rsidP="00F84E4A">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r>
      <w:tr w:rsidR="009F2DFA" w:rsidRPr="00C07FF5" w:rsidTr="00F84E4A">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F84E4A">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F84E4A">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F84E4A">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2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F84E4A">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0,5</w:t>
            </w:r>
            <w:r w:rsidRPr="00C07FF5">
              <w:rPr>
                <w:rFonts w:asciiTheme="minorHAnsi" w:hAnsiTheme="minorHAnsi" w:cstheme="minorHAnsi"/>
                <w:sz w:val="16"/>
                <w:szCs w:val="16"/>
                <w:lang w:val="en-US"/>
              </w:rPr>
              <w:t>0</w:t>
            </w:r>
          </w:p>
        </w:tc>
      </w:tr>
      <w:tr w:rsidR="009F2DFA" w:rsidRPr="00C07FF5" w:rsidTr="00F84E4A">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F84E4A">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F84E4A">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F84E4A">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3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F84E4A">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0,33</w:t>
            </w:r>
          </w:p>
        </w:tc>
      </w:tr>
      <w:tr w:rsidR="009F2DFA" w:rsidRPr="00C07FF5" w:rsidTr="00F84E4A">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F84E4A">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F84E4A">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F84E4A">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4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F84E4A">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0,25</w:t>
            </w:r>
          </w:p>
        </w:tc>
      </w:tr>
      <w:tr w:rsidR="009F2DFA" w:rsidRPr="00C07FF5" w:rsidTr="00F84E4A">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F84E4A">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F84E4A">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F84E4A">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každých 5 rokov</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F84E4A">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0,20</w:t>
            </w:r>
          </w:p>
        </w:tc>
      </w:tr>
      <w:tr w:rsidR="009F2DFA" w:rsidRPr="00C07FF5" w:rsidTr="00F84E4A">
        <w:trPr>
          <w:trHeight w:val="170"/>
          <w:jc w:val="center"/>
        </w:trPr>
        <w:tc>
          <w:tcPr>
            <w:tcW w:w="2292" w:type="dxa"/>
            <w:tcBorders>
              <w:top w:val="single" w:sz="2" w:space="0" w:color="81BC00"/>
              <w:left w:val="single" w:sz="4" w:space="0" w:color="FFFFFF" w:themeColor="background1"/>
              <w:bottom w:val="single" w:sz="2" w:space="0" w:color="81BC00"/>
              <w:right w:val="nil"/>
            </w:tcBorders>
            <w:shd w:val="clear" w:color="auto" w:fill="auto"/>
            <w:tcMar>
              <w:top w:w="28" w:type="dxa"/>
              <w:left w:w="28" w:type="dxa"/>
              <w:bottom w:w="28" w:type="dxa"/>
              <w:right w:w="28" w:type="dxa"/>
            </w:tcMar>
            <w:vAlign w:val="center"/>
            <w:hideMark/>
          </w:tcPr>
          <w:p w:rsidR="009F2DFA" w:rsidRPr="00C07FF5" w:rsidRDefault="009F2DFA" w:rsidP="00F84E4A">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rsidR="009F2DFA" w:rsidRPr="00C07FF5" w:rsidRDefault="009F2DFA" w:rsidP="00F84E4A">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rsidR="009F2DFA" w:rsidRPr="00C07FF5" w:rsidRDefault="009F2DFA" w:rsidP="00F84E4A">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nepravidelne/ jednorazovo</w:t>
            </w:r>
          </w:p>
        </w:tc>
        <w:tc>
          <w:tcPr>
            <w:tcW w:w="1079" w:type="dxa"/>
            <w:tcBorders>
              <w:top w:val="single" w:sz="2" w:space="0" w:color="81BC00"/>
              <w:left w:val="nil"/>
              <w:bottom w:val="single" w:sz="2" w:space="0" w:color="81BC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F84E4A">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0,10</w:t>
            </w:r>
          </w:p>
        </w:tc>
      </w:tr>
    </w:tbl>
    <w:p w:rsidR="009F2DFA" w:rsidRDefault="009F2DFA" w:rsidP="009F2DFA">
      <w:pPr>
        <w:pStyle w:val="BodyText1"/>
        <w:spacing w:after="0" w:line="276" w:lineRule="auto"/>
        <w:ind w:left="1134"/>
        <w:rPr>
          <w:rFonts w:ascii="Times New Roman" w:eastAsiaTheme="minorHAnsi" w:hAnsi="Times New Roman"/>
          <w:color w:val="auto"/>
          <w:sz w:val="20"/>
          <w:szCs w:val="22"/>
        </w:rPr>
      </w:pPr>
    </w:p>
    <w:p w:rsidR="00780BA6" w:rsidRDefault="00780BA6" w:rsidP="009F2DFA">
      <w:pPr>
        <w:pStyle w:val="BodyText1"/>
        <w:spacing w:line="276" w:lineRule="auto"/>
        <w:jc w:val="both"/>
        <w:rPr>
          <w:rFonts w:ascii="Times New Roman" w:hAnsi="Times New Roman"/>
          <w:sz w:val="24"/>
          <w:szCs w:val="20"/>
        </w:rPr>
      </w:pPr>
    </w:p>
    <w:p w:rsidR="009F2DFA" w:rsidRPr="00042C66" w:rsidRDefault="009F2DFA" w:rsidP="009F2DFA">
      <w:pPr>
        <w:pStyle w:val="BodyText1"/>
        <w:spacing w:line="276" w:lineRule="auto"/>
        <w:jc w:val="both"/>
        <w:rPr>
          <w:rFonts w:ascii="Times New Roman" w:hAnsi="Times New Roman"/>
          <w:sz w:val="24"/>
        </w:rPr>
      </w:pPr>
      <w:r w:rsidRPr="00042C66">
        <w:rPr>
          <w:rFonts w:ascii="Times New Roman" w:hAnsi="Times New Roman"/>
          <w:sz w:val="24"/>
          <w:szCs w:val="20"/>
        </w:rPr>
        <w:lastRenderedPageBreak/>
        <w:t xml:space="preserve">Jednotlivé položky nákladov sú na úrovni 1 povinnosti kalkulované na základe nasledovných princípov: </w:t>
      </w:r>
    </w:p>
    <w:p w:rsidR="009F2DFA" w:rsidRPr="00042C66" w:rsidRDefault="009F2DFA" w:rsidP="009F2DFA">
      <w:pPr>
        <w:pStyle w:val="BodyText1"/>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1 podnikateľa</w:t>
      </w: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1 podnikateľa - </w:t>
      </w:r>
      <w:r w:rsidRPr="00042C66">
        <w:rPr>
          <w:rFonts w:ascii="Times New Roman" w:eastAsiaTheme="minorHAnsi" w:hAnsi="Times New Roman"/>
          <w:color w:val="auto"/>
          <w:sz w:val="24"/>
          <w:szCs w:val="20"/>
        </w:rPr>
        <w:t>výška priamych a nepriamych nákladov povinnosti na 1 podnikateľa je vyčíslená na základe vzorca:</w:t>
      </w:r>
    </w:p>
    <w:p w:rsidR="009F2DFA" w:rsidRDefault="009F2DFA" w:rsidP="009F2DFA">
      <w:pPr>
        <w:pStyle w:val="BodyText1"/>
      </w:pPr>
      <w:r>
        <w:rPr>
          <w:rFonts w:ascii="Times New Roman" w:hAnsi="Times New Roman"/>
          <w:noProof/>
          <w:lang w:eastAsia="sk-SK"/>
        </w:rPr>
        <mc:AlternateContent>
          <mc:Choice Requires="wps">
            <w:drawing>
              <wp:anchor distT="0" distB="0" distL="114300" distR="114300" simplePos="0" relativeHeight="251660288" behindDoc="0" locked="0" layoutInCell="1" allowOverlap="1" wp14:anchorId="1972291E" wp14:editId="4BA027B5">
                <wp:simplePos x="0" y="0"/>
                <wp:positionH relativeFrom="column">
                  <wp:posOffset>1871980</wp:posOffset>
                </wp:positionH>
                <wp:positionV relativeFrom="paragraph">
                  <wp:posOffset>650875</wp:posOffset>
                </wp:positionV>
                <wp:extent cx="152400" cy="76200"/>
                <wp:effectExtent l="0" t="0" r="19050" b="19050"/>
                <wp:wrapNone/>
                <wp:docPr id="26" name="Obdĺžnik 26"/>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26" o:spid="_x0000_s1026" style="position:absolute;margin-left:147.4pt;margin-top:51.25pt;width:12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" fillcolor="#19a2ff" strokecolor="#19a2ff" strokeweight="2pt"/>
            </w:pict>
          </mc:Fallback>
        </mc:AlternateContent>
      </w:r>
      <w:r>
        <w:rPr>
          <w:rFonts w:ascii="Times New Roman" w:hAnsi="Times New Roman"/>
          <w:noProof/>
          <w:lang w:eastAsia="sk-SK"/>
        </w:rPr>
        <mc:AlternateContent>
          <mc:Choice Requires="wps">
            <w:drawing>
              <wp:anchor distT="0" distB="0" distL="114300" distR="114300" simplePos="0" relativeHeight="251659264" behindDoc="0" locked="0" layoutInCell="1" allowOverlap="1" wp14:anchorId="5A20335A" wp14:editId="205EF36A">
                <wp:simplePos x="0" y="0"/>
                <wp:positionH relativeFrom="column">
                  <wp:posOffset>1871980</wp:posOffset>
                </wp:positionH>
                <wp:positionV relativeFrom="paragraph">
                  <wp:posOffset>98425</wp:posOffset>
                </wp:positionV>
                <wp:extent cx="152400" cy="76200"/>
                <wp:effectExtent l="0" t="0" r="19050" b="19050"/>
                <wp:wrapNone/>
                <wp:docPr id="25" name="Obdĺžnik 25"/>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25" o:spid="_x0000_s1026" style="position:absolute;margin-left:147.4pt;margin-top:7.75pt;width:12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" fillcolor="#19a2ff" strokecolor="#19a2ff" strokeweight="2pt"/>
            </w:pict>
          </mc:Fallback>
        </mc:AlternateContent>
      </w:r>
      <w:r w:rsidRPr="00042C66">
        <w:rPr>
          <w:rFonts w:ascii="Times New Roman" w:hAnsi="Times New Roman"/>
          <w:noProof/>
          <w:lang w:eastAsia="sk-SK"/>
        </w:rPr>
        <w:drawing>
          <wp:inline distT="0" distB="0" distL="0" distR="0" wp14:anchorId="75ACFCAD" wp14:editId="08666A85">
            <wp:extent cx="2085975" cy="885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1979" cy="884128"/>
                    </a:xfrm>
                    <a:prstGeom prst="rect">
                      <a:avLst/>
                    </a:prstGeom>
                    <a:noFill/>
                    <a:ln>
                      <a:noFill/>
                    </a:ln>
                  </pic:spPr>
                </pic:pic>
              </a:graphicData>
            </a:graphic>
          </wp:inline>
        </w:drawing>
      </w:r>
    </w:p>
    <w:p w:rsidR="009F2DFA" w:rsidRDefault="009F2DFA" w:rsidP="009F2DFA">
      <w:pPr>
        <w:pStyle w:val="BodyText1"/>
        <w:rPr>
          <w:b/>
        </w:rPr>
      </w:pPr>
    </w:p>
    <w:p w:rsidR="009F2DFA" w:rsidRPr="00323A7A" w:rsidRDefault="009F2DFA" w:rsidP="009F2DFA">
      <w:pPr>
        <w:pStyle w:val="BodyText1"/>
        <w:rPr>
          <w:rFonts w:ascii="Times New Roman" w:eastAsiaTheme="minorHAnsi" w:hAnsi="Times New Roman"/>
          <w:color w:val="auto"/>
          <w:sz w:val="24"/>
          <w:szCs w:val="24"/>
        </w:rPr>
      </w:pPr>
      <w:r w:rsidRPr="00323A7A">
        <w:rPr>
          <w:rFonts w:ascii="Times New Roman" w:eastAsiaTheme="minorHAnsi" w:hAnsi="Times New Roman"/>
          <w:i/>
          <w:color w:val="auto"/>
          <w:sz w:val="24"/>
          <w:szCs w:val="24"/>
        </w:rPr>
        <w:t xml:space="preserve">Administratívne náklady na 1 podnikateľa - </w:t>
      </w:r>
      <w:r w:rsidRPr="00323A7A">
        <w:rPr>
          <w:rFonts w:ascii="Times New Roman" w:eastAsiaTheme="minorHAnsi" w:hAnsi="Times New Roman"/>
          <w:color w:val="auto"/>
          <w:sz w:val="24"/>
          <w:szCs w:val="24"/>
        </w:rPr>
        <w:t>výška administratívnych nákladov povinnosti na 1 podnikateľa</w:t>
      </w:r>
      <w:r w:rsidRPr="00323A7A" w:rsidDel="00692341">
        <w:rPr>
          <w:rFonts w:ascii="Times New Roman" w:eastAsiaTheme="minorHAnsi" w:hAnsi="Times New Roman"/>
          <w:color w:val="auto"/>
          <w:sz w:val="24"/>
          <w:szCs w:val="24"/>
        </w:rPr>
        <w:t xml:space="preserve"> </w:t>
      </w:r>
      <w:r w:rsidRPr="00323A7A">
        <w:rPr>
          <w:rFonts w:ascii="Times New Roman" w:eastAsiaTheme="minorHAnsi" w:hAnsi="Times New Roman"/>
          <w:color w:val="auto"/>
          <w:sz w:val="24"/>
          <w:szCs w:val="24"/>
        </w:rPr>
        <w:t>je vyčíslená na základe vzorca:</w:t>
      </w:r>
    </w:p>
    <w:p w:rsidR="009F2DFA" w:rsidRPr="00042C66" w:rsidRDefault="009F2DFA" w:rsidP="009F2DFA">
      <w:pPr>
        <w:pStyle w:val="BodyText1"/>
        <w:rPr>
          <w:rFonts w:ascii="Times New Roman" w:hAnsi="Times New Roman"/>
        </w:rPr>
      </w:pPr>
      <w:r>
        <w:rPr>
          <w:rFonts w:ascii="Times New Roman" w:hAnsi="Times New Roman"/>
          <w:noProof/>
          <w:lang w:eastAsia="sk-SK"/>
        </w:rPr>
        <mc:AlternateContent>
          <mc:Choice Requires="wps">
            <w:drawing>
              <wp:anchor distT="0" distB="0" distL="114300" distR="114300" simplePos="0" relativeHeight="251661312" behindDoc="0" locked="0" layoutInCell="1" allowOverlap="1" wp14:anchorId="5C11128F" wp14:editId="1601D22A">
                <wp:simplePos x="0" y="0"/>
                <wp:positionH relativeFrom="column">
                  <wp:posOffset>3195955</wp:posOffset>
                </wp:positionH>
                <wp:positionV relativeFrom="paragraph">
                  <wp:posOffset>123824</wp:posOffset>
                </wp:positionV>
                <wp:extent cx="123825" cy="85725"/>
                <wp:effectExtent l="0" t="0" r="28575" b="28575"/>
                <wp:wrapNone/>
                <wp:docPr id="27" name="Obdĺžnik 27"/>
                <wp:cNvGraphicFramePr/>
                <a:graphic xmlns:a="http://schemas.openxmlformats.org/drawingml/2006/main">
                  <a:graphicData uri="http://schemas.microsoft.com/office/word/2010/wordprocessingShape">
                    <wps:wsp>
                      <wps:cNvSpPr/>
                      <wps:spPr>
                        <a:xfrm flipV="1">
                          <a:off x="0" y="0"/>
                          <a:ext cx="123825" cy="85725"/>
                        </a:xfrm>
                        <a:prstGeom prst="rect">
                          <a:avLst/>
                        </a:prstGeom>
                        <a:solidFill>
                          <a:srgbClr val="7CBF33"/>
                        </a:solidFill>
                        <a:ln>
                          <a:solidFill>
                            <a:srgbClr val="7CB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7" o:spid="_x0000_s1026" style="position:absolute;margin-left:251.65pt;margin-top:9.75pt;width:9.75pt;height: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" fillcolor="#7cbf33" strokecolor="#7cbf33" strokeweight="2pt"/>
            </w:pict>
          </mc:Fallback>
        </mc:AlternateContent>
      </w:r>
      <w:r w:rsidRPr="00042C66">
        <w:rPr>
          <w:rFonts w:ascii="Times New Roman" w:hAnsi="Times New Roman"/>
          <w:noProof/>
          <w:lang w:eastAsia="sk-SK"/>
        </w:rPr>
        <w:drawing>
          <wp:inline distT="0" distB="0" distL="0" distR="0" wp14:anchorId="5EE86368" wp14:editId="143A77EF">
            <wp:extent cx="3390898" cy="371475"/>
            <wp:effectExtent l="0" t="0" r="63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0898" cy="371475"/>
                    </a:xfrm>
                    <a:prstGeom prst="rect">
                      <a:avLst/>
                    </a:prstGeom>
                    <a:noFill/>
                    <a:ln>
                      <a:noFill/>
                    </a:ln>
                  </pic:spPr>
                </pic:pic>
              </a:graphicData>
            </a:graphic>
          </wp:inline>
        </w:drawing>
      </w:r>
    </w:p>
    <w:p w:rsidR="009F2DFA" w:rsidRPr="00042C66" w:rsidRDefault="009F2DFA" w:rsidP="009F2DFA">
      <w:pPr>
        <w:pStyle w:val="BodyText1"/>
        <w:rPr>
          <w:rFonts w:ascii="Times New Roman" w:hAnsi="Times New Roman"/>
          <w:i/>
          <w:sz w:val="16"/>
          <w:szCs w:val="16"/>
        </w:rPr>
      </w:pPr>
      <w:r w:rsidRPr="00DC1E59">
        <w:rPr>
          <w:rFonts w:ascii="Times New Roman" w:hAnsi="Times New Roman"/>
          <w:i/>
          <w:sz w:val="16"/>
          <w:szCs w:val="16"/>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w:t>
      </w:r>
      <w:proofErr w:type="spellStart"/>
      <w:r w:rsidRPr="00042C66">
        <w:rPr>
          <w:rFonts w:ascii="Times New Roman" w:hAnsi="Times New Roman"/>
          <w:i/>
          <w:sz w:val="16"/>
          <w:szCs w:val="16"/>
        </w:rPr>
        <w:t>Eurostat</w:t>
      </w:r>
      <w:proofErr w:type="spellEnd"/>
      <w:r w:rsidRPr="00042C66">
        <w:rPr>
          <w:rFonts w:ascii="Times New Roman" w:hAnsi="Times New Roman"/>
          <w:i/>
          <w:sz w:val="16"/>
          <w:szCs w:val="16"/>
        </w:rPr>
        <w:t xml:space="preserve">). </w:t>
      </w:r>
    </w:p>
    <w:p w:rsidR="009F2DFA" w:rsidRPr="00042C66" w:rsidRDefault="009F2DFA" w:rsidP="009F2DFA">
      <w:pPr>
        <w:pStyle w:val="BodyText1"/>
        <w:rPr>
          <w:rFonts w:ascii="Times New Roman" w:eastAsiaTheme="minorHAnsi" w:hAnsi="Times New Roman"/>
          <w:i/>
          <w:color w:val="auto"/>
          <w:sz w:val="20"/>
          <w:szCs w:val="20"/>
        </w:rPr>
      </w:pP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Celkové náklady na 1 podnikateľa - </w:t>
      </w:r>
      <w:r w:rsidRPr="00042C66">
        <w:rPr>
          <w:rFonts w:ascii="Times New Roman" w:eastAsiaTheme="minorHAnsi" w:hAnsi="Times New Roman"/>
          <w:color w:val="auto"/>
          <w:sz w:val="24"/>
          <w:szCs w:val="20"/>
        </w:rPr>
        <w:t>výška celkových nákladov povinnosti na 1 podnikateľa</w:t>
      </w:r>
      <w:r w:rsidRPr="00042C66" w:rsidDel="00692341">
        <w:rPr>
          <w:rFonts w:ascii="Times New Roman" w:eastAsiaTheme="minorHAnsi" w:hAnsi="Times New Roman"/>
          <w:color w:val="auto"/>
          <w:sz w:val="24"/>
          <w:szCs w:val="20"/>
        </w:rPr>
        <w:t xml:space="preserve"> </w:t>
      </w:r>
      <w:r w:rsidRPr="00042C66">
        <w:rPr>
          <w:rFonts w:ascii="Times New Roman" w:eastAsiaTheme="minorHAnsi" w:hAnsi="Times New Roman"/>
          <w:color w:val="auto"/>
          <w:sz w:val="24"/>
          <w:szCs w:val="20"/>
        </w:rPr>
        <w:t>je automatizovane vyčíslené na základe vzorca:</w:t>
      </w:r>
    </w:p>
    <w:p w:rsidR="009F2DFA" w:rsidRDefault="009F2DFA" w:rsidP="009F2DFA">
      <w:pPr>
        <w:pStyle w:val="BodyText1"/>
      </w:pPr>
      <w:r w:rsidRPr="00323A7A">
        <w:rPr>
          <w:noProof/>
          <w:lang w:eastAsia="sk-SK"/>
        </w:rPr>
        <w:drawing>
          <wp:inline distT="0" distB="0" distL="0" distR="0" wp14:anchorId="2217B590" wp14:editId="029D0F76">
            <wp:extent cx="3876672"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9502" cy="409874"/>
                    </a:xfrm>
                    <a:prstGeom prst="rect">
                      <a:avLst/>
                    </a:prstGeom>
                    <a:noFill/>
                    <a:ln>
                      <a:noFill/>
                    </a:ln>
                  </pic:spPr>
                </pic:pic>
              </a:graphicData>
            </a:graphic>
          </wp:inline>
        </w:drawing>
      </w:r>
    </w:p>
    <w:p w:rsidR="009F2DFA" w:rsidRDefault="009F2DFA" w:rsidP="009F2DFA">
      <w:pPr>
        <w:pStyle w:val="BodyText1"/>
      </w:pPr>
    </w:p>
    <w:p w:rsidR="009F2DFA" w:rsidRPr="00042C66" w:rsidRDefault="009F2DFA" w:rsidP="009F2DFA">
      <w:pPr>
        <w:pStyle w:val="BodyText1"/>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celé podnikateľské prostredie</w:t>
      </w: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celé podnikateľské prostredie - </w:t>
      </w:r>
      <w:r w:rsidRPr="00042C66">
        <w:rPr>
          <w:rFonts w:ascii="Times New Roman" w:eastAsiaTheme="minorHAnsi" w:hAnsi="Times New Roman"/>
          <w:color w:val="auto"/>
          <w:sz w:val="24"/>
          <w:szCs w:val="20"/>
        </w:rPr>
        <w:t>výška priamych a nepriamych nákladov povinnosti na celé podnikateľské prostredie je vyčíslená na základe vzorca:</w:t>
      </w:r>
    </w:p>
    <w:p w:rsidR="009F2DFA" w:rsidRDefault="009F2DFA" w:rsidP="009F2DFA">
      <w:pPr>
        <w:pStyle w:val="BodyText1"/>
      </w:pPr>
      <w:r w:rsidRPr="0017731D">
        <w:rPr>
          <w:noProof/>
          <w:lang w:eastAsia="sk-SK"/>
        </w:rPr>
        <w:drawing>
          <wp:inline distT="0" distB="0" distL="0" distR="0" wp14:anchorId="5E66D38B" wp14:editId="29CE65C0">
            <wp:extent cx="280987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0872" cy="914724"/>
                    </a:xfrm>
                    <a:prstGeom prst="rect">
                      <a:avLst/>
                    </a:prstGeom>
                    <a:noFill/>
                    <a:ln>
                      <a:noFill/>
                    </a:ln>
                  </pic:spPr>
                </pic:pic>
              </a:graphicData>
            </a:graphic>
          </wp:inline>
        </w:drawing>
      </w:r>
    </w:p>
    <w:p w:rsidR="009F2DFA" w:rsidRDefault="009F2DFA" w:rsidP="009F2DFA">
      <w:pPr>
        <w:pStyle w:val="BodyText1"/>
        <w:rPr>
          <w:b/>
        </w:rPr>
      </w:pPr>
    </w:p>
    <w:p w:rsidR="009F2DFA" w:rsidRPr="00042C66" w:rsidRDefault="009F2DFA" w:rsidP="009F2DFA">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Administratívne náklady na celé podnikateľské prostredie - </w:t>
      </w:r>
      <w:r w:rsidRPr="00042C66">
        <w:rPr>
          <w:rFonts w:ascii="Times New Roman" w:eastAsiaTheme="minorHAnsi" w:hAnsi="Times New Roman"/>
          <w:color w:val="auto"/>
          <w:sz w:val="24"/>
          <w:szCs w:val="20"/>
        </w:rPr>
        <w:t>výška administratívnych nákladov povinnosti na celé podnikateľské prostredie je vyčíslená na základe vzorca:</w:t>
      </w:r>
    </w:p>
    <w:p w:rsidR="009F2DFA" w:rsidRPr="00042C66" w:rsidRDefault="009F2DFA" w:rsidP="009F2DFA">
      <w:pPr>
        <w:pStyle w:val="BodyText1"/>
        <w:rPr>
          <w:rFonts w:ascii="Times New Roman" w:hAnsi="Times New Roman"/>
        </w:rPr>
      </w:pPr>
      <w:r w:rsidRPr="00042C66">
        <w:rPr>
          <w:rFonts w:ascii="Times New Roman" w:hAnsi="Times New Roman"/>
          <w:noProof/>
          <w:lang w:eastAsia="sk-SK"/>
        </w:rPr>
        <w:drawing>
          <wp:inline distT="0" distB="0" distL="0" distR="0" wp14:anchorId="6E223098" wp14:editId="30AF19C0">
            <wp:extent cx="3789273" cy="462033"/>
            <wp:effectExtent l="0" t="0" r="190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2369" cy="462410"/>
                    </a:xfrm>
                    <a:prstGeom prst="rect">
                      <a:avLst/>
                    </a:prstGeom>
                    <a:noFill/>
                    <a:ln>
                      <a:noFill/>
                    </a:ln>
                  </pic:spPr>
                </pic:pic>
              </a:graphicData>
            </a:graphic>
          </wp:inline>
        </w:drawing>
      </w:r>
    </w:p>
    <w:p w:rsidR="009F2DFA" w:rsidRPr="00042C66" w:rsidRDefault="009F2DFA" w:rsidP="009F2DFA">
      <w:pPr>
        <w:pStyle w:val="BodyText1"/>
        <w:rPr>
          <w:rFonts w:ascii="Times New Roman" w:hAnsi="Times New Roman"/>
          <w:i/>
          <w:sz w:val="16"/>
          <w:szCs w:val="16"/>
        </w:rPr>
      </w:pPr>
      <w:r w:rsidRPr="00DC1E59">
        <w:rPr>
          <w:rFonts w:ascii="Times New Roman" w:hAnsi="Times New Roman"/>
          <w:i/>
          <w:sz w:val="16"/>
          <w:szCs w:val="16"/>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w:t>
      </w:r>
      <w:proofErr w:type="spellStart"/>
      <w:r w:rsidRPr="00042C66">
        <w:rPr>
          <w:rFonts w:ascii="Times New Roman" w:hAnsi="Times New Roman"/>
          <w:i/>
          <w:sz w:val="16"/>
          <w:szCs w:val="16"/>
        </w:rPr>
        <w:t>Eurostat</w:t>
      </w:r>
      <w:proofErr w:type="spellEnd"/>
      <w:r w:rsidRPr="00042C66">
        <w:rPr>
          <w:rFonts w:ascii="Times New Roman" w:hAnsi="Times New Roman"/>
          <w:i/>
          <w:sz w:val="16"/>
          <w:szCs w:val="16"/>
        </w:rPr>
        <w:t xml:space="preserve"> ). </w:t>
      </w:r>
    </w:p>
    <w:p w:rsidR="009F2DFA" w:rsidRPr="00042C66" w:rsidRDefault="009F2DFA" w:rsidP="009F2DFA">
      <w:pPr>
        <w:pStyle w:val="BodyText1"/>
        <w:rPr>
          <w:rFonts w:ascii="Times New Roman" w:hAnsi="Times New Roman"/>
          <w:i/>
          <w:sz w:val="20"/>
          <w:szCs w:val="16"/>
        </w:rPr>
      </w:pPr>
    </w:p>
    <w:p w:rsidR="009F2DFA" w:rsidRPr="00042C66" w:rsidRDefault="009F2DFA" w:rsidP="009F2DFA">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Celkové náklady na celé podnikateľské prostredie - </w:t>
      </w:r>
      <w:r w:rsidRPr="00042C66">
        <w:rPr>
          <w:rFonts w:ascii="Times New Roman" w:eastAsiaTheme="minorHAnsi" w:hAnsi="Times New Roman"/>
          <w:color w:val="auto"/>
          <w:sz w:val="24"/>
          <w:szCs w:val="20"/>
        </w:rPr>
        <w:t>výška celkových nákladov povinnosti na celé podnikateľské prostredie je vyčíslené na základe vzorca:</w:t>
      </w:r>
    </w:p>
    <w:p w:rsidR="009F2DFA" w:rsidRDefault="009F2DFA" w:rsidP="009F2DFA">
      <w:pPr>
        <w:pStyle w:val="BodyText1"/>
      </w:pPr>
      <w:r w:rsidRPr="009D021B">
        <w:rPr>
          <w:noProof/>
          <w:lang w:eastAsia="sk-SK"/>
        </w:rPr>
        <w:lastRenderedPageBreak/>
        <w:drawing>
          <wp:inline distT="0" distB="0" distL="0" distR="0" wp14:anchorId="487BAF32" wp14:editId="4BFCDFD7">
            <wp:extent cx="4356100" cy="460593"/>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56100" cy="460593"/>
                    </a:xfrm>
                    <a:prstGeom prst="rect">
                      <a:avLst/>
                    </a:prstGeom>
                    <a:noFill/>
                    <a:ln>
                      <a:noFill/>
                    </a:ln>
                  </pic:spPr>
                </pic:pic>
              </a:graphicData>
            </a:graphic>
          </wp:inline>
        </w:drawing>
      </w:r>
    </w:p>
    <w:p w:rsidR="009F2DFA" w:rsidRDefault="009F2DFA" w:rsidP="009F2DFA">
      <w:pPr>
        <w:jc w:val="both"/>
      </w:pPr>
    </w:p>
    <w:p w:rsidR="009F2DFA" w:rsidRPr="00042C66" w:rsidRDefault="009F2DFA" w:rsidP="009F2DFA">
      <w:pPr>
        <w:jc w:val="both"/>
        <w:rPr>
          <w:color w:val="FF0000"/>
          <w:sz w:val="24"/>
          <w:szCs w:val="24"/>
        </w:rPr>
      </w:pPr>
      <w:r w:rsidRPr="00042C66">
        <w:rPr>
          <w:sz w:val="24"/>
          <w:szCs w:val="24"/>
        </w:rPr>
        <w:t>Na kalkuláciu nákladov regulácie je možné využiť kalkulačku nákladov (vo formáte MS Excel), ktorá je zverejnená na stránke Ministerstva hospodárstva SR. S ohľadom na účel použitia, resp. rozsah predkladaných materiálov a z nich vyplývajúceho počtu povinností, možno využiť pre kalkuláciu nákladov:</w:t>
      </w:r>
    </w:p>
    <w:p w:rsidR="009F2DFA" w:rsidRPr="00042C66" w:rsidRDefault="009F2DFA" w:rsidP="009F2DFA">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Malú kalkulačku</w:t>
      </w:r>
      <w:r w:rsidRPr="00042C66">
        <w:rPr>
          <w:rFonts w:ascii="Times New Roman" w:hAnsi="Times New Roman" w:cs="Times New Roman"/>
          <w:sz w:val="24"/>
          <w:szCs w:val="24"/>
        </w:rPr>
        <w:t xml:space="preserve"> </w:t>
      </w:r>
      <w:r w:rsidRPr="00042C66">
        <w:rPr>
          <w:rFonts w:ascii="Times New Roman" w:hAnsi="Times New Roman" w:cs="Times New Roman"/>
          <w:b/>
          <w:sz w:val="24"/>
          <w:szCs w:val="24"/>
        </w:rPr>
        <w:t xml:space="preserve">nákladov povinnosti </w:t>
      </w:r>
      <w:r w:rsidRPr="00042C66">
        <w:rPr>
          <w:rFonts w:ascii="Times New Roman" w:hAnsi="Times New Roman" w:cs="Times New Roman"/>
          <w:sz w:val="24"/>
          <w:szCs w:val="24"/>
        </w:rPr>
        <w:t>– slúži na jednoduchú kalkuláciu nákladov ľubovoľnej jednej povinnosti (</w:t>
      </w:r>
      <w:r w:rsidRPr="00042C66">
        <w:rPr>
          <w:rFonts w:ascii="Times New Roman" w:hAnsi="Times New Roman" w:cs="Times New Roman"/>
          <w:i/>
          <w:sz w:val="24"/>
          <w:szCs w:val="24"/>
        </w:rPr>
        <w:t>MS Excel, záložka č. 1 – Malá kalkulačka</w:t>
      </w:r>
      <w:r w:rsidRPr="00042C66">
        <w:rPr>
          <w:rFonts w:ascii="Times New Roman" w:hAnsi="Times New Roman" w:cs="Times New Roman"/>
          <w:sz w:val="24"/>
          <w:szCs w:val="24"/>
        </w:rPr>
        <w:t>);</w:t>
      </w:r>
    </w:p>
    <w:p w:rsidR="009F2DFA" w:rsidRPr="00042C66" w:rsidRDefault="009F2DFA" w:rsidP="009F2DFA">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Veľkú kalkulačku</w:t>
      </w:r>
      <w:r w:rsidRPr="00042C66">
        <w:rPr>
          <w:rFonts w:ascii="Times New Roman" w:hAnsi="Times New Roman" w:cs="Times New Roman"/>
          <w:b/>
          <w:sz w:val="24"/>
          <w:szCs w:val="24"/>
        </w:rPr>
        <w:t xml:space="preserve"> nákladov predkladaného materiálu/regulácie </w:t>
      </w:r>
      <w:r w:rsidRPr="00042C66">
        <w:rPr>
          <w:rFonts w:ascii="Times New Roman" w:hAnsi="Times New Roman" w:cs="Times New Roman"/>
          <w:sz w:val="24"/>
          <w:szCs w:val="24"/>
        </w:rPr>
        <w:t xml:space="preserve"> – slúži na agregovanú kalkuláciu nákladov všetkých povinností, ktoré vyplývajú podnikateľom z predkladaného materiálu/regulácie (</w:t>
      </w:r>
      <w:r w:rsidRPr="00042C66">
        <w:rPr>
          <w:rFonts w:ascii="Times New Roman" w:hAnsi="Times New Roman" w:cs="Times New Roman"/>
          <w:i/>
          <w:sz w:val="24"/>
          <w:szCs w:val="24"/>
        </w:rPr>
        <w:t>MS Excel, záložka č. 2 – Veľká kalkulačka</w:t>
      </w:r>
      <w:r w:rsidRPr="00042C66">
        <w:rPr>
          <w:rFonts w:ascii="Times New Roman" w:hAnsi="Times New Roman" w:cs="Times New Roman"/>
          <w:sz w:val="24"/>
          <w:szCs w:val="24"/>
        </w:rPr>
        <w:t>).</w:t>
      </w:r>
    </w:p>
    <w:p w:rsidR="009F2DFA" w:rsidRPr="00042C66" w:rsidRDefault="009F2DFA" w:rsidP="009F2DFA">
      <w:pPr>
        <w:jc w:val="both"/>
        <w:rPr>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.4 Konkurencieschopnosť a správanie sa podnikov na trhu</w:t>
      </w:r>
    </w:p>
    <w:p w:rsidR="009F2DFA" w:rsidRPr="00042C66" w:rsidRDefault="009F2DFA" w:rsidP="009F2DFA">
      <w:pPr>
        <w:jc w:val="both"/>
        <w:rPr>
          <w:sz w:val="24"/>
          <w:szCs w:val="24"/>
        </w:rPr>
      </w:pPr>
      <w:r w:rsidRPr="00042C66">
        <w:rPr>
          <w:sz w:val="24"/>
          <w:szCs w:val="24"/>
        </w:rPr>
        <w:t>Predkladateľ uvedie, či dochádza k vytvoreniu bariér pre vstup na trh pre nových dodávateľov alebo poskytovateľov služieb a či dôjde k sprísneniu regulácie správania sa pre niektoré podniky. V princípe existujú tri možnosti, ako môžu regulácie ovplyvniť fungovanie podnikateľských subjektov na trhu:</w:t>
      </w:r>
    </w:p>
    <w:p w:rsidR="009F2DFA" w:rsidRPr="00042C66" w:rsidRDefault="009F2DFA" w:rsidP="009F2DFA">
      <w:pPr>
        <w:spacing w:after="120"/>
        <w:ind w:left="340" w:hanging="340"/>
        <w:jc w:val="both"/>
        <w:rPr>
          <w:sz w:val="24"/>
          <w:szCs w:val="24"/>
        </w:rPr>
      </w:pPr>
      <w:r w:rsidRPr="00042C66">
        <w:rPr>
          <w:sz w:val="24"/>
          <w:szCs w:val="24"/>
        </w:rPr>
        <w:t>a)</w:t>
      </w:r>
      <w:r w:rsidRPr="00042C66">
        <w:rPr>
          <w:sz w:val="24"/>
          <w:szCs w:val="24"/>
        </w:rPr>
        <w:tab/>
      </w:r>
      <w:r w:rsidRPr="00042C66">
        <w:rPr>
          <w:b/>
          <w:sz w:val="24"/>
          <w:szCs w:val="24"/>
        </w:rPr>
        <w:t>stanovením ďalších podmienok pre vstup na trh a začatie podnikania</w:t>
      </w:r>
      <w:r w:rsidRPr="00042C66">
        <w:rPr>
          <w:sz w:val="24"/>
          <w:szCs w:val="24"/>
        </w:rPr>
        <w:t xml:space="preserve"> (problém s</w:t>
      </w:r>
      <w:r>
        <w:rPr>
          <w:sz w:val="24"/>
          <w:szCs w:val="24"/>
        </w:rPr>
        <w:t> </w:t>
      </w:r>
      <w:r w:rsidRPr="00042C66">
        <w:rPr>
          <w:sz w:val="24"/>
          <w:szCs w:val="24"/>
        </w:rPr>
        <w:t>otvorením prevádzkarne, vysoké vstupné náklady, náročné administratívne procedúry a</w:t>
      </w:r>
      <w:r>
        <w:rPr>
          <w:sz w:val="24"/>
          <w:szCs w:val="24"/>
        </w:rPr>
        <w:t> </w:t>
      </w:r>
      <w:r w:rsidRPr="00042C66">
        <w:rPr>
          <w:sz w:val="24"/>
          <w:szCs w:val="24"/>
        </w:rPr>
        <w:t>pod.),</w:t>
      </w:r>
    </w:p>
    <w:p w:rsidR="009F2DFA" w:rsidRPr="00042C66" w:rsidRDefault="009F2DFA" w:rsidP="009F2DFA">
      <w:pPr>
        <w:spacing w:after="120"/>
        <w:ind w:left="340" w:hanging="340"/>
        <w:jc w:val="both"/>
        <w:rPr>
          <w:sz w:val="24"/>
          <w:szCs w:val="24"/>
        </w:rPr>
      </w:pPr>
      <w:r w:rsidRPr="00042C66">
        <w:rPr>
          <w:sz w:val="24"/>
          <w:szCs w:val="24"/>
        </w:rPr>
        <w:t>b)</w:t>
      </w:r>
      <w:r w:rsidRPr="00042C66">
        <w:rPr>
          <w:sz w:val="24"/>
          <w:szCs w:val="24"/>
        </w:rPr>
        <w:tab/>
      </w:r>
      <w:r w:rsidRPr="00042C66">
        <w:rPr>
          <w:b/>
          <w:sz w:val="24"/>
          <w:szCs w:val="24"/>
        </w:rPr>
        <w:t>stanovením podmienok pre správanie sa na trhu</w:t>
      </w:r>
      <w:r w:rsidRPr="00042C66">
        <w:rPr>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rsidR="009F2DFA" w:rsidRPr="00042C66" w:rsidRDefault="009F2DFA" w:rsidP="009F2DFA">
      <w:pPr>
        <w:spacing w:after="120"/>
        <w:ind w:left="340" w:hanging="340"/>
        <w:jc w:val="both"/>
        <w:rPr>
          <w:sz w:val="24"/>
          <w:szCs w:val="24"/>
        </w:rPr>
      </w:pPr>
      <w:r w:rsidRPr="00042C66">
        <w:rPr>
          <w:sz w:val="24"/>
          <w:szCs w:val="24"/>
        </w:rPr>
        <w:t>c)</w:t>
      </w:r>
      <w:r w:rsidRPr="00042C66">
        <w:rPr>
          <w:sz w:val="24"/>
          <w:szCs w:val="24"/>
        </w:rPr>
        <w:tab/>
      </w:r>
      <w:r w:rsidRPr="00042C66">
        <w:rPr>
          <w:b/>
          <w:sz w:val="24"/>
          <w:szCs w:val="24"/>
        </w:rPr>
        <w:t>stanovením podmienok, ktoré vedú k zmenám v štruktúre trhu</w:t>
      </w:r>
      <w:r w:rsidRPr="00042C66">
        <w:rPr>
          <w:sz w:val="24"/>
          <w:szCs w:val="24"/>
        </w:rPr>
        <w:t>. Ide však spravidla o</w:t>
      </w:r>
      <w:r>
        <w:rPr>
          <w:sz w:val="24"/>
          <w:szCs w:val="24"/>
        </w:rPr>
        <w:t> </w:t>
      </w:r>
      <w:r w:rsidRPr="00042C66">
        <w:rPr>
          <w:sz w:val="24"/>
          <w:szCs w:val="24"/>
        </w:rPr>
        <w:t>také opatrenia, ktoré postihujú iba veľké podnikateľské subjekty.</w:t>
      </w:r>
    </w:p>
    <w:p w:rsidR="009F2DFA" w:rsidRPr="00042C66" w:rsidRDefault="009F2DFA" w:rsidP="009F2DFA">
      <w:pPr>
        <w:jc w:val="both"/>
        <w:rPr>
          <w:sz w:val="24"/>
          <w:szCs w:val="24"/>
        </w:rPr>
      </w:pPr>
      <w:r w:rsidRPr="00042C66">
        <w:rPr>
          <w:sz w:val="24"/>
          <w:szCs w:val="24"/>
        </w:rPr>
        <w:t>Predkladateľ popíše tiež situácie, kedy sa bude zaobchádzať s niektorými podnikmi alebo produktmi v porovnateľnej situácii rôzne</w:t>
      </w:r>
      <w:r w:rsidRPr="00042C66">
        <w:rPr>
          <w:i/>
          <w:sz w:val="24"/>
          <w:szCs w:val="24"/>
        </w:rPr>
        <w:t xml:space="preserve"> </w:t>
      </w:r>
      <w:r w:rsidRPr="00042C66">
        <w:rPr>
          <w:sz w:val="24"/>
          <w:szCs w:val="24"/>
        </w:rPr>
        <w:t xml:space="preserve">(napr. špeciálne režimy pre </w:t>
      </w:r>
      <w:proofErr w:type="spellStart"/>
      <w:r w:rsidRPr="00042C66">
        <w:rPr>
          <w:sz w:val="24"/>
          <w:szCs w:val="24"/>
        </w:rPr>
        <w:t>mikro</w:t>
      </w:r>
      <w:proofErr w:type="spellEnd"/>
      <w:r w:rsidRPr="00042C66">
        <w:rPr>
          <w:sz w:val="24"/>
          <w:szCs w:val="24"/>
        </w:rPr>
        <w:t>, malé a stredné podniky tzv. MSP).</w:t>
      </w:r>
    </w:p>
    <w:p w:rsidR="009F2DFA" w:rsidRPr="00042C66" w:rsidRDefault="009F2DFA" w:rsidP="009F2DFA">
      <w:pPr>
        <w:jc w:val="both"/>
        <w:rPr>
          <w:sz w:val="24"/>
          <w:szCs w:val="24"/>
        </w:rPr>
      </w:pPr>
      <w:r w:rsidRPr="00042C66">
        <w:rPr>
          <w:sz w:val="24"/>
          <w:szCs w:val="24"/>
        </w:rPr>
        <w:t>Predkladateľ popíše, či a aký vplyvy má návrh na prekážky pri vývoze alebo dovoze z tretích krajín a či bude mať vplyv vyvolanie cezhraničných investícií (príliv /odliv zahraničných investícií resp. uplatnenie slovenských podnikov na zahraničných trhoch</w:t>
      </w:r>
      <w:r>
        <w:rPr>
          <w:sz w:val="24"/>
          <w:szCs w:val="24"/>
        </w:rPr>
        <w:t>)</w:t>
      </w:r>
      <w:r w:rsidRPr="00042C66">
        <w:rPr>
          <w:sz w:val="24"/>
          <w:szCs w:val="24"/>
        </w:rPr>
        <w:t>.</w:t>
      </w:r>
    </w:p>
    <w:p w:rsidR="009F2DFA" w:rsidRPr="00042C66" w:rsidRDefault="009F2DFA" w:rsidP="009F2DFA">
      <w:pPr>
        <w:jc w:val="both"/>
        <w:rPr>
          <w:sz w:val="24"/>
          <w:szCs w:val="24"/>
        </w:rPr>
      </w:pPr>
      <w:r w:rsidRPr="00042C66">
        <w:rPr>
          <w:sz w:val="24"/>
          <w:szCs w:val="24"/>
        </w:rPr>
        <w:t>Zároveň posúdi  priame aj nepriame vplyvy so zameraním na dostupnosť a cenu surovín, polotovarov, súčiastok, strojov a zariadení, pracovnej sily, energií a pod. Následne uvedie kvalitatívny opis a v prípade pohybu cien uvedie  jednotkové vyčíslenie nákladov alebo prínosov.</w:t>
      </w:r>
    </w:p>
    <w:p w:rsidR="009F2DFA" w:rsidRPr="00042C66" w:rsidRDefault="009F2DFA" w:rsidP="009F2DFA">
      <w:pPr>
        <w:jc w:val="both"/>
        <w:rPr>
          <w:i/>
          <w:sz w:val="24"/>
          <w:szCs w:val="24"/>
        </w:rPr>
      </w:pPr>
      <w:r w:rsidRPr="00042C66">
        <w:rPr>
          <w:sz w:val="24"/>
          <w:szCs w:val="24"/>
        </w:rPr>
        <w:t>Predkladateľ zanalyzuje predložený návrh z hľadiska prístupu k financiám. Uvedie, či sa vytvárajú nové možnosti financovania aktivít pre podnikateľov, napr. vo forme dotácií, úverov,  alebo zjednodušuje prístup k existujúcim nástrojom financovania.</w:t>
      </w:r>
    </w:p>
    <w:p w:rsidR="009F2DFA" w:rsidRPr="00042C66" w:rsidRDefault="009F2DFA" w:rsidP="009F2DFA">
      <w:pPr>
        <w:jc w:val="both"/>
        <w:rPr>
          <w:sz w:val="24"/>
          <w:szCs w:val="24"/>
        </w:rPr>
      </w:pPr>
      <w:r w:rsidRPr="00042C66">
        <w:rPr>
          <w:sz w:val="24"/>
          <w:szCs w:val="24"/>
        </w:rPr>
        <w:t xml:space="preserve">Pri spracovávaní tejto časti je potrebné rozlišovať medzi </w:t>
      </w:r>
      <w:r w:rsidRPr="00042C66">
        <w:rPr>
          <w:b/>
          <w:sz w:val="24"/>
          <w:szCs w:val="24"/>
        </w:rPr>
        <w:t xml:space="preserve">krátkodobými </w:t>
      </w:r>
      <w:r w:rsidRPr="00042C66">
        <w:rPr>
          <w:sz w:val="24"/>
          <w:szCs w:val="24"/>
        </w:rPr>
        <w:t xml:space="preserve"> (1 až 2 roky), </w:t>
      </w:r>
      <w:r w:rsidRPr="00042C66">
        <w:rPr>
          <w:b/>
          <w:sz w:val="24"/>
          <w:szCs w:val="24"/>
        </w:rPr>
        <w:t>strednodobými</w:t>
      </w:r>
      <w:r w:rsidRPr="00042C66">
        <w:rPr>
          <w:sz w:val="24"/>
          <w:szCs w:val="24"/>
        </w:rPr>
        <w:t xml:space="preserve"> (3 až 7 rokov) a </w:t>
      </w:r>
      <w:r w:rsidRPr="00042C66">
        <w:rPr>
          <w:b/>
          <w:sz w:val="24"/>
          <w:szCs w:val="24"/>
        </w:rPr>
        <w:t>dlhodobými</w:t>
      </w:r>
      <w:r w:rsidRPr="00042C66">
        <w:rPr>
          <w:sz w:val="24"/>
          <w:szCs w:val="24"/>
        </w:rPr>
        <w:t xml:space="preserve"> (8 rokov a viac) vplyvmi. </w:t>
      </w:r>
    </w:p>
    <w:p w:rsidR="009F2DFA" w:rsidRPr="00042C66" w:rsidRDefault="009F2DFA" w:rsidP="009F2DFA">
      <w:pPr>
        <w:jc w:val="both"/>
        <w:rPr>
          <w:b/>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.5 Inovácie</w:t>
      </w:r>
    </w:p>
    <w:p w:rsidR="009F2DFA" w:rsidRPr="00042C66" w:rsidRDefault="009F2DFA" w:rsidP="009F2DFA">
      <w:pPr>
        <w:jc w:val="both"/>
        <w:rPr>
          <w:sz w:val="24"/>
          <w:szCs w:val="24"/>
        </w:rPr>
      </w:pPr>
      <w:r w:rsidRPr="00042C66">
        <w:rPr>
          <w:sz w:val="24"/>
          <w:szCs w:val="24"/>
        </w:rPr>
        <w:t xml:space="preserve">V prípade, ak má navrhovaný materiál vplyv na inovácie podnikateľov, vyplní túto časť s využitím všetkých alebo niektorých pomocných otázok aj so zameraním na MSP. V prípade, </w:t>
      </w:r>
      <w:r w:rsidRPr="00042C66">
        <w:rPr>
          <w:sz w:val="24"/>
          <w:szCs w:val="24"/>
        </w:rPr>
        <w:lastRenderedPageBreak/>
        <w:t>ak navrhovaný materiál vplyv na inovácie nemá, predkladateľ sem túto informáciu uvedie a ďalej nevypĺňa.</w:t>
      </w:r>
    </w:p>
    <w:p w:rsidR="009F2DFA" w:rsidRDefault="009F2DFA" w:rsidP="009F2DFA">
      <w:pPr>
        <w:jc w:val="both"/>
        <w:rPr>
          <w:sz w:val="24"/>
          <w:szCs w:val="24"/>
        </w:rPr>
      </w:pPr>
      <w:r w:rsidRPr="00042C66">
        <w:rPr>
          <w:sz w:val="24"/>
          <w:szCs w:val="24"/>
        </w:rPr>
        <w:t>Vplyvy na inovácie môžu mať aj materiály zamerané na podporu vedy a výskumu, prepájanie akademickej a podnikateľskej sféry, možnosti daňových odpočtov nákladov na výskum a vývoj a podobne.</w:t>
      </w:r>
      <w:r w:rsidR="00780BA6">
        <w:rPr>
          <w:sz w:val="24"/>
          <w:szCs w:val="24"/>
        </w:rPr>
        <w:t xml:space="preserve"> </w:t>
      </w:r>
      <w:r w:rsidRPr="00042C66">
        <w:rPr>
          <w:sz w:val="24"/>
          <w:szCs w:val="24"/>
        </w:rPr>
        <w:t>Inovácie nemusia mať len technologické zameranie, ale môžu sa týkať aj takých odvetví akými sú marketing, finančníctvo či inovácie produktov a služieb.</w:t>
      </w:r>
    </w:p>
    <w:p w:rsidR="009F2DFA" w:rsidRDefault="009F2DFA" w:rsidP="009F2DFA">
      <w:pPr>
        <w:rPr>
          <w:sz w:val="24"/>
          <w:szCs w:val="24"/>
        </w:rPr>
      </w:pPr>
      <w:r>
        <w:rPr>
          <w:sz w:val="24"/>
          <w:szCs w:val="24"/>
        </w:rPr>
        <w:br w:type="page"/>
      </w:r>
    </w:p>
    <w:p w:rsidR="009F2DFA" w:rsidRPr="005C483F" w:rsidRDefault="009F2DFA" w:rsidP="009F2DFA">
      <w:pPr>
        <w:jc w:val="center"/>
        <w:rPr>
          <w:b/>
          <w:sz w:val="28"/>
          <w:szCs w:val="24"/>
        </w:rPr>
      </w:pPr>
      <w:r w:rsidRPr="005C483F">
        <w:rPr>
          <w:b/>
          <w:sz w:val="28"/>
          <w:szCs w:val="24"/>
        </w:rPr>
        <w:lastRenderedPageBreak/>
        <w:t xml:space="preserve">Metodika pre vykonávanie testu </w:t>
      </w:r>
      <w:r>
        <w:rPr>
          <w:b/>
          <w:sz w:val="28"/>
          <w:szCs w:val="24"/>
        </w:rPr>
        <w:t>vplyvov</w:t>
      </w:r>
      <w:r w:rsidRPr="005C483F">
        <w:rPr>
          <w:b/>
          <w:sz w:val="28"/>
          <w:szCs w:val="24"/>
        </w:rPr>
        <w:t xml:space="preserve"> na MSP</w:t>
      </w:r>
    </w:p>
    <w:p w:rsidR="009F2DFA" w:rsidRPr="005C483F" w:rsidRDefault="009F2DFA" w:rsidP="00F41620">
      <w:pPr>
        <w:spacing w:before="240"/>
        <w:jc w:val="both"/>
        <w:rPr>
          <w:sz w:val="24"/>
          <w:szCs w:val="24"/>
        </w:rPr>
      </w:pPr>
      <w:r w:rsidRPr="005C483F">
        <w:rPr>
          <w:sz w:val="24"/>
          <w:szCs w:val="24"/>
        </w:rPr>
        <w:t xml:space="preserve">Test </w:t>
      </w:r>
      <w:r>
        <w:rPr>
          <w:sz w:val="24"/>
          <w:szCs w:val="24"/>
        </w:rPr>
        <w:t>vplyvov</w:t>
      </w:r>
      <w:r w:rsidR="00F41620">
        <w:rPr>
          <w:sz w:val="24"/>
          <w:szCs w:val="24"/>
        </w:rPr>
        <w:t xml:space="preserve"> na malé a stredné podniky MSP</w:t>
      </w:r>
      <w:r w:rsidRPr="005C483F">
        <w:rPr>
          <w:sz w:val="24"/>
          <w:szCs w:val="24"/>
        </w:rPr>
        <w:t xml:space="preserve"> sa vykonáva pre legislatívne náv</w:t>
      </w:r>
      <w:r w:rsidR="00F41620">
        <w:rPr>
          <w:sz w:val="24"/>
          <w:szCs w:val="24"/>
        </w:rPr>
        <w:t>rhy ako aj nelegislatívne návrhy</w:t>
      </w:r>
      <w:r w:rsidRPr="005C483F">
        <w:rPr>
          <w:sz w:val="24"/>
          <w:szCs w:val="24"/>
        </w:rPr>
        <w:t xml:space="preserve">, ktoré majú indikovaný vplyv na niektorú z kategórií malých a stredných podnikov. Malé a stredné podniky (MSP) sú definované v zmysle odporúčania Európskej komisie č. 2003/361/ES. </w:t>
      </w:r>
    </w:p>
    <w:p w:rsidR="009F2DFA" w:rsidRPr="005C483F" w:rsidRDefault="009F2DFA" w:rsidP="009F2DFA">
      <w:pPr>
        <w:rPr>
          <w:sz w:val="24"/>
          <w:szCs w:val="24"/>
        </w:rPr>
      </w:pPr>
    </w:p>
    <w:p w:rsidR="009F2DFA" w:rsidRPr="005C483F" w:rsidRDefault="009F2DFA" w:rsidP="009F2DFA">
      <w:pPr>
        <w:rPr>
          <w:sz w:val="24"/>
          <w:szCs w:val="24"/>
        </w:rPr>
      </w:pPr>
      <w:r w:rsidRPr="005C483F">
        <w:rPr>
          <w:sz w:val="24"/>
          <w:szCs w:val="24"/>
        </w:rPr>
        <w:t>Test MSP sa vykonáva po predložení materiálu do PPK. Test pozostáva zo 4 fáz:</w:t>
      </w:r>
    </w:p>
    <w:p w:rsidR="009F2DFA" w:rsidRPr="00A34898" w:rsidRDefault="009F2DFA" w:rsidP="009F2DFA"/>
    <w:p w:rsidR="009F2DFA" w:rsidRDefault="009F2DFA" w:rsidP="009F2DFA">
      <w:r>
        <w:rPr>
          <w:noProof/>
        </w:rPr>
        <w:drawing>
          <wp:inline distT="0" distB="0" distL="0" distR="0" wp14:anchorId="7F0F264A" wp14:editId="033CD43B">
            <wp:extent cx="5486400" cy="27432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9F2DFA" w:rsidRDefault="009F2DFA" w:rsidP="009F2DFA"/>
    <w:p w:rsidR="009F2DFA" w:rsidRPr="005C483F" w:rsidRDefault="009F2DFA" w:rsidP="009F2DFA">
      <w:pPr>
        <w:jc w:val="both"/>
        <w:rPr>
          <w:b/>
          <w:sz w:val="24"/>
          <w:szCs w:val="24"/>
        </w:rPr>
      </w:pPr>
      <w:r w:rsidRPr="005C483F">
        <w:rPr>
          <w:b/>
          <w:sz w:val="24"/>
          <w:szCs w:val="24"/>
        </w:rPr>
        <w:t>Fáza 1. Konzultácia so zástupcami MSP</w:t>
      </w:r>
    </w:p>
    <w:p w:rsidR="009F2DFA" w:rsidRPr="005C483F" w:rsidRDefault="009F2DFA" w:rsidP="009F2DFA">
      <w:pPr>
        <w:numPr>
          <w:ilvl w:val="0"/>
          <w:numId w:val="7"/>
        </w:numPr>
        <w:spacing w:line="276" w:lineRule="auto"/>
        <w:jc w:val="both"/>
        <w:rPr>
          <w:sz w:val="24"/>
          <w:szCs w:val="24"/>
        </w:rPr>
      </w:pPr>
      <w:r w:rsidRPr="005C483F">
        <w:rPr>
          <w:sz w:val="24"/>
          <w:szCs w:val="24"/>
        </w:rPr>
        <w:t>identifikácia zainteresovaných skupín MSP a ich zastupiteľských organizácií,</w:t>
      </w:r>
    </w:p>
    <w:p w:rsidR="009F2DFA" w:rsidRPr="005C483F" w:rsidRDefault="009F2DFA" w:rsidP="009F2DFA">
      <w:pPr>
        <w:numPr>
          <w:ilvl w:val="0"/>
          <w:numId w:val="7"/>
        </w:numPr>
        <w:spacing w:line="276" w:lineRule="auto"/>
        <w:jc w:val="both"/>
        <w:rPr>
          <w:sz w:val="24"/>
          <w:szCs w:val="24"/>
        </w:rPr>
      </w:pPr>
      <w:r w:rsidRPr="005C483F">
        <w:rPr>
          <w:sz w:val="24"/>
          <w:szCs w:val="24"/>
        </w:rPr>
        <w:t>okrúhle stoly so zainteresovanými podnikateľmi/ podnikateľskými organizáciami,</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zverejnenie zámeru </w:t>
      </w:r>
      <w:proofErr w:type="spellStart"/>
      <w:r w:rsidRPr="005C483F">
        <w:rPr>
          <w:sz w:val="24"/>
          <w:szCs w:val="24"/>
        </w:rPr>
        <w:t>online</w:t>
      </w:r>
      <w:proofErr w:type="spellEnd"/>
      <w:r w:rsidRPr="005C483F">
        <w:rPr>
          <w:sz w:val="24"/>
          <w:szCs w:val="24"/>
        </w:rPr>
        <w:t xml:space="preserve">, vytvorenie </w:t>
      </w:r>
      <w:proofErr w:type="spellStart"/>
      <w:r w:rsidRPr="005C483F">
        <w:rPr>
          <w:sz w:val="24"/>
          <w:szCs w:val="24"/>
        </w:rPr>
        <w:t>online</w:t>
      </w:r>
      <w:proofErr w:type="spellEnd"/>
      <w:r w:rsidRPr="005C483F">
        <w:rPr>
          <w:sz w:val="24"/>
          <w:szCs w:val="24"/>
        </w:rPr>
        <w:t xml:space="preserve"> platformy na pripomienkovanie,</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vyhodnotenie </w:t>
      </w:r>
      <w:proofErr w:type="spellStart"/>
      <w:r w:rsidRPr="005C483F">
        <w:rPr>
          <w:sz w:val="24"/>
          <w:szCs w:val="24"/>
        </w:rPr>
        <w:t>online</w:t>
      </w:r>
      <w:proofErr w:type="spellEnd"/>
      <w:r w:rsidRPr="005C483F">
        <w:rPr>
          <w:sz w:val="24"/>
          <w:szCs w:val="24"/>
        </w:rPr>
        <w:t xml:space="preserve"> pripomienok, </w:t>
      </w:r>
    </w:p>
    <w:p w:rsidR="009F2DFA" w:rsidRPr="005C483F" w:rsidRDefault="009F2DFA" w:rsidP="009F2DFA">
      <w:pPr>
        <w:numPr>
          <w:ilvl w:val="0"/>
          <w:numId w:val="7"/>
        </w:numPr>
        <w:spacing w:line="276" w:lineRule="auto"/>
        <w:jc w:val="both"/>
        <w:rPr>
          <w:sz w:val="24"/>
          <w:szCs w:val="24"/>
        </w:rPr>
      </w:pPr>
      <w:r w:rsidRPr="005C483F">
        <w:rPr>
          <w:sz w:val="24"/>
          <w:szCs w:val="24"/>
        </w:rPr>
        <w:t>MSP Test panely.</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2. Predbežné posúdenie pravdepodobne ovplyvnených podnikateľských subjektov</w:t>
      </w:r>
    </w:p>
    <w:p w:rsidR="009F2DFA" w:rsidRPr="005C483F" w:rsidRDefault="009F2DFA" w:rsidP="009F2DFA">
      <w:pPr>
        <w:numPr>
          <w:ilvl w:val="0"/>
          <w:numId w:val="7"/>
        </w:numPr>
        <w:spacing w:line="276" w:lineRule="auto"/>
        <w:jc w:val="both"/>
        <w:rPr>
          <w:sz w:val="24"/>
          <w:szCs w:val="24"/>
        </w:rPr>
      </w:pPr>
      <w:r w:rsidRPr="005C483F">
        <w:rPr>
          <w:sz w:val="24"/>
          <w:szCs w:val="24"/>
        </w:rPr>
        <w:t>identifikácia ovplyvnených subjektov a sektorov v rámci jednotlivých veľkostných, právnych, odvetvových, prípadne iných špecifikácií MSP</w:t>
      </w:r>
    </w:p>
    <w:p w:rsidR="009F2DFA" w:rsidRPr="005C483F" w:rsidRDefault="009F2DFA" w:rsidP="009F2DFA">
      <w:pPr>
        <w:numPr>
          <w:ilvl w:val="0"/>
          <w:numId w:val="7"/>
        </w:numPr>
        <w:spacing w:line="276" w:lineRule="auto"/>
        <w:jc w:val="both"/>
        <w:rPr>
          <w:sz w:val="24"/>
          <w:szCs w:val="24"/>
        </w:rPr>
      </w:pPr>
      <w:r w:rsidRPr="005C483F">
        <w:rPr>
          <w:sz w:val="24"/>
          <w:szCs w:val="24"/>
        </w:rPr>
        <w:t>kto sú ovplyvnené subjekty?</w:t>
      </w:r>
    </w:p>
    <w:p w:rsidR="009F2DFA" w:rsidRPr="005C483F" w:rsidRDefault="009F2DFA" w:rsidP="009F2DFA">
      <w:pPr>
        <w:numPr>
          <w:ilvl w:val="0"/>
          <w:numId w:val="8"/>
        </w:numPr>
        <w:spacing w:line="276" w:lineRule="auto"/>
        <w:jc w:val="both"/>
        <w:rPr>
          <w:sz w:val="24"/>
          <w:szCs w:val="24"/>
        </w:rPr>
      </w:pPr>
      <w:r w:rsidRPr="005C483F">
        <w:rPr>
          <w:sz w:val="24"/>
          <w:szCs w:val="24"/>
        </w:rPr>
        <w:t>počet subjektov a ich zastúpenie (</w:t>
      </w:r>
      <w:proofErr w:type="spellStart"/>
      <w:r w:rsidRPr="005C483F">
        <w:rPr>
          <w:sz w:val="24"/>
          <w:szCs w:val="24"/>
        </w:rPr>
        <w:t>mikro</w:t>
      </w:r>
      <w:proofErr w:type="spellEnd"/>
      <w:r w:rsidRPr="005C483F">
        <w:rPr>
          <w:sz w:val="24"/>
          <w:szCs w:val="24"/>
        </w:rPr>
        <w:t>, malé, stredné a veľké podniky),</w:t>
      </w:r>
    </w:p>
    <w:p w:rsidR="009F2DFA" w:rsidRPr="005C483F" w:rsidRDefault="009F2DFA" w:rsidP="009F2DFA">
      <w:pPr>
        <w:numPr>
          <w:ilvl w:val="0"/>
          <w:numId w:val="8"/>
        </w:numPr>
        <w:spacing w:line="276" w:lineRule="auto"/>
        <w:jc w:val="both"/>
        <w:rPr>
          <w:sz w:val="24"/>
          <w:szCs w:val="24"/>
        </w:rPr>
      </w:pPr>
      <w:r w:rsidRPr="005C483F">
        <w:rPr>
          <w:sz w:val="24"/>
          <w:szCs w:val="24"/>
        </w:rPr>
        <w:t>podiel na zamestnanosti v rôznych kategóriách ovplyvnených subjektov,</w:t>
      </w:r>
    </w:p>
    <w:p w:rsidR="009F2DFA" w:rsidRPr="005C483F" w:rsidRDefault="009F2DFA" w:rsidP="009F2DFA">
      <w:pPr>
        <w:numPr>
          <w:ilvl w:val="0"/>
          <w:numId w:val="8"/>
        </w:numPr>
        <w:spacing w:line="276" w:lineRule="auto"/>
        <w:jc w:val="both"/>
        <w:rPr>
          <w:sz w:val="24"/>
          <w:szCs w:val="24"/>
        </w:rPr>
      </w:pPr>
      <w:r w:rsidRPr="005C483F">
        <w:rPr>
          <w:sz w:val="24"/>
          <w:szCs w:val="24"/>
        </w:rPr>
        <w:t>zastúpenie MSP v ovplyvnenom sektore,</w:t>
      </w:r>
    </w:p>
    <w:p w:rsidR="009F2DFA" w:rsidRPr="005C483F" w:rsidRDefault="009F2DFA" w:rsidP="009F2DFA">
      <w:pPr>
        <w:numPr>
          <w:ilvl w:val="0"/>
          <w:numId w:val="8"/>
        </w:numPr>
        <w:spacing w:line="276" w:lineRule="auto"/>
        <w:jc w:val="both"/>
        <w:rPr>
          <w:sz w:val="24"/>
          <w:szCs w:val="24"/>
        </w:rPr>
      </w:pPr>
      <w:r w:rsidRPr="005C483F">
        <w:rPr>
          <w:sz w:val="24"/>
          <w:szCs w:val="24"/>
        </w:rPr>
        <w:t>prepojenie na ostatné sektory (odvetvia) a možný dopad na subdodávateľské vzťahy.</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3. Meranie vplyvu regulácie na MSP</w:t>
      </w:r>
    </w:p>
    <w:p w:rsidR="009F2DFA" w:rsidRPr="005C483F" w:rsidRDefault="009F2DFA" w:rsidP="009F2DFA">
      <w:pPr>
        <w:numPr>
          <w:ilvl w:val="0"/>
          <w:numId w:val="7"/>
        </w:numPr>
        <w:spacing w:line="276" w:lineRule="auto"/>
        <w:jc w:val="both"/>
        <w:rPr>
          <w:sz w:val="24"/>
          <w:szCs w:val="24"/>
        </w:rPr>
      </w:pPr>
      <w:r w:rsidRPr="005C483F">
        <w:rPr>
          <w:sz w:val="24"/>
          <w:szCs w:val="24"/>
        </w:rPr>
        <w:t>kvantitatívna a kvalitatívna analýza vplyvov (priamych aj nepriamych)</w:t>
      </w:r>
    </w:p>
    <w:p w:rsidR="009F2DFA" w:rsidRPr="005C483F" w:rsidRDefault="009F2DFA" w:rsidP="009F2DFA">
      <w:pPr>
        <w:numPr>
          <w:ilvl w:val="0"/>
          <w:numId w:val="9"/>
        </w:numPr>
        <w:spacing w:line="276" w:lineRule="auto"/>
        <w:jc w:val="both"/>
        <w:rPr>
          <w:sz w:val="24"/>
          <w:szCs w:val="24"/>
        </w:rPr>
      </w:pPr>
      <w:r w:rsidRPr="005C483F">
        <w:rPr>
          <w:sz w:val="24"/>
          <w:szCs w:val="24"/>
        </w:rPr>
        <w:t>náklady (finančné</w:t>
      </w:r>
      <w:r>
        <w:rPr>
          <w:sz w:val="24"/>
          <w:szCs w:val="24"/>
        </w:rPr>
        <w:t>,</w:t>
      </w:r>
      <w:r w:rsidRPr="005C483F">
        <w:rPr>
          <w:sz w:val="24"/>
          <w:szCs w:val="24"/>
        </w:rPr>
        <w:t> administratívne</w:t>
      </w:r>
      <w:r w:rsidRPr="00E02048">
        <w:rPr>
          <w:sz w:val="24"/>
          <w:szCs w:val="24"/>
        </w:rPr>
        <w:t xml:space="preserve"> </w:t>
      </w:r>
      <w:r>
        <w:rPr>
          <w:sz w:val="24"/>
          <w:szCs w:val="24"/>
        </w:rPr>
        <w:t>a náklady na implementáciu</w:t>
      </w:r>
      <w:r w:rsidRPr="005C483F">
        <w:rPr>
          <w:sz w:val="24"/>
          <w:szCs w:val="24"/>
        </w:rPr>
        <w:t>)</w:t>
      </w:r>
      <w:r w:rsidRPr="005C483F">
        <w:rPr>
          <w:sz w:val="24"/>
          <w:szCs w:val="24"/>
        </w:rPr>
        <w:tab/>
      </w:r>
    </w:p>
    <w:p w:rsidR="009F2DFA" w:rsidRPr="005C483F" w:rsidRDefault="009F2DFA" w:rsidP="009F2DFA">
      <w:pPr>
        <w:numPr>
          <w:ilvl w:val="0"/>
          <w:numId w:val="9"/>
        </w:numPr>
        <w:spacing w:line="276" w:lineRule="auto"/>
        <w:jc w:val="both"/>
        <w:rPr>
          <w:sz w:val="24"/>
          <w:szCs w:val="24"/>
        </w:rPr>
      </w:pPr>
      <w:r w:rsidRPr="005C483F">
        <w:rPr>
          <w:sz w:val="24"/>
          <w:szCs w:val="24"/>
        </w:rPr>
        <w:t>prínosy (finančné, spoločenské, iné)</w:t>
      </w:r>
    </w:p>
    <w:p w:rsidR="009F2DFA" w:rsidRPr="005C483F" w:rsidRDefault="009F2DFA" w:rsidP="009F2DFA">
      <w:pPr>
        <w:numPr>
          <w:ilvl w:val="0"/>
          <w:numId w:val="7"/>
        </w:numPr>
        <w:spacing w:line="276" w:lineRule="auto"/>
        <w:jc w:val="both"/>
        <w:rPr>
          <w:sz w:val="24"/>
          <w:szCs w:val="24"/>
        </w:rPr>
      </w:pPr>
      <w:r w:rsidRPr="005C483F">
        <w:rPr>
          <w:sz w:val="24"/>
          <w:szCs w:val="24"/>
        </w:rPr>
        <w:t>porovnanie vplyvu regulácie na MSP a na veľké podnikateľské subjekty</w:t>
      </w:r>
    </w:p>
    <w:p w:rsidR="009F2DFA" w:rsidRPr="005C483F" w:rsidRDefault="009F2DFA" w:rsidP="009F2DFA">
      <w:pPr>
        <w:numPr>
          <w:ilvl w:val="0"/>
          <w:numId w:val="10"/>
        </w:numPr>
        <w:spacing w:line="276" w:lineRule="auto"/>
        <w:jc w:val="both"/>
        <w:rPr>
          <w:sz w:val="24"/>
          <w:szCs w:val="24"/>
        </w:rPr>
      </w:pPr>
      <w:r w:rsidRPr="005C483F">
        <w:rPr>
          <w:sz w:val="24"/>
          <w:szCs w:val="24"/>
        </w:rPr>
        <w:lastRenderedPageBreak/>
        <w:t>náklady na 1 zamestnanca / ročný obrat / režijné náklady</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posúdenie vplyvu na fungovanie MSP na trhu a na ich konkurencieschopnosť </w:t>
      </w:r>
    </w:p>
    <w:p w:rsidR="009F2DFA" w:rsidRPr="005C483F" w:rsidRDefault="009F2DFA" w:rsidP="009F2DFA">
      <w:pPr>
        <w:numPr>
          <w:ilvl w:val="0"/>
          <w:numId w:val="10"/>
        </w:numPr>
        <w:spacing w:line="276" w:lineRule="auto"/>
        <w:jc w:val="both"/>
        <w:rPr>
          <w:sz w:val="24"/>
          <w:szCs w:val="24"/>
        </w:rPr>
      </w:pPr>
      <w:r w:rsidRPr="005C483F">
        <w:rPr>
          <w:sz w:val="24"/>
          <w:szCs w:val="24"/>
        </w:rPr>
        <w:t>nepriame vplyvy na konkurencieschopnosť MSP (napr. zvýšenie administratívneho zaťaženia, zhoršenie prístupu k financovaniu)</w:t>
      </w:r>
    </w:p>
    <w:p w:rsidR="009F2DFA" w:rsidRPr="005C483F" w:rsidRDefault="009F2DFA" w:rsidP="009F2DFA">
      <w:pPr>
        <w:numPr>
          <w:ilvl w:val="0"/>
          <w:numId w:val="11"/>
        </w:numPr>
        <w:spacing w:line="276" w:lineRule="auto"/>
        <w:jc w:val="both"/>
        <w:rPr>
          <w:sz w:val="24"/>
          <w:szCs w:val="24"/>
        </w:rPr>
      </w:pPr>
      <w:r w:rsidRPr="005C483F">
        <w:rPr>
          <w:sz w:val="24"/>
          <w:szCs w:val="24"/>
        </w:rPr>
        <w:t>vplyv na konkurenčné vzťahy, dodávateľsko-odberateľské vzťahy a zákazníkov (deformácia trhu)</w:t>
      </w:r>
    </w:p>
    <w:p w:rsidR="009F2DFA" w:rsidRPr="005C483F" w:rsidRDefault="009F2DFA" w:rsidP="009F2DFA">
      <w:pPr>
        <w:numPr>
          <w:ilvl w:val="0"/>
          <w:numId w:val="11"/>
        </w:numPr>
        <w:spacing w:line="276" w:lineRule="auto"/>
        <w:jc w:val="both"/>
        <w:rPr>
          <w:sz w:val="24"/>
          <w:szCs w:val="24"/>
        </w:rPr>
      </w:pPr>
      <w:r w:rsidRPr="005C483F">
        <w:rPr>
          <w:sz w:val="24"/>
          <w:szCs w:val="24"/>
        </w:rPr>
        <w:t>vplyv na vstup na trh, trhovú súťaž a štruktúru trhu (monopolizácia trhu)</w:t>
      </w:r>
    </w:p>
    <w:p w:rsidR="009F2DFA" w:rsidRPr="005C483F" w:rsidRDefault="009F2DFA" w:rsidP="009F2DFA">
      <w:pPr>
        <w:numPr>
          <w:ilvl w:val="0"/>
          <w:numId w:val="11"/>
        </w:numPr>
        <w:spacing w:line="276" w:lineRule="auto"/>
        <w:jc w:val="both"/>
        <w:rPr>
          <w:sz w:val="24"/>
          <w:szCs w:val="24"/>
        </w:rPr>
      </w:pPr>
      <w:r w:rsidRPr="005C483F">
        <w:rPr>
          <w:sz w:val="24"/>
          <w:szCs w:val="24"/>
        </w:rPr>
        <w:t>vplyv na inovácie (technologické ale aj netechnologické)</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4. Posúdenie alternatívnych možností a zmierňujúcich opatrení pre MSP</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porovnávanie viacerých možností aplikácie regulácie </w:t>
      </w:r>
    </w:p>
    <w:p w:rsidR="009F2DFA" w:rsidRPr="005C483F" w:rsidRDefault="009F2DFA" w:rsidP="009F2DFA">
      <w:pPr>
        <w:numPr>
          <w:ilvl w:val="0"/>
          <w:numId w:val="7"/>
        </w:numPr>
        <w:spacing w:line="276" w:lineRule="auto"/>
        <w:jc w:val="both"/>
        <w:rPr>
          <w:sz w:val="24"/>
          <w:szCs w:val="24"/>
        </w:rPr>
      </w:pPr>
      <w:r w:rsidRPr="005C483F">
        <w:rPr>
          <w:sz w:val="24"/>
          <w:szCs w:val="24"/>
        </w:rPr>
        <w:t>v prípade, že sú MSP, resp. určité kategórie MSP relatívne viac ovplyvnenou skupinou, treba zvážiť zmierňujúce opatrenia (s ohľadom na náklady na ich implementáciu), napr.:</w:t>
      </w:r>
    </w:p>
    <w:p w:rsidR="009F2DFA" w:rsidRPr="005C483F" w:rsidRDefault="009F2DFA" w:rsidP="009F2DFA">
      <w:pPr>
        <w:numPr>
          <w:ilvl w:val="0"/>
          <w:numId w:val="12"/>
        </w:numPr>
        <w:spacing w:line="276" w:lineRule="auto"/>
        <w:jc w:val="both"/>
        <w:rPr>
          <w:sz w:val="24"/>
          <w:szCs w:val="24"/>
        </w:rPr>
      </w:pPr>
      <w:r w:rsidRPr="005C483F">
        <w:rPr>
          <w:sz w:val="24"/>
          <w:szCs w:val="24"/>
        </w:rPr>
        <w:t>kompletné, alebo čiastkové vyňatie MSP, resp. určitých kategórií MSP (napr.</w:t>
      </w:r>
      <w:r>
        <w:rPr>
          <w:sz w:val="24"/>
          <w:szCs w:val="24"/>
        </w:rPr>
        <w:t> </w:t>
      </w:r>
      <w:proofErr w:type="spellStart"/>
      <w:r w:rsidRPr="005C483F">
        <w:rPr>
          <w:sz w:val="24"/>
          <w:szCs w:val="24"/>
        </w:rPr>
        <w:t>mikropodnikov</w:t>
      </w:r>
      <w:proofErr w:type="spellEnd"/>
      <w:r w:rsidRPr="005C483F">
        <w:rPr>
          <w:sz w:val="24"/>
          <w:szCs w:val="24"/>
        </w:rPr>
        <w:t>, podnikateľov s určitým obratom) z rozsahu opatrenia,</w:t>
      </w:r>
    </w:p>
    <w:p w:rsidR="009F2DFA" w:rsidRPr="005C483F" w:rsidRDefault="009F2DFA" w:rsidP="009F2DFA">
      <w:pPr>
        <w:numPr>
          <w:ilvl w:val="0"/>
          <w:numId w:val="12"/>
        </w:numPr>
        <w:spacing w:line="276" w:lineRule="auto"/>
        <w:jc w:val="both"/>
        <w:rPr>
          <w:sz w:val="24"/>
          <w:szCs w:val="24"/>
        </w:rPr>
      </w:pPr>
      <w:r w:rsidRPr="005C483F">
        <w:rPr>
          <w:sz w:val="24"/>
          <w:szCs w:val="24"/>
        </w:rPr>
        <w:t>dočasné výnimky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priama finančná pomoc, daňové zvýhodnenie, zníženie poplatkov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zjednodušenie oznamovacích povinností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informačné kampane pre MSP, tvorba príručiek, školenia a poradenské služby (</w:t>
      </w:r>
      <w:proofErr w:type="spellStart"/>
      <w:r w:rsidRPr="005C483F">
        <w:rPr>
          <w:sz w:val="24"/>
          <w:szCs w:val="24"/>
        </w:rPr>
        <w:t>helpdesky</w:t>
      </w:r>
      <w:proofErr w:type="spellEnd"/>
      <w:r w:rsidRPr="005C483F">
        <w:rPr>
          <w:sz w:val="24"/>
          <w:szCs w:val="24"/>
        </w:rPr>
        <w:t>),</w:t>
      </w:r>
    </w:p>
    <w:p w:rsidR="009F2DFA" w:rsidRPr="005C483F" w:rsidRDefault="009F2DFA" w:rsidP="009F2DFA">
      <w:pPr>
        <w:numPr>
          <w:ilvl w:val="0"/>
          <w:numId w:val="12"/>
        </w:numPr>
        <w:spacing w:line="276" w:lineRule="auto"/>
        <w:jc w:val="both"/>
        <w:rPr>
          <w:sz w:val="24"/>
          <w:szCs w:val="24"/>
        </w:rPr>
      </w:pPr>
      <w:r w:rsidRPr="005C483F">
        <w:rPr>
          <w:sz w:val="24"/>
          <w:szCs w:val="24"/>
        </w:rPr>
        <w:t>previazanosť na ďalšie opatrenia/ povinnosti pre podnikateľov - systematické zjednodušovanie požiadaviek pre MSP.</w:t>
      </w:r>
    </w:p>
    <w:p w:rsidR="009F2DFA" w:rsidRPr="005C483F" w:rsidRDefault="009F2DFA" w:rsidP="009F2DFA">
      <w:pPr>
        <w:tabs>
          <w:tab w:val="left" w:pos="960"/>
        </w:tabs>
        <w:jc w:val="both"/>
        <w:rPr>
          <w:sz w:val="24"/>
          <w:szCs w:val="24"/>
        </w:rPr>
      </w:pPr>
    </w:p>
    <w:p w:rsidR="009F2DFA" w:rsidRDefault="00F41620" w:rsidP="009F2DFA">
      <w:pPr>
        <w:tabs>
          <w:tab w:val="left" w:pos="960"/>
        </w:tabs>
        <w:jc w:val="both"/>
        <w:rPr>
          <w:sz w:val="24"/>
          <w:szCs w:val="24"/>
        </w:rPr>
      </w:pPr>
      <w:r>
        <w:rPr>
          <w:sz w:val="24"/>
          <w:szCs w:val="24"/>
        </w:rPr>
        <w:t xml:space="preserve">Výsledky testu </w:t>
      </w:r>
      <w:r w:rsidR="009F2DFA" w:rsidRPr="005C483F">
        <w:rPr>
          <w:sz w:val="24"/>
          <w:szCs w:val="24"/>
        </w:rPr>
        <w:t xml:space="preserve">MSP </w:t>
      </w:r>
      <w:r>
        <w:rPr>
          <w:sz w:val="24"/>
          <w:szCs w:val="24"/>
        </w:rPr>
        <w:t>tvoria</w:t>
      </w:r>
      <w:r w:rsidR="009F2DFA">
        <w:rPr>
          <w:sz w:val="24"/>
          <w:szCs w:val="24"/>
        </w:rPr>
        <w:t xml:space="preserve"> </w:t>
      </w:r>
      <w:r w:rsidR="009F2DFA" w:rsidRPr="00740146">
        <w:rPr>
          <w:sz w:val="24"/>
          <w:szCs w:val="24"/>
        </w:rPr>
        <w:t xml:space="preserve">prílohu k Analýze vplyvov na podnikateľské prostredie </w:t>
      </w:r>
      <w:r w:rsidR="009F2DFA">
        <w:rPr>
          <w:sz w:val="24"/>
          <w:szCs w:val="24"/>
        </w:rPr>
        <w:t>podľa bodu 7.3.</w:t>
      </w:r>
    </w:p>
    <w:p w:rsidR="009F2DFA" w:rsidRDefault="009F2DFA" w:rsidP="009F2DFA">
      <w:pPr>
        <w:tabs>
          <w:tab w:val="left" w:pos="960"/>
        </w:tabs>
        <w:jc w:val="both"/>
        <w:rPr>
          <w:sz w:val="24"/>
          <w:szCs w:val="24"/>
        </w:rPr>
      </w:pPr>
    </w:p>
    <w:p w:rsidR="00CB3623" w:rsidRDefault="00CB3623"/>
    <w:sectPr w:rsidR="00CB3623">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42E" w:rsidRDefault="00A2242E" w:rsidP="009F2DFA">
      <w:r>
        <w:separator/>
      </w:r>
    </w:p>
  </w:endnote>
  <w:endnote w:type="continuationSeparator" w:id="0">
    <w:p w:rsidR="00A2242E" w:rsidRDefault="00A2242E"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81234"/>
      <w:docPartObj>
        <w:docPartGallery w:val="Page Numbers (Bottom of Page)"/>
        <w:docPartUnique/>
      </w:docPartObj>
    </w:sdtPr>
    <w:sdtEndPr/>
    <w:sdtContent>
      <w:p w:rsidR="00F84E4A" w:rsidRDefault="00F84E4A">
        <w:pPr>
          <w:pStyle w:val="Pta"/>
          <w:jc w:val="right"/>
        </w:pPr>
        <w:r>
          <w:fldChar w:fldCharType="begin"/>
        </w:r>
        <w:r>
          <w:instrText>PAGE   \* MERGEFORMAT</w:instrText>
        </w:r>
        <w:r>
          <w:fldChar w:fldCharType="separate"/>
        </w:r>
        <w:r w:rsidR="00623CAE">
          <w:rPr>
            <w:noProof/>
          </w:rPr>
          <w:t>5</w:t>
        </w:r>
        <w:r>
          <w:fldChar w:fldCharType="end"/>
        </w:r>
      </w:p>
    </w:sdtContent>
  </w:sdt>
  <w:p w:rsidR="00F84E4A" w:rsidRDefault="00F84E4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42E" w:rsidRDefault="00A2242E" w:rsidP="009F2DFA">
      <w:r>
        <w:separator/>
      </w:r>
    </w:p>
  </w:footnote>
  <w:footnote w:type="continuationSeparator" w:id="0">
    <w:p w:rsidR="00A2242E" w:rsidRDefault="00A2242E" w:rsidP="009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4A" w:rsidRDefault="00F84E4A" w:rsidP="009F2DFA">
    <w:pPr>
      <w:pStyle w:val="Hlavika"/>
      <w:jc w:val="right"/>
      <w:rPr>
        <w:sz w:val="24"/>
        <w:szCs w:val="24"/>
      </w:rPr>
    </w:pPr>
    <w:r w:rsidRPr="000A15AE">
      <w:rPr>
        <w:sz w:val="24"/>
        <w:szCs w:val="24"/>
      </w:rPr>
      <w:t>Príloha č</w:t>
    </w:r>
    <w:r>
      <w:rPr>
        <w:sz w:val="24"/>
        <w:szCs w:val="24"/>
      </w:rPr>
      <w:t>. 3</w:t>
    </w:r>
  </w:p>
  <w:p w:rsidR="00F84E4A" w:rsidRDefault="00F84E4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56520"/>
    <w:rsid w:val="00080C0B"/>
    <w:rsid w:val="000B2C0D"/>
    <w:rsid w:val="000D654F"/>
    <w:rsid w:val="000E10D4"/>
    <w:rsid w:val="000E40BD"/>
    <w:rsid w:val="001275A4"/>
    <w:rsid w:val="00154881"/>
    <w:rsid w:val="00156A6A"/>
    <w:rsid w:val="001642A2"/>
    <w:rsid w:val="00166872"/>
    <w:rsid w:val="001C4D04"/>
    <w:rsid w:val="001C7FB9"/>
    <w:rsid w:val="001F4FEB"/>
    <w:rsid w:val="0020427F"/>
    <w:rsid w:val="002236B6"/>
    <w:rsid w:val="00297527"/>
    <w:rsid w:val="002B1108"/>
    <w:rsid w:val="002D6ECB"/>
    <w:rsid w:val="002F7945"/>
    <w:rsid w:val="00315C9C"/>
    <w:rsid w:val="003A56DF"/>
    <w:rsid w:val="003E0A93"/>
    <w:rsid w:val="0041435B"/>
    <w:rsid w:val="0042231D"/>
    <w:rsid w:val="00424EB3"/>
    <w:rsid w:val="00430BAD"/>
    <w:rsid w:val="00436C84"/>
    <w:rsid w:val="0044207C"/>
    <w:rsid w:val="00477541"/>
    <w:rsid w:val="004B1CCE"/>
    <w:rsid w:val="0052297F"/>
    <w:rsid w:val="00524CAC"/>
    <w:rsid w:val="00572B77"/>
    <w:rsid w:val="00623CAE"/>
    <w:rsid w:val="00652855"/>
    <w:rsid w:val="00683DA9"/>
    <w:rsid w:val="006C034A"/>
    <w:rsid w:val="006C27B1"/>
    <w:rsid w:val="006C6BB2"/>
    <w:rsid w:val="006E593D"/>
    <w:rsid w:val="00720447"/>
    <w:rsid w:val="00772667"/>
    <w:rsid w:val="00780335"/>
    <w:rsid w:val="00780BA6"/>
    <w:rsid w:val="007820E0"/>
    <w:rsid w:val="007D2125"/>
    <w:rsid w:val="00837639"/>
    <w:rsid w:val="008437C5"/>
    <w:rsid w:val="0086140D"/>
    <w:rsid w:val="00881658"/>
    <w:rsid w:val="00893514"/>
    <w:rsid w:val="0089362B"/>
    <w:rsid w:val="008A1252"/>
    <w:rsid w:val="008A207C"/>
    <w:rsid w:val="008A3936"/>
    <w:rsid w:val="008B35B6"/>
    <w:rsid w:val="00903AFD"/>
    <w:rsid w:val="00904C9B"/>
    <w:rsid w:val="00951893"/>
    <w:rsid w:val="00963F1F"/>
    <w:rsid w:val="009D6F20"/>
    <w:rsid w:val="009F2DFA"/>
    <w:rsid w:val="00A16277"/>
    <w:rsid w:val="00A2242E"/>
    <w:rsid w:val="00A2412C"/>
    <w:rsid w:val="00A319EF"/>
    <w:rsid w:val="00A37F21"/>
    <w:rsid w:val="00A84114"/>
    <w:rsid w:val="00AC4137"/>
    <w:rsid w:val="00AF5685"/>
    <w:rsid w:val="00B31911"/>
    <w:rsid w:val="00B31A8E"/>
    <w:rsid w:val="00B6590D"/>
    <w:rsid w:val="00B77BE4"/>
    <w:rsid w:val="00B9372D"/>
    <w:rsid w:val="00BA073A"/>
    <w:rsid w:val="00BB0C41"/>
    <w:rsid w:val="00BE394B"/>
    <w:rsid w:val="00C426FC"/>
    <w:rsid w:val="00CB3623"/>
    <w:rsid w:val="00CC4C60"/>
    <w:rsid w:val="00D43D3F"/>
    <w:rsid w:val="00D63AB7"/>
    <w:rsid w:val="00D64BF2"/>
    <w:rsid w:val="00D66A92"/>
    <w:rsid w:val="00D838F8"/>
    <w:rsid w:val="00D94CD8"/>
    <w:rsid w:val="00DA077F"/>
    <w:rsid w:val="00DC1E59"/>
    <w:rsid w:val="00DE539F"/>
    <w:rsid w:val="00DF06A0"/>
    <w:rsid w:val="00E46BEF"/>
    <w:rsid w:val="00E578D1"/>
    <w:rsid w:val="00E73F12"/>
    <w:rsid w:val="00E74555"/>
    <w:rsid w:val="00E86AD1"/>
    <w:rsid w:val="00EA12DF"/>
    <w:rsid w:val="00F079F3"/>
    <w:rsid w:val="00F41620"/>
    <w:rsid w:val="00F57D24"/>
    <w:rsid w:val="00F805C1"/>
    <w:rsid w:val="00F80D46"/>
    <w:rsid w:val="00F84E4A"/>
    <w:rsid w:val="00F96CDA"/>
    <w:rsid w:val="00FA6F38"/>
    <w:rsid w:val="00FB0AEB"/>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F57D24"/>
    <w:rPr>
      <w:sz w:val="16"/>
      <w:szCs w:val="16"/>
    </w:rPr>
  </w:style>
  <w:style w:type="paragraph" w:styleId="Textkomentra">
    <w:name w:val="annotation text"/>
    <w:basedOn w:val="Normlny"/>
    <w:link w:val="TextkomentraChar"/>
    <w:uiPriority w:val="99"/>
    <w:semiHidden/>
    <w:unhideWhenUsed/>
    <w:rsid w:val="00F57D24"/>
  </w:style>
  <w:style w:type="character" w:customStyle="1" w:styleId="TextkomentraChar">
    <w:name w:val="Text komentára Char"/>
    <w:basedOn w:val="Predvolenpsmoodseku"/>
    <w:link w:val="Textkomentra"/>
    <w:uiPriority w:val="99"/>
    <w:semiHidden/>
    <w:rsid w:val="00F57D2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57D24"/>
    <w:rPr>
      <w:b/>
      <w:bCs/>
    </w:rPr>
  </w:style>
  <w:style w:type="character" w:customStyle="1" w:styleId="PredmetkomentraChar">
    <w:name w:val="Predmet komentára Char"/>
    <w:basedOn w:val="TextkomentraChar"/>
    <w:link w:val="Predmetkomentra"/>
    <w:uiPriority w:val="99"/>
    <w:semiHidden/>
    <w:rsid w:val="00F57D24"/>
    <w:rPr>
      <w:rFonts w:ascii="Times New Roman" w:eastAsia="Times New Roman" w:hAnsi="Times New Roman" w:cs="Times New Roman"/>
      <w:b/>
      <w:bCs/>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F57D24"/>
    <w:rPr>
      <w:sz w:val="16"/>
      <w:szCs w:val="16"/>
    </w:rPr>
  </w:style>
  <w:style w:type="paragraph" w:styleId="Textkomentra">
    <w:name w:val="annotation text"/>
    <w:basedOn w:val="Normlny"/>
    <w:link w:val="TextkomentraChar"/>
    <w:uiPriority w:val="99"/>
    <w:semiHidden/>
    <w:unhideWhenUsed/>
    <w:rsid w:val="00F57D24"/>
  </w:style>
  <w:style w:type="character" w:customStyle="1" w:styleId="TextkomentraChar">
    <w:name w:val="Text komentára Char"/>
    <w:basedOn w:val="Predvolenpsmoodseku"/>
    <w:link w:val="Textkomentra"/>
    <w:uiPriority w:val="99"/>
    <w:semiHidden/>
    <w:rsid w:val="00F57D2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57D24"/>
    <w:rPr>
      <w:b/>
      <w:bCs/>
    </w:rPr>
  </w:style>
  <w:style w:type="character" w:customStyle="1" w:styleId="PredmetkomentraChar">
    <w:name w:val="Predmet komentára Char"/>
    <w:basedOn w:val="TextkomentraChar"/>
    <w:link w:val="Predmetkomentra"/>
    <w:uiPriority w:val="99"/>
    <w:semiHidden/>
    <w:rsid w:val="00F57D24"/>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yperlink" Target="http://portal.statistics.sk/showdoc.do?docid=1924" TargetMode="External"/><Relationship Id="rId14" Type="http://schemas.openxmlformats.org/officeDocument/2006/relationships/image" Target="media/image5.emf"/><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1D0AE-E20F-4729-8B4D-B3833993BD7A}" type="doc">
      <dgm:prSet loTypeId="urn:microsoft.com/office/officeart/2005/8/layout/orgChart1" loCatId="hierarchy" qsTypeId="urn:microsoft.com/office/officeart/2005/8/quickstyle/simple1" qsCatId="simple" csTypeId="urn:microsoft.com/office/officeart/2005/8/colors/accent1_2" csCatId="accent1" phldr="1"/>
      <dgm:spPr/>
    </dgm:pt>
    <dgm:pt modelId="{5F254598-ACFD-4493-9147-CAEE4774F119}">
      <dgm:prSet/>
      <dgm:spPr/>
      <dgm:t>
        <a:bodyPr/>
        <a:lstStyle/>
        <a:p>
          <a:pPr marR="0" algn="ctr" rtl="0"/>
          <a:r>
            <a:rPr lang="sk-SK" b="0" i="0" u="none" strike="noStrike" baseline="0" smtClean="0">
              <a:latin typeface="Times New Roman"/>
            </a:rPr>
            <a:t>Fázy vykonávania testu MSP</a:t>
          </a:r>
          <a:endParaRPr lang="sk-SK" smtClean="0"/>
        </a:p>
      </dgm:t>
    </dgm:pt>
    <dgm:pt modelId="{40DBE72A-9A47-4523-86E0-3FE2F8929102}" type="parTrans" cxnId="{52C65F7A-4DFE-438D-8BC3-CEF20881B7EF}">
      <dgm:prSet/>
      <dgm:spPr/>
      <dgm:t>
        <a:bodyPr/>
        <a:lstStyle/>
        <a:p>
          <a:endParaRPr lang="sk-SK"/>
        </a:p>
      </dgm:t>
    </dgm:pt>
    <dgm:pt modelId="{2F82F967-4AD6-4E34-B3CA-0E641571C92F}" type="sibTrans" cxnId="{52C65F7A-4DFE-438D-8BC3-CEF20881B7EF}">
      <dgm:prSet/>
      <dgm:spPr/>
      <dgm:t>
        <a:bodyPr/>
        <a:lstStyle/>
        <a:p>
          <a:endParaRPr lang="sk-SK"/>
        </a:p>
      </dgm:t>
    </dgm:pt>
    <dgm:pt modelId="{1370191D-207C-43DE-9CDC-F0981E038579}">
      <dgm:prSet/>
      <dgm:spPr/>
      <dgm:t>
        <a:bodyPr/>
        <a:lstStyle/>
        <a:p>
          <a:pPr marR="0" algn="ctr" rtl="0"/>
          <a:r>
            <a:rPr lang="sk-SK" b="0" i="0" u="none" strike="noStrike" baseline="0" smtClean="0">
              <a:latin typeface="Times New Roman"/>
            </a:rPr>
            <a:t>1.Konzultácie so zástupcami MSP</a:t>
          </a:r>
          <a:endParaRPr lang="sk-SK" smtClean="0"/>
        </a:p>
      </dgm:t>
    </dgm:pt>
    <dgm:pt modelId="{8607C018-2BCA-4E1E-ADC6-E43D2DCFDEB5}" type="parTrans" cxnId="{BBCA088B-4086-42D9-A781-F37231ED6E23}">
      <dgm:prSet/>
      <dgm:spPr/>
      <dgm:t>
        <a:bodyPr/>
        <a:lstStyle/>
        <a:p>
          <a:endParaRPr lang="sk-SK"/>
        </a:p>
      </dgm:t>
    </dgm:pt>
    <dgm:pt modelId="{BC9B71A1-06FB-4513-85F4-8E33AA99A8E8}" type="sibTrans" cxnId="{BBCA088B-4086-42D9-A781-F37231ED6E23}">
      <dgm:prSet/>
      <dgm:spPr/>
      <dgm:t>
        <a:bodyPr/>
        <a:lstStyle/>
        <a:p>
          <a:endParaRPr lang="sk-SK"/>
        </a:p>
      </dgm:t>
    </dgm:pt>
    <dgm:pt modelId="{521874EA-6E41-4711-BB7A-E45EB2C177CD}">
      <dgm:prSet/>
      <dgm:spPr/>
      <dgm:t>
        <a:bodyPr/>
        <a:lstStyle/>
        <a:p>
          <a:pPr marR="0" algn="ctr" rtl="0"/>
          <a:r>
            <a:rPr lang="sk-SK" b="0" i="0" u="none" strike="noStrike" baseline="0" smtClean="0">
              <a:latin typeface="Times New Roman"/>
            </a:rPr>
            <a:t>2. Predbežné posúdenie pravdepodobne 	ovplyvnených podnikateľských subjektov </a:t>
          </a:r>
          <a:r>
            <a:rPr lang="sk-SK" b="0" i="0" u="none" strike="noStrike" baseline="0" smtClean="0">
              <a:latin typeface="Calibri"/>
            </a:rPr>
            <a:t> </a:t>
          </a:r>
          <a:endParaRPr lang="sk-SK" smtClean="0"/>
        </a:p>
      </dgm:t>
    </dgm:pt>
    <dgm:pt modelId="{B9FF5DD2-0314-466F-BD07-538275B06742}" type="parTrans" cxnId="{92CCDD2A-052E-4850-BDDB-960A3DD74246}">
      <dgm:prSet/>
      <dgm:spPr/>
      <dgm:t>
        <a:bodyPr/>
        <a:lstStyle/>
        <a:p>
          <a:endParaRPr lang="sk-SK"/>
        </a:p>
      </dgm:t>
    </dgm:pt>
    <dgm:pt modelId="{737D1A14-5437-411B-B2D3-06BEF36D2563}" type="sibTrans" cxnId="{92CCDD2A-052E-4850-BDDB-960A3DD74246}">
      <dgm:prSet/>
      <dgm:spPr/>
      <dgm:t>
        <a:bodyPr/>
        <a:lstStyle/>
        <a:p>
          <a:endParaRPr lang="sk-SK"/>
        </a:p>
      </dgm:t>
    </dgm:pt>
    <dgm:pt modelId="{A7FC6FC6-4038-4346-AF81-4CF1C7F0186C}">
      <dgm:prSet/>
      <dgm:spPr/>
      <dgm:t>
        <a:bodyPr/>
        <a:lstStyle/>
        <a:p>
          <a:pPr marR="0" algn="ctr" rtl="0"/>
          <a:r>
            <a:rPr lang="sk-SK" b="0" i="0" u="none" strike="noStrike" baseline="0" smtClean="0">
              <a:latin typeface="Times New Roman"/>
            </a:rPr>
            <a:t>3.Meranie vplyvu regulácie na MSP</a:t>
          </a:r>
          <a:endParaRPr lang="sk-SK" smtClean="0"/>
        </a:p>
      </dgm:t>
    </dgm:pt>
    <dgm:pt modelId="{A7F615EF-BE2C-4D7C-A492-BF26AE09E984}" type="parTrans" cxnId="{C437F6FA-A1F2-4AA4-97E7-36ABAB8F743B}">
      <dgm:prSet/>
      <dgm:spPr/>
      <dgm:t>
        <a:bodyPr/>
        <a:lstStyle/>
        <a:p>
          <a:endParaRPr lang="sk-SK"/>
        </a:p>
      </dgm:t>
    </dgm:pt>
    <dgm:pt modelId="{FF240594-2146-4CD9-A951-1EC7239FE915}" type="sibTrans" cxnId="{C437F6FA-A1F2-4AA4-97E7-36ABAB8F743B}">
      <dgm:prSet/>
      <dgm:spPr/>
      <dgm:t>
        <a:bodyPr/>
        <a:lstStyle/>
        <a:p>
          <a:endParaRPr lang="sk-SK"/>
        </a:p>
      </dgm:t>
    </dgm:pt>
    <dgm:pt modelId="{5E0484C8-FB5C-4D97-9AD7-902A22E6BB39}">
      <dgm:prSet/>
      <dgm:spPr/>
      <dgm:t>
        <a:bodyPr/>
        <a:lstStyle/>
        <a:p>
          <a:pPr marR="0" algn="ctr" rtl="0"/>
          <a:r>
            <a:rPr lang="sk-SK" b="0" i="0" u="none" strike="noStrike" baseline="0" smtClean="0">
              <a:latin typeface="Times New Roman"/>
            </a:rPr>
            <a:t>4.Posúdenie alternatívnych možností a zmierňujúcich opatrení pre MSP</a:t>
          </a:r>
          <a:endParaRPr lang="sk-SK" smtClean="0"/>
        </a:p>
      </dgm:t>
    </dgm:pt>
    <dgm:pt modelId="{1DFAA7B4-76A5-4AA7-B947-6DF855D7B913}" type="parTrans" cxnId="{67F2CB4C-F71D-4284-899A-090500D6B280}">
      <dgm:prSet/>
      <dgm:spPr/>
      <dgm:t>
        <a:bodyPr/>
        <a:lstStyle/>
        <a:p>
          <a:endParaRPr lang="sk-SK"/>
        </a:p>
      </dgm:t>
    </dgm:pt>
    <dgm:pt modelId="{B9B0AEC9-2573-4F14-B2ED-D5961A6B6CA3}" type="sibTrans" cxnId="{67F2CB4C-F71D-4284-899A-090500D6B280}">
      <dgm:prSet/>
      <dgm:spPr/>
      <dgm:t>
        <a:bodyPr/>
        <a:lstStyle/>
        <a:p>
          <a:endParaRPr lang="sk-SK"/>
        </a:p>
      </dgm:t>
    </dgm:pt>
    <dgm:pt modelId="{57BA9BCC-365A-4710-9F0B-AE5E34111283}" type="pres">
      <dgm:prSet presAssocID="{C2E1D0AE-E20F-4729-8B4D-B3833993BD7A}" presName="hierChild1" presStyleCnt="0">
        <dgm:presLayoutVars>
          <dgm:orgChart val="1"/>
          <dgm:chPref val="1"/>
          <dgm:dir/>
          <dgm:animOne val="branch"/>
          <dgm:animLvl val="lvl"/>
          <dgm:resizeHandles/>
        </dgm:presLayoutVars>
      </dgm:prSet>
      <dgm:spPr/>
    </dgm:pt>
    <dgm:pt modelId="{0BD804DE-0CC3-4B2B-B109-02111D228D1C}" type="pres">
      <dgm:prSet presAssocID="{5F254598-ACFD-4493-9147-CAEE4774F119}" presName="hierRoot1" presStyleCnt="0">
        <dgm:presLayoutVars>
          <dgm:hierBranch val="r"/>
        </dgm:presLayoutVars>
      </dgm:prSet>
      <dgm:spPr/>
    </dgm:pt>
    <dgm:pt modelId="{65FDA49F-F7D0-4E40-A0FA-57FB787A4695}" type="pres">
      <dgm:prSet presAssocID="{5F254598-ACFD-4493-9147-CAEE4774F119}" presName="rootComposite1" presStyleCnt="0"/>
      <dgm:spPr/>
    </dgm:pt>
    <dgm:pt modelId="{A88F122A-3A8F-4C17-B7A2-132F691F99A7}" type="pres">
      <dgm:prSet presAssocID="{5F254598-ACFD-4493-9147-CAEE4774F119}" presName="rootText1" presStyleLbl="node0" presStyleIdx="0" presStyleCnt="1">
        <dgm:presLayoutVars>
          <dgm:chPref val="3"/>
        </dgm:presLayoutVars>
      </dgm:prSet>
      <dgm:spPr/>
      <dgm:t>
        <a:bodyPr/>
        <a:lstStyle/>
        <a:p>
          <a:endParaRPr lang="sk-SK"/>
        </a:p>
      </dgm:t>
    </dgm:pt>
    <dgm:pt modelId="{58B7CD29-7A92-4B60-A7CD-60691F41BE7C}" type="pres">
      <dgm:prSet presAssocID="{5F254598-ACFD-4493-9147-CAEE4774F119}" presName="rootConnector1" presStyleLbl="node1" presStyleIdx="0" presStyleCnt="0"/>
      <dgm:spPr/>
      <dgm:t>
        <a:bodyPr/>
        <a:lstStyle/>
        <a:p>
          <a:endParaRPr lang="sk-SK"/>
        </a:p>
      </dgm:t>
    </dgm:pt>
    <dgm:pt modelId="{BA33D02C-E6B6-4059-98A0-272816ED8E2C}" type="pres">
      <dgm:prSet presAssocID="{5F254598-ACFD-4493-9147-CAEE4774F119}" presName="hierChild2" presStyleCnt="0"/>
      <dgm:spPr/>
    </dgm:pt>
    <dgm:pt modelId="{72080392-37F8-4943-9AFF-57BB22A937C6}" type="pres">
      <dgm:prSet presAssocID="{8607C018-2BCA-4E1E-ADC6-E43D2DCFDEB5}" presName="Name50" presStyleLbl="parChTrans1D2" presStyleIdx="0" presStyleCnt="4"/>
      <dgm:spPr/>
      <dgm:t>
        <a:bodyPr/>
        <a:lstStyle/>
        <a:p>
          <a:endParaRPr lang="sk-SK"/>
        </a:p>
      </dgm:t>
    </dgm:pt>
    <dgm:pt modelId="{229B4DF4-BD81-468B-A53B-FB0C7A876323}" type="pres">
      <dgm:prSet presAssocID="{1370191D-207C-43DE-9CDC-F0981E038579}" presName="hierRoot2" presStyleCnt="0">
        <dgm:presLayoutVars>
          <dgm:hierBranch/>
        </dgm:presLayoutVars>
      </dgm:prSet>
      <dgm:spPr/>
    </dgm:pt>
    <dgm:pt modelId="{7A987FD8-82FC-4712-9F38-B080E93D24ED}" type="pres">
      <dgm:prSet presAssocID="{1370191D-207C-43DE-9CDC-F0981E038579}" presName="rootComposite" presStyleCnt="0"/>
      <dgm:spPr/>
    </dgm:pt>
    <dgm:pt modelId="{D4847877-A882-456B-89B5-4343B21D4101}" type="pres">
      <dgm:prSet presAssocID="{1370191D-207C-43DE-9CDC-F0981E038579}" presName="rootText" presStyleLbl="node2" presStyleIdx="0" presStyleCnt="4">
        <dgm:presLayoutVars>
          <dgm:chPref val="3"/>
        </dgm:presLayoutVars>
      </dgm:prSet>
      <dgm:spPr/>
      <dgm:t>
        <a:bodyPr/>
        <a:lstStyle/>
        <a:p>
          <a:endParaRPr lang="sk-SK"/>
        </a:p>
      </dgm:t>
    </dgm:pt>
    <dgm:pt modelId="{D320C5F2-C510-4CC0-B0D7-1794C6EC0817}" type="pres">
      <dgm:prSet presAssocID="{1370191D-207C-43DE-9CDC-F0981E038579}" presName="rootConnector" presStyleLbl="node2" presStyleIdx="0" presStyleCnt="4"/>
      <dgm:spPr/>
      <dgm:t>
        <a:bodyPr/>
        <a:lstStyle/>
        <a:p>
          <a:endParaRPr lang="sk-SK"/>
        </a:p>
      </dgm:t>
    </dgm:pt>
    <dgm:pt modelId="{55B6FE52-90C0-4EF4-A9D0-80E1AEE3206A}" type="pres">
      <dgm:prSet presAssocID="{1370191D-207C-43DE-9CDC-F0981E038579}" presName="hierChild4" presStyleCnt="0"/>
      <dgm:spPr/>
    </dgm:pt>
    <dgm:pt modelId="{E9533EDE-1C17-4306-8E7A-069D406094F6}" type="pres">
      <dgm:prSet presAssocID="{1370191D-207C-43DE-9CDC-F0981E038579}" presName="hierChild5" presStyleCnt="0"/>
      <dgm:spPr/>
    </dgm:pt>
    <dgm:pt modelId="{10A386F6-8ECE-439B-A83B-5B6AD2C4F8A0}" type="pres">
      <dgm:prSet presAssocID="{B9FF5DD2-0314-466F-BD07-538275B06742}" presName="Name50" presStyleLbl="parChTrans1D2" presStyleIdx="1" presStyleCnt="4"/>
      <dgm:spPr/>
      <dgm:t>
        <a:bodyPr/>
        <a:lstStyle/>
        <a:p>
          <a:endParaRPr lang="sk-SK"/>
        </a:p>
      </dgm:t>
    </dgm:pt>
    <dgm:pt modelId="{DC443BDB-9C53-4AC3-AFB6-C44125244C5A}" type="pres">
      <dgm:prSet presAssocID="{521874EA-6E41-4711-BB7A-E45EB2C177CD}" presName="hierRoot2" presStyleCnt="0">
        <dgm:presLayoutVars>
          <dgm:hierBranch/>
        </dgm:presLayoutVars>
      </dgm:prSet>
      <dgm:spPr/>
    </dgm:pt>
    <dgm:pt modelId="{E125083F-D170-4146-8875-50503A61DF6D}" type="pres">
      <dgm:prSet presAssocID="{521874EA-6E41-4711-BB7A-E45EB2C177CD}" presName="rootComposite" presStyleCnt="0"/>
      <dgm:spPr/>
    </dgm:pt>
    <dgm:pt modelId="{9B6AF713-8D67-4323-B646-4068A2BC876C}" type="pres">
      <dgm:prSet presAssocID="{521874EA-6E41-4711-BB7A-E45EB2C177CD}" presName="rootText" presStyleLbl="node2" presStyleIdx="1" presStyleCnt="4" custScaleX="145402">
        <dgm:presLayoutVars>
          <dgm:chPref val="3"/>
        </dgm:presLayoutVars>
      </dgm:prSet>
      <dgm:spPr/>
      <dgm:t>
        <a:bodyPr/>
        <a:lstStyle/>
        <a:p>
          <a:endParaRPr lang="sk-SK"/>
        </a:p>
      </dgm:t>
    </dgm:pt>
    <dgm:pt modelId="{CDBABD21-2F2F-4763-9C0D-A4F61B3E8103}" type="pres">
      <dgm:prSet presAssocID="{521874EA-6E41-4711-BB7A-E45EB2C177CD}" presName="rootConnector" presStyleLbl="node2" presStyleIdx="1" presStyleCnt="4"/>
      <dgm:spPr/>
      <dgm:t>
        <a:bodyPr/>
        <a:lstStyle/>
        <a:p>
          <a:endParaRPr lang="sk-SK"/>
        </a:p>
      </dgm:t>
    </dgm:pt>
    <dgm:pt modelId="{0D4862D6-E847-4693-A4EE-0AB36E91F054}" type="pres">
      <dgm:prSet presAssocID="{521874EA-6E41-4711-BB7A-E45EB2C177CD}" presName="hierChild4" presStyleCnt="0"/>
      <dgm:spPr/>
    </dgm:pt>
    <dgm:pt modelId="{030D4C91-6CD3-4E49-8C2B-514CC42BDE40}" type="pres">
      <dgm:prSet presAssocID="{521874EA-6E41-4711-BB7A-E45EB2C177CD}" presName="hierChild5" presStyleCnt="0"/>
      <dgm:spPr/>
    </dgm:pt>
    <dgm:pt modelId="{E51EEFB1-B4A9-477B-8D21-436571D7B2DC}" type="pres">
      <dgm:prSet presAssocID="{A7F615EF-BE2C-4D7C-A492-BF26AE09E984}" presName="Name50" presStyleLbl="parChTrans1D2" presStyleIdx="2" presStyleCnt="4"/>
      <dgm:spPr/>
      <dgm:t>
        <a:bodyPr/>
        <a:lstStyle/>
        <a:p>
          <a:endParaRPr lang="sk-SK"/>
        </a:p>
      </dgm:t>
    </dgm:pt>
    <dgm:pt modelId="{53C92187-E288-4BEB-9CBC-DCF4AF02986C}" type="pres">
      <dgm:prSet presAssocID="{A7FC6FC6-4038-4346-AF81-4CF1C7F0186C}" presName="hierRoot2" presStyleCnt="0">
        <dgm:presLayoutVars>
          <dgm:hierBranch/>
        </dgm:presLayoutVars>
      </dgm:prSet>
      <dgm:spPr/>
    </dgm:pt>
    <dgm:pt modelId="{8042F5BB-5128-46AC-85E7-DF67FE16424F}" type="pres">
      <dgm:prSet presAssocID="{A7FC6FC6-4038-4346-AF81-4CF1C7F0186C}" presName="rootComposite" presStyleCnt="0"/>
      <dgm:spPr/>
    </dgm:pt>
    <dgm:pt modelId="{DCD8670C-1B49-4FA3-8514-5EDFEC496BE7}" type="pres">
      <dgm:prSet presAssocID="{A7FC6FC6-4038-4346-AF81-4CF1C7F0186C}" presName="rootText" presStyleLbl="node2" presStyleIdx="2" presStyleCnt="4">
        <dgm:presLayoutVars>
          <dgm:chPref val="3"/>
        </dgm:presLayoutVars>
      </dgm:prSet>
      <dgm:spPr/>
      <dgm:t>
        <a:bodyPr/>
        <a:lstStyle/>
        <a:p>
          <a:endParaRPr lang="sk-SK"/>
        </a:p>
      </dgm:t>
    </dgm:pt>
    <dgm:pt modelId="{C3230535-DC83-4A49-95A2-CA8C7877350C}" type="pres">
      <dgm:prSet presAssocID="{A7FC6FC6-4038-4346-AF81-4CF1C7F0186C}" presName="rootConnector" presStyleLbl="node2" presStyleIdx="2" presStyleCnt="4"/>
      <dgm:spPr/>
      <dgm:t>
        <a:bodyPr/>
        <a:lstStyle/>
        <a:p>
          <a:endParaRPr lang="sk-SK"/>
        </a:p>
      </dgm:t>
    </dgm:pt>
    <dgm:pt modelId="{24BC225A-78D7-4DEE-A54C-E7D1C72CDCD4}" type="pres">
      <dgm:prSet presAssocID="{A7FC6FC6-4038-4346-AF81-4CF1C7F0186C}" presName="hierChild4" presStyleCnt="0"/>
      <dgm:spPr/>
    </dgm:pt>
    <dgm:pt modelId="{62D3D81B-8616-4E78-8027-9EAD873638D1}" type="pres">
      <dgm:prSet presAssocID="{A7FC6FC6-4038-4346-AF81-4CF1C7F0186C}" presName="hierChild5" presStyleCnt="0"/>
      <dgm:spPr/>
    </dgm:pt>
    <dgm:pt modelId="{20019C3C-E1E2-4DEA-8099-902EB7C68D37}" type="pres">
      <dgm:prSet presAssocID="{1DFAA7B4-76A5-4AA7-B947-6DF855D7B913}" presName="Name50" presStyleLbl="parChTrans1D2" presStyleIdx="3" presStyleCnt="4"/>
      <dgm:spPr/>
      <dgm:t>
        <a:bodyPr/>
        <a:lstStyle/>
        <a:p>
          <a:endParaRPr lang="sk-SK"/>
        </a:p>
      </dgm:t>
    </dgm:pt>
    <dgm:pt modelId="{B2B9D473-B6E9-4116-BAE6-D32CB111D4F4}" type="pres">
      <dgm:prSet presAssocID="{5E0484C8-FB5C-4D97-9AD7-902A22E6BB39}" presName="hierRoot2" presStyleCnt="0">
        <dgm:presLayoutVars>
          <dgm:hierBranch/>
        </dgm:presLayoutVars>
      </dgm:prSet>
      <dgm:spPr/>
    </dgm:pt>
    <dgm:pt modelId="{15AC2BCE-1B16-4659-B603-A3B26B985F65}" type="pres">
      <dgm:prSet presAssocID="{5E0484C8-FB5C-4D97-9AD7-902A22E6BB39}" presName="rootComposite" presStyleCnt="0"/>
      <dgm:spPr/>
    </dgm:pt>
    <dgm:pt modelId="{2B0DF7BF-458D-4CF0-A657-34F05C922494}" type="pres">
      <dgm:prSet presAssocID="{5E0484C8-FB5C-4D97-9AD7-902A22E6BB39}" presName="rootText" presStyleLbl="node2" presStyleIdx="3" presStyleCnt="4" custScaleX="147339">
        <dgm:presLayoutVars>
          <dgm:chPref val="3"/>
        </dgm:presLayoutVars>
      </dgm:prSet>
      <dgm:spPr/>
      <dgm:t>
        <a:bodyPr/>
        <a:lstStyle/>
        <a:p>
          <a:endParaRPr lang="sk-SK"/>
        </a:p>
      </dgm:t>
    </dgm:pt>
    <dgm:pt modelId="{E9390D1B-95F2-4E18-A586-967F1B064FC3}" type="pres">
      <dgm:prSet presAssocID="{5E0484C8-FB5C-4D97-9AD7-902A22E6BB39}" presName="rootConnector" presStyleLbl="node2" presStyleIdx="3" presStyleCnt="4"/>
      <dgm:spPr/>
      <dgm:t>
        <a:bodyPr/>
        <a:lstStyle/>
        <a:p>
          <a:endParaRPr lang="sk-SK"/>
        </a:p>
      </dgm:t>
    </dgm:pt>
    <dgm:pt modelId="{E6376C15-2F18-408F-BCE0-C072ABEEB7D5}" type="pres">
      <dgm:prSet presAssocID="{5E0484C8-FB5C-4D97-9AD7-902A22E6BB39}" presName="hierChild4" presStyleCnt="0"/>
      <dgm:spPr/>
    </dgm:pt>
    <dgm:pt modelId="{DD47F823-2ED3-4700-AC4C-7E91F414D76C}" type="pres">
      <dgm:prSet presAssocID="{5E0484C8-FB5C-4D97-9AD7-902A22E6BB39}" presName="hierChild5" presStyleCnt="0"/>
      <dgm:spPr/>
    </dgm:pt>
    <dgm:pt modelId="{F7E90810-6952-4C99-96EE-7B99998F91D0}" type="pres">
      <dgm:prSet presAssocID="{5F254598-ACFD-4493-9147-CAEE4774F119}" presName="hierChild3" presStyleCnt="0"/>
      <dgm:spPr/>
    </dgm:pt>
  </dgm:ptLst>
  <dgm:cxnLst>
    <dgm:cxn modelId="{92CCDD2A-052E-4850-BDDB-960A3DD74246}" srcId="{5F254598-ACFD-4493-9147-CAEE4774F119}" destId="{521874EA-6E41-4711-BB7A-E45EB2C177CD}" srcOrd="1" destOrd="0" parTransId="{B9FF5DD2-0314-466F-BD07-538275B06742}" sibTransId="{737D1A14-5437-411B-B2D3-06BEF36D2563}"/>
    <dgm:cxn modelId="{55DF04A7-1ABC-496A-A0A6-DE001DAAA49B}" type="presOf" srcId="{A7FC6FC6-4038-4346-AF81-4CF1C7F0186C}" destId="{C3230535-DC83-4A49-95A2-CA8C7877350C}" srcOrd="1" destOrd="0" presId="urn:microsoft.com/office/officeart/2005/8/layout/orgChart1"/>
    <dgm:cxn modelId="{EE418E03-D00F-49D7-8E29-4DCC1B0150F1}" type="presOf" srcId="{521874EA-6E41-4711-BB7A-E45EB2C177CD}" destId="{CDBABD21-2F2F-4763-9C0D-A4F61B3E8103}" srcOrd="1" destOrd="0" presId="urn:microsoft.com/office/officeart/2005/8/layout/orgChart1"/>
    <dgm:cxn modelId="{148A0A2F-B053-4BB8-A530-810136DC164D}" type="presOf" srcId="{5E0484C8-FB5C-4D97-9AD7-902A22E6BB39}" destId="{E9390D1B-95F2-4E18-A586-967F1B064FC3}" srcOrd="1" destOrd="0" presId="urn:microsoft.com/office/officeart/2005/8/layout/orgChart1"/>
    <dgm:cxn modelId="{D041A47A-CAB7-4C3B-99F8-E953ACB1E2D4}" type="presOf" srcId="{1370191D-207C-43DE-9CDC-F0981E038579}" destId="{D4847877-A882-456B-89B5-4343B21D4101}" srcOrd="0" destOrd="0" presId="urn:microsoft.com/office/officeart/2005/8/layout/orgChart1"/>
    <dgm:cxn modelId="{377A0B44-61DA-4CCD-8B91-CDB4D8CCBF42}" type="presOf" srcId="{C2E1D0AE-E20F-4729-8B4D-B3833993BD7A}" destId="{57BA9BCC-365A-4710-9F0B-AE5E34111283}" srcOrd="0" destOrd="0" presId="urn:microsoft.com/office/officeart/2005/8/layout/orgChart1"/>
    <dgm:cxn modelId="{50C09E55-A82B-4E71-AE7F-5BD24812CDDD}" type="presOf" srcId="{A7FC6FC6-4038-4346-AF81-4CF1C7F0186C}" destId="{DCD8670C-1B49-4FA3-8514-5EDFEC496BE7}" srcOrd="0" destOrd="0" presId="urn:microsoft.com/office/officeart/2005/8/layout/orgChart1"/>
    <dgm:cxn modelId="{67F2CB4C-F71D-4284-899A-090500D6B280}" srcId="{5F254598-ACFD-4493-9147-CAEE4774F119}" destId="{5E0484C8-FB5C-4D97-9AD7-902A22E6BB39}" srcOrd="3" destOrd="0" parTransId="{1DFAA7B4-76A5-4AA7-B947-6DF855D7B913}" sibTransId="{B9B0AEC9-2573-4F14-B2ED-D5961A6B6CA3}"/>
    <dgm:cxn modelId="{F8529457-ABA3-4A64-ACAA-353A84DE472E}" type="presOf" srcId="{5F254598-ACFD-4493-9147-CAEE4774F119}" destId="{58B7CD29-7A92-4B60-A7CD-60691F41BE7C}" srcOrd="1" destOrd="0" presId="urn:microsoft.com/office/officeart/2005/8/layout/orgChart1"/>
    <dgm:cxn modelId="{5AF1F29C-A306-4CA2-B308-7A9500630077}" type="presOf" srcId="{A7F615EF-BE2C-4D7C-A492-BF26AE09E984}" destId="{E51EEFB1-B4A9-477B-8D21-436571D7B2DC}" srcOrd="0" destOrd="0" presId="urn:microsoft.com/office/officeart/2005/8/layout/orgChart1"/>
    <dgm:cxn modelId="{0B0E2534-FC6B-4E37-956A-ABE96E05D2A4}" type="presOf" srcId="{5F254598-ACFD-4493-9147-CAEE4774F119}" destId="{A88F122A-3A8F-4C17-B7A2-132F691F99A7}" srcOrd="0" destOrd="0" presId="urn:microsoft.com/office/officeart/2005/8/layout/orgChart1"/>
    <dgm:cxn modelId="{BBCA088B-4086-42D9-A781-F37231ED6E23}" srcId="{5F254598-ACFD-4493-9147-CAEE4774F119}" destId="{1370191D-207C-43DE-9CDC-F0981E038579}" srcOrd="0" destOrd="0" parTransId="{8607C018-2BCA-4E1E-ADC6-E43D2DCFDEB5}" sibTransId="{BC9B71A1-06FB-4513-85F4-8E33AA99A8E8}"/>
    <dgm:cxn modelId="{52C65F7A-4DFE-438D-8BC3-CEF20881B7EF}" srcId="{C2E1D0AE-E20F-4729-8B4D-B3833993BD7A}" destId="{5F254598-ACFD-4493-9147-CAEE4774F119}" srcOrd="0" destOrd="0" parTransId="{40DBE72A-9A47-4523-86E0-3FE2F8929102}" sibTransId="{2F82F967-4AD6-4E34-B3CA-0E641571C92F}"/>
    <dgm:cxn modelId="{31D1E656-D4D1-4A84-AD1D-CE0606F0CD4B}" type="presOf" srcId="{521874EA-6E41-4711-BB7A-E45EB2C177CD}" destId="{9B6AF713-8D67-4323-B646-4068A2BC876C}" srcOrd="0" destOrd="0" presId="urn:microsoft.com/office/officeart/2005/8/layout/orgChart1"/>
    <dgm:cxn modelId="{6E19A2A3-BE70-423B-9DD6-99EAA935404C}" type="presOf" srcId="{1DFAA7B4-76A5-4AA7-B947-6DF855D7B913}" destId="{20019C3C-E1E2-4DEA-8099-902EB7C68D37}" srcOrd="0" destOrd="0" presId="urn:microsoft.com/office/officeart/2005/8/layout/orgChart1"/>
    <dgm:cxn modelId="{03F851D1-1210-45E5-B2DE-C58B0855C8AF}" type="presOf" srcId="{B9FF5DD2-0314-466F-BD07-538275B06742}" destId="{10A386F6-8ECE-439B-A83B-5B6AD2C4F8A0}" srcOrd="0" destOrd="0" presId="urn:microsoft.com/office/officeart/2005/8/layout/orgChart1"/>
    <dgm:cxn modelId="{662B6D63-08DD-4B15-9610-B569EA2A583D}" type="presOf" srcId="{5E0484C8-FB5C-4D97-9AD7-902A22E6BB39}" destId="{2B0DF7BF-458D-4CF0-A657-34F05C922494}" srcOrd="0" destOrd="0" presId="urn:microsoft.com/office/officeart/2005/8/layout/orgChart1"/>
    <dgm:cxn modelId="{D80ED4FE-8503-4689-9F29-508CA1BA521B}" type="presOf" srcId="{1370191D-207C-43DE-9CDC-F0981E038579}" destId="{D320C5F2-C510-4CC0-B0D7-1794C6EC0817}" srcOrd="1" destOrd="0" presId="urn:microsoft.com/office/officeart/2005/8/layout/orgChart1"/>
    <dgm:cxn modelId="{C437F6FA-A1F2-4AA4-97E7-36ABAB8F743B}" srcId="{5F254598-ACFD-4493-9147-CAEE4774F119}" destId="{A7FC6FC6-4038-4346-AF81-4CF1C7F0186C}" srcOrd="2" destOrd="0" parTransId="{A7F615EF-BE2C-4D7C-A492-BF26AE09E984}" sibTransId="{FF240594-2146-4CD9-A951-1EC7239FE915}"/>
    <dgm:cxn modelId="{72CA66C9-0CED-4DDE-98CF-93165D38A94D}" type="presOf" srcId="{8607C018-2BCA-4E1E-ADC6-E43D2DCFDEB5}" destId="{72080392-37F8-4943-9AFF-57BB22A937C6}" srcOrd="0" destOrd="0" presId="urn:microsoft.com/office/officeart/2005/8/layout/orgChart1"/>
    <dgm:cxn modelId="{E9415507-E71A-42E3-AA31-A51CA5119A2F}" type="presParOf" srcId="{57BA9BCC-365A-4710-9F0B-AE5E34111283}" destId="{0BD804DE-0CC3-4B2B-B109-02111D228D1C}" srcOrd="0" destOrd="0" presId="urn:microsoft.com/office/officeart/2005/8/layout/orgChart1"/>
    <dgm:cxn modelId="{D8C354F5-9CDE-440D-B9CA-AC995AD5BD8E}" type="presParOf" srcId="{0BD804DE-0CC3-4B2B-B109-02111D228D1C}" destId="{65FDA49F-F7D0-4E40-A0FA-57FB787A4695}" srcOrd="0" destOrd="0" presId="urn:microsoft.com/office/officeart/2005/8/layout/orgChart1"/>
    <dgm:cxn modelId="{3644B24C-B2F8-46B6-A42E-38FFC6CE35DF}" type="presParOf" srcId="{65FDA49F-F7D0-4E40-A0FA-57FB787A4695}" destId="{A88F122A-3A8F-4C17-B7A2-132F691F99A7}" srcOrd="0" destOrd="0" presId="urn:microsoft.com/office/officeart/2005/8/layout/orgChart1"/>
    <dgm:cxn modelId="{0560A28B-C1D8-4785-932F-6D6B7B2B7D68}" type="presParOf" srcId="{65FDA49F-F7D0-4E40-A0FA-57FB787A4695}" destId="{58B7CD29-7A92-4B60-A7CD-60691F41BE7C}" srcOrd="1" destOrd="0" presId="urn:microsoft.com/office/officeart/2005/8/layout/orgChart1"/>
    <dgm:cxn modelId="{EF2BE5EF-B5EB-4766-B317-617FE9C2B260}" type="presParOf" srcId="{0BD804DE-0CC3-4B2B-B109-02111D228D1C}" destId="{BA33D02C-E6B6-4059-98A0-272816ED8E2C}" srcOrd="1" destOrd="0" presId="urn:microsoft.com/office/officeart/2005/8/layout/orgChart1"/>
    <dgm:cxn modelId="{BA075E9D-EE97-4677-87EF-AC4FF919A3BD}" type="presParOf" srcId="{BA33D02C-E6B6-4059-98A0-272816ED8E2C}" destId="{72080392-37F8-4943-9AFF-57BB22A937C6}" srcOrd="0" destOrd="0" presId="urn:microsoft.com/office/officeart/2005/8/layout/orgChart1"/>
    <dgm:cxn modelId="{CB409DFB-A5C7-48F4-B5B9-94182B879EB0}" type="presParOf" srcId="{BA33D02C-E6B6-4059-98A0-272816ED8E2C}" destId="{229B4DF4-BD81-468B-A53B-FB0C7A876323}" srcOrd="1" destOrd="0" presId="urn:microsoft.com/office/officeart/2005/8/layout/orgChart1"/>
    <dgm:cxn modelId="{FEB933C5-B1DC-4808-A18B-4B60AF091101}" type="presParOf" srcId="{229B4DF4-BD81-468B-A53B-FB0C7A876323}" destId="{7A987FD8-82FC-4712-9F38-B080E93D24ED}" srcOrd="0" destOrd="0" presId="urn:microsoft.com/office/officeart/2005/8/layout/orgChart1"/>
    <dgm:cxn modelId="{9637F85A-2ED7-49A3-ADC1-5DD902D6484A}" type="presParOf" srcId="{7A987FD8-82FC-4712-9F38-B080E93D24ED}" destId="{D4847877-A882-456B-89B5-4343B21D4101}" srcOrd="0" destOrd="0" presId="urn:microsoft.com/office/officeart/2005/8/layout/orgChart1"/>
    <dgm:cxn modelId="{CD24F9BD-A1D4-41C6-88B2-9DE6E2F41C68}" type="presParOf" srcId="{7A987FD8-82FC-4712-9F38-B080E93D24ED}" destId="{D320C5F2-C510-4CC0-B0D7-1794C6EC0817}" srcOrd="1" destOrd="0" presId="urn:microsoft.com/office/officeart/2005/8/layout/orgChart1"/>
    <dgm:cxn modelId="{38DF8DA2-0C05-4971-9E77-BCA6C71B7BC0}" type="presParOf" srcId="{229B4DF4-BD81-468B-A53B-FB0C7A876323}" destId="{55B6FE52-90C0-4EF4-A9D0-80E1AEE3206A}" srcOrd="1" destOrd="0" presId="urn:microsoft.com/office/officeart/2005/8/layout/orgChart1"/>
    <dgm:cxn modelId="{C528C33B-653E-4DD0-A496-C45902A05FB4}" type="presParOf" srcId="{229B4DF4-BD81-468B-A53B-FB0C7A876323}" destId="{E9533EDE-1C17-4306-8E7A-069D406094F6}" srcOrd="2" destOrd="0" presId="urn:microsoft.com/office/officeart/2005/8/layout/orgChart1"/>
    <dgm:cxn modelId="{C42243AE-478C-4F21-A90E-EB27B38A2A68}" type="presParOf" srcId="{BA33D02C-E6B6-4059-98A0-272816ED8E2C}" destId="{10A386F6-8ECE-439B-A83B-5B6AD2C4F8A0}" srcOrd="2" destOrd="0" presId="urn:microsoft.com/office/officeart/2005/8/layout/orgChart1"/>
    <dgm:cxn modelId="{BC105399-6BC1-4FB3-9CB6-7BB592653A35}" type="presParOf" srcId="{BA33D02C-E6B6-4059-98A0-272816ED8E2C}" destId="{DC443BDB-9C53-4AC3-AFB6-C44125244C5A}" srcOrd="3" destOrd="0" presId="urn:microsoft.com/office/officeart/2005/8/layout/orgChart1"/>
    <dgm:cxn modelId="{5A8460BB-7DA6-4B06-B0E2-9605B3142C01}" type="presParOf" srcId="{DC443BDB-9C53-4AC3-AFB6-C44125244C5A}" destId="{E125083F-D170-4146-8875-50503A61DF6D}" srcOrd="0" destOrd="0" presId="urn:microsoft.com/office/officeart/2005/8/layout/orgChart1"/>
    <dgm:cxn modelId="{04526506-C25E-4D14-BA59-11404E61D79D}" type="presParOf" srcId="{E125083F-D170-4146-8875-50503A61DF6D}" destId="{9B6AF713-8D67-4323-B646-4068A2BC876C}" srcOrd="0" destOrd="0" presId="urn:microsoft.com/office/officeart/2005/8/layout/orgChart1"/>
    <dgm:cxn modelId="{0472D4DA-CB55-45DF-9CDD-92EE023B2BE2}" type="presParOf" srcId="{E125083F-D170-4146-8875-50503A61DF6D}" destId="{CDBABD21-2F2F-4763-9C0D-A4F61B3E8103}" srcOrd="1" destOrd="0" presId="urn:microsoft.com/office/officeart/2005/8/layout/orgChart1"/>
    <dgm:cxn modelId="{A094DC09-5F99-457D-8651-08B602291CF5}" type="presParOf" srcId="{DC443BDB-9C53-4AC3-AFB6-C44125244C5A}" destId="{0D4862D6-E847-4693-A4EE-0AB36E91F054}" srcOrd="1" destOrd="0" presId="urn:microsoft.com/office/officeart/2005/8/layout/orgChart1"/>
    <dgm:cxn modelId="{CDFCD8BD-5BC2-4557-A0F9-77677210B994}" type="presParOf" srcId="{DC443BDB-9C53-4AC3-AFB6-C44125244C5A}" destId="{030D4C91-6CD3-4E49-8C2B-514CC42BDE40}" srcOrd="2" destOrd="0" presId="urn:microsoft.com/office/officeart/2005/8/layout/orgChart1"/>
    <dgm:cxn modelId="{C387046D-225D-47DE-932A-ACED6AFA39BF}" type="presParOf" srcId="{BA33D02C-E6B6-4059-98A0-272816ED8E2C}" destId="{E51EEFB1-B4A9-477B-8D21-436571D7B2DC}" srcOrd="4" destOrd="0" presId="urn:microsoft.com/office/officeart/2005/8/layout/orgChart1"/>
    <dgm:cxn modelId="{7F2EB406-C899-4B8C-BA8D-F30C146D58B4}" type="presParOf" srcId="{BA33D02C-E6B6-4059-98A0-272816ED8E2C}" destId="{53C92187-E288-4BEB-9CBC-DCF4AF02986C}" srcOrd="5" destOrd="0" presId="urn:microsoft.com/office/officeart/2005/8/layout/orgChart1"/>
    <dgm:cxn modelId="{A049AD83-CD9D-42DF-B4D0-FBF26B1FA49D}" type="presParOf" srcId="{53C92187-E288-4BEB-9CBC-DCF4AF02986C}" destId="{8042F5BB-5128-46AC-85E7-DF67FE16424F}" srcOrd="0" destOrd="0" presId="urn:microsoft.com/office/officeart/2005/8/layout/orgChart1"/>
    <dgm:cxn modelId="{8E791866-C98D-45DA-BF8F-B906EC47A670}" type="presParOf" srcId="{8042F5BB-5128-46AC-85E7-DF67FE16424F}" destId="{DCD8670C-1B49-4FA3-8514-5EDFEC496BE7}" srcOrd="0" destOrd="0" presId="urn:microsoft.com/office/officeart/2005/8/layout/orgChart1"/>
    <dgm:cxn modelId="{7B957FC9-93C6-464C-8E2A-DCE84E2C5384}" type="presParOf" srcId="{8042F5BB-5128-46AC-85E7-DF67FE16424F}" destId="{C3230535-DC83-4A49-95A2-CA8C7877350C}" srcOrd="1" destOrd="0" presId="urn:microsoft.com/office/officeart/2005/8/layout/orgChart1"/>
    <dgm:cxn modelId="{60899AA5-0037-45C7-BA48-A49ED1917963}" type="presParOf" srcId="{53C92187-E288-4BEB-9CBC-DCF4AF02986C}" destId="{24BC225A-78D7-4DEE-A54C-E7D1C72CDCD4}" srcOrd="1" destOrd="0" presId="urn:microsoft.com/office/officeart/2005/8/layout/orgChart1"/>
    <dgm:cxn modelId="{025E3982-DA79-488A-A5FA-30925C39F845}" type="presParOf" srcId="{53C92187-E288-4BEB-9CBC-DCF4AF02986C}" destId="{62D3D81B-8616-4E78-8027-9EAD873638D1}" srcOrd="2" destOrd="0" presId="urn:microsoft.com/office/officeart/2005/8/layout/orgChart1"/>
    <dgm:cxn modelId="{A8E4E905-177C-4DF3-ABCB-EAF7B8B3AB5F}" type="presParOf" srcId="{BA33D02C-E6B6-4059-98A0-272816ED8E2C}" destId="{20019C3C-E1E2-4DEA-8099-902EB7C68D37}" srcOrd="6" destOrd="0" presId="urn:microsoft.com/office/officeart/2005/8/layout/orgChart1"/>
    <dgm:cxn modelId="{3035CD3B-7C2C-48E6-9083-CCB69BA097FF}" type="presParOf" srcId="{BA33D02C-E6B6-4059-98A0-272816ED8E2C}" destId="{B2B9D473-B6E9-4116-BAE6-D32CB111D4F4}" srcOrd="7" destOrd="0" presId="urn:microsoft.com/office/officeart/2005/8/layout/orgChart1"/>
    <dgm:cxn modelId="{A1AB6B50-42E3-4454-B526-7869B0199C8F}" type="presParOf" srcId="{B2B9D473-B6E9-4116-BAE6-D32CB111D4F4}" destId="{15AC2BCE-1B16-4659-B603-A3B26B985F65}" srcOrd="0" destOrd="0" presId="urn:microsoft.com/office/officeart/2005/8/layout/orgChart1"/>
    <dgm:cxn modelId="{E5C85FB2-CC46-4594-AA2A-6235FCCA84A6}" type="presParOf" srcId="{15AC2BCE-1B16-4659-B603-A3B26B985F65}" destId="{2B0DF7BF-458D-4CF0-A657-34F05C922494}" srcOrd="0" destOrd="0" presId="urn:microsoft.com/office/officeart/2005/8/layout/orgChart1"/>
    <dgm:cxn modelId="{2F135CE7-C8E0-4C07-8153-B11B00CDBB1D}" type="presParOf" srcId="{15AC2BCE-1B16-4659-B603-A3B26B985F65}" destId="{E9390D1B-95F2-4E18-A586-967F1B064FC3}" srcOrd="1" destOrd="0" presId="urn:microsoft.com/office/officeart/2005/8/layout/orgChart1"/>
    <dgm:cxn modelId="{B949E012-8076-4524-95AF-7C50807F0235}" type="presParOf" srcId="{B2B9D473-B6E9-4116-BAE6-D32CB111D4F4}" destId="{E6376C15-2F18-408F-BCE0-C072ABEEB7D5}" srcOrd="1" destOrd="0" presId="urn:microsoft.com/office/officeart/2005/8/layout/orgChart1"/>
    <dgm:cxn modelId="{6CDAFD95-4C35-4BFE-A443-7A7B815EF736}" type="presParOf" srcId="{B2B9D473-B6E9-4116-BAE6-D32CB111D4F4}" destId="{DD47F823-2ED3-4700-AC4C-7E91F414D76C}" srcOrd="2" destOrd="0" presId="urn:microsoft.com/office/officeart/2005/8/layout/orgChart1"/>
    <dgm:cxn modelId="{8309E20D-8B62-4402-8D52-778E35FBD230}" type="presParOf" srcId="{0BD804DE-0CC3-4B2B-B109-02111D228D1C}" destId="{F7E90810-6952-4C99-96EE-7B99998F91D0}"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19C3C-E1E2-4DEA-8099-902EB7C68D37}">
      <dsp:nvSpPr>
        <dsp:cNvPr id="0" name=""/>
        <dsp:cNvSpPr/>
      </dsp:nvSpPr>
      <dsp:spPr>
        <a:xfrm>
          <a:off x="2117656" y="410734"/>
          <a:ext cx="123187" cy="2127043"/>
        </a:xfrm>
        <a:custGeom>
          <a:avLst/>
          <a:gdLst/>
          <a:ahLst/>
          <a:cxnLst/>
          <a:rect l="0" t="0" r="0" b="0"/>
          <a:pathLst>
            <a:path>
              <a:moveTo>
                <a:pt x="0" y="0"/>
              </a:moveTo>
              <a:lnTo>
                <a:pt x="0" y="2127043"/>
              </a:lnTo>
              <a:lnTo>
                <a:pt x="123187" y="2127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1EEFB1-B4A9-477B-8D21-436571D7B2DC}">
      <dsp:nvSpPr>
        <dsp:cNvPr id="0" name=""/>
        <dsp:cNvSpPr/>
      </dsp:nvSpPr>
      <dsp:spPr>
        <a:xfrm>
          <a:off x="2117656" y="410734"/>
          <a:ext cx="123187" cy="1543954"/>
        </a:xfrm>
        <a:custGeom>
          <a:avLst/>
          <a:gdLst/>
          <a:ahLst/>
          <a:cxnLst/>
          <a:rect l="0" t="0" r="0" b="0"/>
          <a:pathLst>
            <a:path>
              <a:moveTo>
                <a:pt x="0" y="0"/>
              </a:moveTo>
              <a:lnTo>
                <a:pt x="0" y="1543954"/>
              </a:lnTo>
              <a:lnTo>
                <a:pt x="123187" y="1543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A386F6-8ECE-439B-A83B-5B6AD2C4F8A0}">
      <dsp:nvSpPr>
        <dsp:cNvPr id="0" name=""/>
        <dsp:cNvSpPr/>
      </dsp:nvSpPr>
      <dsp:spPr>
        <a:xfrm>
          <a:off x="2117656" y="410734"/>
          <a:ext cx="123187" cy="960865"/>
        </a:xfrm>
        <a:custGeom>
          <a:avLst/>
          <a:gdLst/>
          <a:ahLst/>
          <a:cxnLst/>
          <a:rect l="0" t="0" r="0" b="0"/>
          <a:pathLst>
            <a:path>
              <a:moveTo>
                <a:pt x="0" y="0"/>
              </a:moveTo>
              <a:lnTo>
                <a:pt x="0" y="960865"/>
              </a:lnTo>
              <a:lnTo>
                <a:pt x="123187" y="960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80392-37F8-4943-9AFF-57BB22A937C6}">
      <dsp:nvSpPr>
        <dsp:cNvPr id="0" name=""/>
        <dsp:cNvSpPr/>
      </dsp:nvSpPr>
      <dsp:spPr>
        <a:xfrm>
          <a:off x="2117656" y="410734"/>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8F122A-3A8F-4C17-B7A2-132F691F99A7}">
      <dsp:nvSpPr>
        <dsp:cNvPr id="0" name=""/>
        <dsp:cNvSpPr/>
      </dsp:nvSpPr>
      <dsp:spPr>
        <a:xfrm>
          <a:off x="2035531"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Fázy vykonávania testu MSP</a:t>
          </a:r>
          <a:endParaRPr lang="sk-SK" sz="700" kern="1200" smtClean="0"/>
        </a:p>
      </dsp:txBody>
      <dsp:txXfrm>
        <a:off x="2035531" y="108"/>
        <a:ext cx="821252" cy="410626"/>
      </dsp:txXfrm>
    </dsp:sp>
    <dsp:sp modelId="{D4847877-A882-456B-89B5-4343B21D4101}">
      <dsp:nvSpPr>
        <dsp:cNvPr id="0" name=""/>
        <dsp:cNvSpPr/>
      </dsp:nvSpPr>
      <dsp:spPr>
        <a:xfrm>
          <a:off x="2240844"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1.Konzultácie so zástupcami MSP</a:t>
          </a:r>
          <a:endParaRPr lang="sk-SK" sz="700" kern="1200" smtClean="0"/>
        </a:p>
      </dsp:txBody>
      <dsp:txXfrm>
        <a:off x="2240844" y="583197"/>
        <a:ext cx="821252" cy="410626"/>
      </dsp:txXfrm>
    </dsp:sp>
    <dsp:sp modelId="{9B6AF713-8D67-4323-B646-4068A2BC876C}">
      <dsp:nvSpPr>
        <dsp:cNvPr id="0" name=""/>
        <dsp:cNvSpPr/>
      </dsp:nvSpPr>
      <dsp:spPr>
        <a:xfrm>
          <a:off x="2240844" y="1166286"/>
          <a:ext cx="1194117"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2. Predbežné posúdenie pravdepodobne 	ovplyvnených podnikateľských subjektov </a:t>
          </a:r>
          <a:r>
            <a:rPr lang="sk-SK" sz="700" b="0" i="0" u="none" strike="noStrike" kern="1200" baseline="0" smtClean="0">
              <a:latin typeface="Calibri"/>
            </a:rPr>
            <a:t> </a:t>
          </a:r>
          <a:endParaRPr lang="sk-SK" sz="700" kern="1200" smtClean="0"/>
        </a:p>
      </dsp:txBody>
      <dsp:txXfrm>
        <a:off x="2240844" y="1166286"/>
        <a:ext cx="1194117" cy="410626"/>
      </dsp:txXfrm>
    </dsp:sp>
    <dsp:sp modelId="{DCD8670C-1B49-4FA3-8514-5EDFEC496BE7}">
      <dsp:nvSpPr>
        <dsp:cNvPr id="0" name=""/>
        <dsp:cNvSpPr/>
      </dsp:nvSpPr>
      <dsp:spPr>
        <a:xfrm>
          <a:off x="2240844"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3.Meranie vplyvu regulácie na MSP</a:t>
          </a:r>
          <a:endParaRPr lang="sk-SK" sz="700" kern="1200" smtClean="0"/>
        </a:p>
      </dsp:txBody>
      <dsp:txXfrm>
        <a:off x="2240844" y="1749376"/>
        <a:ext cx="821252" cy="410626"/>
      </dsp:txXfrm>
    </dsp:sp>
    <dsp:sp modelId="{2B0DF7BF-458D-4CF0-A657-34F05C922494}">
      <dsp:nvSpPr>
        <dsp:cNvPr id="0" name=""/>
        <dsp:cNvSpPr/>
      </dsp:nvSpPr>
      <dsp:spPr>
        <a:xfrm>
          <a:off x="2240844" y="2332465"/>
          <a:ext cx="1210024"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4.Posúdenie alternatívnych možností a zmierňujúcich opatrení pre MSP</a:t>
          </a:r>
          <a:endParaRPr lang="sk-SK" sz="700" kern="1200" smtClean="0"/>
        </a:p>
      </dsp:txBody>
      <dsp:txXfrm>
        <a:off x="2240844" y="2332465"/>
        <a:ext cx="1210024"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ýza-vplyvov-na-podnikateľské-prostredie"/>
    <f:field ref="objsubject" par="" edit="true" text=""/>
    <f:field ref="objcreatedby" par="" text="Adamcová, Miroslava, Mgr."/>
    <f:field ref="objcreatedat" par="" text="5.8.2016 8:04:28"/>
    <f:field ref="objchangedby" par="" text="Administrator, System"/>
    <f:field ref="objmodifiedat" par="" text="5.8.2016 8:04:3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5382</Words>
  <Characters>30681</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Žadanský Roman</cp:lastModifiedBy>
  <cp:revision>6</cp:revision>
  <dcterms:created xsi:type="dcterms:W3CDTF">2016-08-04T10:22:00Z</dcterms:created>
  <dcterms:modified xsi:type="dcterms:W3CDTF">2016-10-11T12:08:00Z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142/2000 Z. z. o&amp;nbsp;metrológii a&amp;nbsp;o&amp;nbsp;zmene a&amp;nbsp;doplnení niektorých zákonov v&amp;nbsp;znení&amp;nbsp;neskorších predpisov a&amp;nbsp;ktorým sa mení zákon Národnej rady</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Miroslava Adamcová</vt:lpwstr>
  </property>
  <property fmtid="{D5CDD505-2E9C-101B-9397-08002B2CF9AE}" pid="12" name="FSC#SKEDITIONSLOVLEX@103.510:zodppredkladatel">
    <vt:lpwstr>Prof. Ing. Jozef Mihok</vt:lpwstr>
  </property>
  <property fmtid="{D5CDD505-2E9C-101B-9397-08002B2CF9AE}" pid="13" name="FSC#SKEDITIONSLOVLEX@103.510:dalsipredkladatel">
    <vt:lpwstr/>
  </property>
  <property fmtid="{D5CDD505-2E9C-101B-9397-08002B2CF9AE}" pid="14" name="FSC#SKEDITIONSLOVLEX@103.510:nazovpredpis">
    <vt:lpwstr>, ktorým sa mení a dopĺňa zákon č. 142/2000 Z. z. o metrológii a o zmene a doplnení niektorých zákonov v znení neskorších predpisov a ktorým sa mení zákon Národnej rady Slovenskej republiky č. 145/1995 Z. z. o správnych poplatkoch v znení neskorších pred</vt:lpwstr>
  </property>
  <property fmtid="{D5CDD505-2E9C-101B-9397-08002B2CF9AE}" pid="15" name="FSC#SKEDITIONSLOVLEX@103.510:nazovpredpis1">
    <vt:lpwstr>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normalizáciu, metrológiu a skúšobníctvo Slovenskej republiky</vt:lpwstr>
  </property>
  <property fmtid="{D5CDD505-2E9C-101B-9397-08002B2CF9AE}" pid="20"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142/2000 Z. z. o metrológii a o zmene a doplnení niektorých zákonov v znení neskorších predpisov a ktorým sa mení zákon Národnej rady Slovenskej republiky č. 145/1995 Z. z. o správnych poplatkoch v znení neskorších</vt:lpwstr>
  </property>
  <property fmtid="{D5CDD505-2E9C-101B-9397-08002B2CF9AE}" pid="24" name="FSC#SKEDITIONSLOVLEX@103.510:plnynazovpredpis1">
    <vt:lpwstr>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2016/300/005449/01861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LP/2016/768</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34, čl. 36 a čl. 114 Zmluvy o fungovaní Európskej únie (Ú. v. EÚ C 326/01, 26.10.2012)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Smernica Rady 76/211/EHS z 20. januára 1976 o aproximácii právnych predpisov členských štátov týkajúcich sa plnenia určitých spotrebiteľsky balených výrobkov podľa hmotnosti alebo objemu (Mimoriadne vydanie Ú. v. ES, kap. 13/zv. 3) v znení smernice Komisi</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  </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nebolo začaté</vt:lpwstr>
  </property>
  <property fmtid="{D5CDD505-2E9C-101B-9397-08002B2CF9AE}" pid="55" name="FSC#SKEDITIONSLOVLEX@103.510:AttrStrListDocPropInfoUzPreberanePP">
    <vt:lpwstr>- zákon č. 142/2000 Z. z. o metrológii a o zmene a doplnení niektorých zákonov v znení neskorších predpisov, _x000d_
- vyhláška Úradu pre normalizáciu, metrológiu a skúšobníctvo Slovenskej republiky č. 210/2000 Z. z. o meradlách a metrologickej kontrole v znení</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Úrad pre normalizáciu, metrológiu a skúšobníctvo Slovenskej republiky</vt:lpwstr>
  </property>
  <property fmtid="{D5CDD505-2E9C-101B-9397-08002B2CF9AE}" pid="58" name="FSC#SKEDITIONSLOVLEX@103.510:AttrDateDocPropZaciatokPKK">
    <vt:lpwstr>22. 6. 2016</vt:lpwstr>
  </property>
  <property fmtid="{D5CDD505-2E9C-101B-9397-08002B2CF9AE}" pid="59" name="FSC#SKEDITIONSLOVLEX@103.510:AttrDateDocPropUkonceniePKK">
    <vt:lpwstr>3. 8. 2016</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Predkladaný návrh zákona má pozitívny vplyv na rozpočet verejnej správy z dôvodu úpravy sadzieb pokút, a teda ide o príjmy z pokút, ktoré sú rozpočtované pre kapitolu. Nakoľko množstvo zistených porušení zákona závisí od aktivity orgánu metrologického doz</vt:lpwstr>
  </property>
  <property fmtid="{D5CDD505-2E9C-101B-9397-08002B2CF9AE}" pid="66" name="FSC#SKEDITIONSLOVLEX@103.510:AttrStrListDocPropAltRiesenia">
    <vt:lpwstr>Alternatívne riešenia neboli zvažované.</vt:lpwstr>
  </property>
  <property fmtid="{D5CDD505-2E9C-101B-9397-08002B2CF9AE}" pid="67" name="FSC#SKEDITIONSLOVLEX@103.510:AttrStrListDocPropStanoviskoGest">
    <vt:lpwstr>Návrh zákona bol v dňoch od 22. júna 2016 do 4. júla 2016 predmetom predbežného pripomienkového konania, v rámci ktorého Stála pracovná komisia Legislatívnej rady vlády Slovenskej republiky na posudzovanie vybraných vplyvov (ďalej len „Komisia“) zaujala k</vt:lpwstr>
  </property>
  <property fmtid="{D5CDD505-2E9C-101B-9397-08002B2CF9AE}" pid="68" name="FSC#SKEDITIONSLOVLEX@103.510:AttrStrListDocPropTextKomunike">
    <vt:lpwstr>Vláda Slovenskej republiky na svojom rokovaní dňa ....................... prerokovala a schválila návrh zákona ktorým sa mení a dopĺňa zákon č. 142/2000 Z. z. o metrológii a o zmene a doplnení niektorých zákonov v znení neskorších predpisov a ktorým sa me</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hospodárstva Slovenskej republiky_x000d_
predseda Úradu pre normalizáciu, metrológiu a skúšobníctvo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 Úradu pre normalizáciu, metrológiu a skúšobníctvo Slovenskej republiky</vt:lpwstr>
  </property>
  <property fmtid="{D5CDD505-2E9C-101B-9397-08002B2CF9AE}" pid="142" name="FSC#SKEDITIONSLOVLEX@103.510:funkciaZodpPredAkuzativ">
    <vt:lpwstr>predsedu Úradu pre normalizáciu, metrológiu a skúšobníctvo Slovenskej republiky</vt:lpwstr>
  </property>
  <property fmtid="{D5CDD505-2E9C-101B-9397-08002B2CF9AE}" pid="143" name="FSC#SKEDITIONSLOVLEX@103.510:funkciaZodpPredDativ">
    <vt:lpwstr>predsedovi Úradu pre normalizáciu, metrológiu a skúšobníctvo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Prof. Ing. Jozef Mihok_x000d_
predseda Úradu pre normalizáciu, metrológiu a skúšobníctvo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ktorým sa mení a&amp;nbsp;dopĺňa zákon č. 142/2000 Z.&amp;nbsp;z. o&amp;nbsp;metrológii a&amp;nbsp;o&amp;nbsp;zmene a&amp;nbsp;doplnení niektorých zákonov v&amp;nbsp;znení neskorších predpisov a&amp;nbsp;ktorým sa mení zákon Národnej rady Slovenskej republiky č. 145/199</vt:lpwstr>
  </property>
  <property fmtid="{D5CDD505-2E9C-101B-9397-08002B2CF9AE}" pid="150" name="FSC#COOSYSTEM@1.1:Container">
    <vt:lpwstr>COO.2145.1000.3.1559913</vt:lpwstr>
  </property>
  <property fmtid="{D5CDD505-2E9C-101B-9397-08002B2CF9AE}" pid="151" name="FSC#FSCFOLIO@1.1001:docpropproject">
    <vt:lpwstr/>
  </property>
</Properties>
</file>