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5138F0">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5138F0">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rsidTr="005138F0">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5138F0">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5138F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5138F0">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5138F0">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5138F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5138F0">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5138F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5138F0">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5138F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5138F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5138F0">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E15DB9" w:rsidRDefault="005138F0" w:rsidP="005138F0">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Predmetom úpravy </w:t>
      </w:r>
      <w:r w:rsidR="00E15DB9" w:rsidRPr="00E15DB9">
        <w:rPr>
          <w:rFonts w:ascii="Times New Roman" w:eastAsia="Times New Roman" w:hAnsi="Times New Roman" w:cs="Times New Roman"/>
          <w:sz w:val="24"/>
          <w:szCs w:val="24"/>
          <w:lang w:eastAsia="sk-SK"/>
        </w:rPr>
        <w:t xml:space="preserve">sú príjmy, ktoré budú predstavovať príjem rozpočtu verejnej správy na základe zvýšenia horných sadzieb pokút ukladaných povinným subjektom podľa § 36 návrhu zákona, ktorým sa mení a dopĺňa zákon č. 142/2000 Z. z. o metrológii a o zmene a doplnení niektorých zákonov v znení neskorších predpisov, ako aj rozšírením právomocí orgánu </w:t>
      </w:r>
      <w:r w:rsidR="00E15DB9">
        <w:rPr>
          <w:rFonts w:ascii="Times New Roman" w:eastAsia="Times New Roman" w:hAnsi="Times New Roman" w:cs="Times New Roman"/>
          <w:sz w:val="24"/>
          <w:szCs w:val="24"/>
          <w:lang w:eastAsia="sk-SK"/>
        </w:rPr>
        <w:t>metrologického dozoru</w:t>
      </w:r>
      <w:r w:rsidR="00E15DB9" w:rsidRPr="00E15DB9">
        <w:rPr>
          <w:rFonts w:ascii="Times New Roman" w:eastAsia="Times New Roman" w:hAnsi="Times New Roman" w:cs="Times New Roman"/>
          <w:sz w:val="24"/>
          <w:szCs w:val="24"/>
          <w:lang w:eastAsia="sk-SK"/>
        </w:rPr>
        <w:t xml:space="preserve"> a skutkových podstát, za ktorý môže orgán </w:t>
      </w:r>
      <w:r w:rsidR="00E15DB9">
        <w:rPr>
          <w:rFonts w:ascii="Times New Roman" w:eastAsia="Times New Roman" w:hAnsi="Times New Roman" w:cs="Times New Roman"/>
          <w:sz w:val="24"/>
          <w:szCs w:val="24"/>
          <w:lang w:eastAsia="sk-SK"/>
        </w:rPr>
        <w:t xml:space="preserve">metrologického </w:t>
      </w:r>
      <w:r w:rsidR="00E15DB9" w:rsidRPr="00E15DB9">
        <w:rPr>
          <w:rFonts w:ascii="Times New Roman" w:eastAsia="Times New Roman" w:hAnsi="Times New Roman" w:cs="Times New Roman"/>
          <w:sz w:val="24"/>
          <w:szCs w:val="24"/>
          <w:lang w:eastAsia="sk-SK"/>
        </w:rPr>
        <w:t>do</w:t>
      </w:r>
      <w:r w:rsidR="00E15DB9">
        <w:rPr>
          <w:rFonts w:ascii="Times New Roman" w:eastAsia="Times New Roman" w:hAnsi="Times New Roman" w:cs="Times New Roman"/>
          <w:sz w:val="24"/>
          <w:szCs w:val="24"/>
          <w:lang w:eastAsia="sk-SK"/>
        </w:rPr>
        <w:t>zoru</w:t>
      </w:r>
      <w:r w:rsidR="00E15DB9" w:rsidRPr="00E15DB9">
        <w:rPr>
          <w:rFonts w:ascii="Times New Roman" w:eastAsia="Times New Roman" w:hAnsi="Times New Roman" w:cs="Times New Roman"/>
          <w:sz w:val="24"/>
          <w:szCs w:val="24"/>
          <w:lang w:eastAsia="sk-SK"/>
        </w:rPr>
        <w:t xml:space="preserve"> uložiť pokutu. Nakoľko množstvo zistených porušení zákona závisí od aktivity orgánu metrologického dozoru pri zisťovaní porušenia zákona a zároveň od úrovne dodržiavania všeobecne záväzných právnych predpisov orgánmi štátnej správy, podnikateľmi a inými právnickými osobami, Úrad pre normalizáciu, metrológiu a skúšobníctvo Slovenskej republiky </w:t>
      </w:r>
      <w:r w:rsidR="00E15DB9">
        <w:rPr>
          <w:rFonts w:ascii="Times New Roman" w:eastAsia="Times New Roman" w:hAnsi="Times New Roman" w:cs="Times New Roman"/>
          <w:sz w:val="24"/>
          <w:szCs w:val="24"/>
          <w:lang w:eastAsia="sk-SK"/>
        </w:rPr>
        <w:t xml:space="preserve">(ďalej len „ÚNMS SR“) </w:t>
      </w:r>
      <w:r w:rsidR="00E15DB9" w:rsidRPr="00E15DB9">
        <w:rPr>
          <w:rFonts w:ascii="Times New Roman" w:eastAsia="Times New Roman" w:hAnsi="Times New Roman" w:cs="Times New Roman"/>
          <w:sz w:val="24"/>
          <w:szCs w:val="24"/>
          <w:lang w:eastAsia="sk-SK"/>
        </w:rPr>
        <w:t>nevie vyčísliť vplyv uložených pokút na rozpočet verejnej správy.</w:t>
      </w:r>
    </w:p>
    <w:p w:rsidR="00E15DB9" w:rsidRDefault="00E15DB9" w:rsidP="005138F0">
      <w:pPr>
        <w:spacing w:after="0" w:line="240" w:lineRule="auto"/>
        <w:ind w:firstLine="708"/>
        <w:jc w:val="both"/>
        <w:rPr>
          <w:rFonts w:ascii="Times New Roman" w:eastAsia="Times New Roman" w:hAnsi="Times New Roman" w:cs="Times New Roman"/>
          <w:sz w:val="24"/>
          <w:szCs w:val="24"/>
          <w:lang w:eastAsia="sk-SK"/>
        </w:rPr>
      </w:pPr>
    </w:p>
    <w:p w:rsidR="00E15DB9" w:rsidRDefault="00E15DB9" w:rsidP="005138F0">
      <w:pPr>
        <w:spacing w:after="0" w:line="240" w:lineRule="auto"/>
        <w:ind w:firstLine="708"/>
        <w:jc w:val="both"/>
        <w:rPr>
          <w:rFonts w:ascii="Times New Roman" w:eastAsia="Times New Roman" w:hAnsi="Times New Roman" w:cs="Times New Roman"/>
          <w:sz w:val="24"/>
          <w:szCs w:val="24"/>
          <w:lang w:eastAsia="sk-SK"/>
        </w:rPr>
      </w:pPr>
      <w:r w:rsidRPr="00E15DB9">
        <w:rPr>
          <w:rFonts w:ascii="Times New Roman" w:eastAsia="Times New Roman" w:hAnsi="Times New Roman" w:cs="Times New Roman"/>
          <w:sz w:val="24"/>
          <w:szCs w:val="24"/>
          <w:lang w:eastAsia="sk-SK"/>
        </w:rPr>
        <w:t xml:space="preserve">Ďalším predmetom úpravy </w:t>
      </w:r>
      <w:r w:rsidR="005138F0">
        <w:rPr>
          <w:rFonts w:ascii="Times New Roman" w:eastAsia="Times New Roman" w:hAnsi="Times New Roman" w:cs="Times New Roman"/>
          <w:sz w:val="24"/>
          <w:szCs w:val="24"/>
          <w:lang w:eastAsia="sk-SK"/>
        </w:rPr>
        <w:t xml:space="preserve">sú príjmy, ktoré </w:t>
      </w:r>
      <w:r>
        <w:rPr>
          <w:rFonts w:ascii="Times New Roman" w:eastAsia="Times New Roman" w:hAnsi="Times New Roman" w:cs="Times New Roman"/>
          <w:sz w:val="24"/>
          <w:szCs w:val="24"/>
          <w:lang w:eastAsia="sk-SK"/>
        </w:rPr>
        <w:t xml:space="preserve">sú </w:t>
      </w:r>
      <w:r w:rsidR="005138F0">
        <w:rPr>
          <w:rFonts w:ascii="Times New Roman" w:eastAsia="Times New Roman" w:hAnsi="Times New Roman" w:cs="Times New Roman"/>
          <w:sz w:val="24"/>
          <w:szCs w:val="24"/>
          <w:lang w:eastAsia="sk-SK"/>
        </w:rPr>
        <w:t>príj</w:t>
      </w:r>
      <w:r>
        <w:rPr>
          <w:rFonts w:ascii="Times New Roman" w:eastAsia="Times New Roman" w:hAnsi="Times New Roman" w:cs="Times New Roman"/>
          <w:sz w:val="24"/>
          <w:szCs w:val="24"/>
          <w:lang w:eastAsia="sk-SK"/>
        </w:rPr>
        <w:t>mom</w:t>
      </w:r>
      <w:r w:rsidR="005138F0">
        <w:rPr>
          <w:rFonts w:ascii="Times New Roman" w:eastAsia="Times New Roman" w:hAnsi="Times New Roman" w:cs="Times New Roman"/>
          <w:sz w:val="24"/>
          <w:szCs w:val="24"/>
          <w:lang w:eastAsia="sk-SK"/>
        </w:rPr>
        <w:t xml:space="preserve"> rozpočtu verejnej správy </w:t>
      </w:r>
      <w:r w:rsidR="00445E17">
        <w:rPr>
          <w:rFonts w:ascii="Times New Roman" w:eastAsia="Times New Roman" w:hAnsi="Times New Roman" w:cs="Times New Roman"/>
          <w:sz w:val="24"/>
          <w:szCs w:val="24"/>
          <w:lang w:eastAsia="sk-SK"/>
        </w:rPr>
        <w:t xml:space="preserve">v zmysle zákona č. 145/1995 Z. z. o správnych poplatkoch (ďalej len „zákon o správnych poplatkoch“), </w:t>
      </w:r>
      <w:r>
        <w:rPr>
          <w:rFonts w:ascii="Times New Roman" w:eastAsia="Times New Roman" w:hAnsi="Times New Roman" w:cs="Times New Roman"/>
          <w:sz w:val="24"/>
          <w:szCs w:val="24"/>
          <w:lang w:eastAsia="sk-SK"/>
        </w:rPr>
        <w:t>výška</w:t>
      </w:r>
      <w:r w:rsidR="00BA40DF" w:rsidRPr="00BA40DF">
        <w:t xml:space="preserve"> </w:t>
      </w:r>
      <w:r w:rsidR="00BA40DF" w:rsidRPr="00BA40DF">
        <w:rPr>
          <w:rFonts w:ascii="Times New Roman" w:eastAsia="Times New Roman" w:hAnsi="Times New Roman" w:cs="Times New Roman"/>
          <w:sz w:val="24"/>
          <w:szCs w:val="24"/>
          <w:lang w:eastAsia="sk-SK"/>
        </w:rPr>
        <w:t>sadzieb</w:t>
      </w:r>
      <w:r>
        <w:rPr>
          <w:rFonts w:ascii="Times New Roman" w:eastAsia="Times New Roman" w:hAnsi="Times New Roman" w:cs="Times New Roman"/>
          <w:sz w:val="24"/>
          <w:szCs w:val="24"/>
          <w:lang w:eastAsia="sk-SK"/>
        </w:rPr>
        <w:t xml:space="preserve"> správnych poplatkov sa </w:t>
      </w:r>
      <w:r w:rsidRPr="00E15DB9">
        <w:rPr>
          <w:rFonts w:ascii="Times New Roman" w:eastAsia="Times New Roman" w:hAnsi="Times New Roman" w:cs="Times New Roman"/>
          <w:sz w:val="24"/>
          <w:szCs w:val="24"/>
          <w:lang w:eastAsia="sk-SK"/>
        </w:rPr>
        <w:t xml:space="preserve">nemení a neruší sa výber </w:t>
      </w:r>
      <w:r w:rsidR="00BA40DF" w:rsidRPr="00E15DB9">
        <w:rPr>
          <w:rFonts w:ascii="Times New Roman" w:eastAsia="Times New Roman" w:hAnsi="Times New Roman" w:cs="Times New Roman"/>
          <w:sz w:val="24"/>
          <w:szCs w:val="24"/>
          <w:lang w:eastAsia="sk-SK"/>
        </w:rPr>
        <w:t>správn</w:t>
      </w:r>
      <w:r w:rsidR="00BA40DF">
        <w:rPr>
          <w:rFonts w:ascii="Times New Roman" w:eastAsia="Times New Roman" w:hAnsi="Times New Roman" w:cs="Times New Roman"/>
          <w:sz w:val="24"/>
          <w:szCs w:val="24"/>
          <w:lang w:eastAsia="sk-SK"/>
        </w:rPr>
        <w:t>ych</w:t>
      </w:r>
      <w:r w:rsidRPr="00E15DB9">
        <w:rPr>
          <w:rFonts w:ascii="Times New Roman" w:eastAsia="Times New Roman" w:hAnsi="Times New Roman" w:cs="Times New Roman"/>
          <w:sz w:val="24"/>
          <w:szCs w:val="24"/>
          <w:lang w:eastAsia="sk-SK"/>
        </w:rPr>
        <w:t xml:space="preserve"> poplatk</w:t>
      </w:r>
      <w:r w:rsidR="00BA40DF">
        <w:rPr>
          <w:rFonts w:ascii="Times New Roman" w:eastAsia="Times New Roman" w:hAnsi="Times New Roman" w:cs="Times New Roman"/>
          <w:sz w:val="24"/>
          <w:szCs w:val="24"/>
          <w:lang w:eastAsia="sk-SK"/>
        </w:rPr>
        <w:t>ov</w:t>
      </w:r>
      <w:r w:rsidRPr="00E15DB9">
        <w:rPr>
          <w:rFonts w:ascii="Times New Roman" w:eastAsia="Times New Roman" w:hAnsi="Times New Roman" w:cs="Times New Roman"/>
          <w:sz w:val="24"/>
          <w:szCs w:val="24"/>
          <w:lang w:eastAsia="sk-SK"/>
        </w:rPr>
        <w:t xml:space="preserve"> ani sa neustanovuje výber nových správnych poplatkov. Správne poplatky, ktoré vyberá </w:t>
      </w:r>
      <w:r w:rsidR="00BA40DF" w:rsidRPr="00BA40DF">
        <w:rPr>
          <w:rFonts w:ascii="Times New Roman" w:eastAsia="Times New Roman" w:hAnsi="Times New Roman" w:cs="Times New Roman"/>
          <w:sz w:val="24"/>
          <w:szCs w:val="24"/>
          <w:lang w:eastAsia="sk-SK"/>
        </w:rPr>
        <w:t xml:space="preserve">Slovenský metrologický ústav </w:t>
      </w:r>
      <w:r w:rsidRPr="00E15DB9">
        <w:rPr>
          <w:rFonts w:ascii="Times New Roman" w:eastAsia="Times New Roman" w:hAnsi="Times New Roman" w:cs="Times New Roman"/>
          <w:sz w:val="24"/>
          <w:szCs w:val="24"/>
          <w:lang w:eastAsia="sk-SK"/>
        </w:rPr>
        <w:t>bude po prijatí návrhu zákona vyberať ÚNMS SR</w:t>
      </w:r>
      <w:r w:rsidR="00BA40DF">
        <w:rPr>
          <w:rFonts w:ascii="Times New Roman" w:eastAsia="Times New Roman" w:hAnsi="Times New Roman" w:cs="Times New Roman"/>
          <w:sz w:val="24"/>
          <w:szCs w:val="24"/>
          <w:lang w:eastAsia="sk-SK"/>
        </w:rPr>
        <w:t>.</w:t>
      </w:r>
    </w:p>
    <w:p w:rsidR="00E15DB9" w:rsidRDefault="00E15DB9" w:rsidP="005138F0">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7A13E8">
        <w:rPr>
          <w:rFonts w:ascii="Times New Roman" w:eastAsia="Times New Roman" w:hAnsi="Times New Roman" w:cs="Times New Roman"/>
          <w:b/>
          <w:sz w:val="24"/>
          <w:szCs w:val="24"/>
          <w:bdr w:val="single" w:sz="4" w:space="0" w:color="auto"/>
          <w:lang w:eastAsia="sk-SK"/>
        </w:rPr>
        <w:t>x</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rPr>
          <w:rFonts w:ascii="Times New Roman" w:eastAsia="Times New Roman" w:hAnsi="Times New Roman" w:cs="Times New Roman"/>
          <w:sz w:val="24"/>
          <w:szCs w:val="24"/>
          <w:lang w:eastAsia="sk-SK"/>
        </w:rPr>
      </w:pPr>
    </w:p>
    <w:p w:rsidR="003E499E" w:rsidRPr="007D5748" w:rsidRDefault="003E499E"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3E499E" w:rsidRDefault="003E499E"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bookmarkStart w:id="1" w:name="_GoBack"/>
      <w:bookmarkEnd w:id="1"/>
      <w:r w:rsidRPr="007D5748">
        <w:rPr>
          <w:rFonts w:ascii="Times New Roman" w:eastAsia="Times New Roman" w:hAnsi="Times New Roman" w:cs="Times New Roman"/>
          <w:sz w:val="20"/>
          <w:szCs w:val="20"/>
          <w:lang w:eastAsia="sk-SK"/>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5138F0">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5138F0">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0F09C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7D5748" w:rsidRPr="007D5748" w:rsidRDefault="000F09C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7D5748" w:rsidRPr="007D5748" w:rsidRDefault="000F09C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7D5748" w:rsidRPr="007D5748" w:rsidRDefault="000F09C5"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rsidTr="005138F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5138F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5138F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5138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5138F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5138F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5138F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5138F0">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5138F0">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5138F0">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5138F0">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0F09C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5138F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138F0">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138F0">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138F0">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138F0">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6D" w:rsidRDefault="0023676D">
      <w:pPr>
        <w:spacing w:after="0" w:line="240" w:lineRule="auto"/>
      </w:pPr>
      <w:r>
        <w:separator/>
      </w:r>
    </w:p>
  </w:endnote>
  <w:endnote w:type="continuationSeparator" w:id="0">
    <w:p w:rsidR="0023676D" w:rsidRDefault="0023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B9" w:rsidRDefault="00E15DB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15DB9" w:rsidRDefault="00E15DB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B9" w:rsidRDefault="00E15DB9">
    <w:pPr>
      <w:pStyle w:val="Pta"/>
      <w:jc w:val="right"/>
    </w:pPr>
    <w:r>
      <w:fldChar w:fldCharType="begin"/>
    </w:r>
    <w:r>
      <w:instrText>PAGE   \* MERGEFORMAT</w:instrText>
    </w:r>
    <w:r>
      <w:fldChar w:fldCharType="separate"/>
    </w:r>
    <w:r w:rsidR="003E499E">
      <w:rPr>
        <w:noProof/>
      </w:rPr>
      <w:t>8</w:t>
    </w:r>
    <w:r>
      <w:fldChar w:fldCharType="end"/>
    </w:r>
  </w:p>
  <w:p w:rsidR="00E15DB9" w:rsidRDefault="00E15DB9">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B9" w:rsidRDefault="00E15DB9">
    <w:pPr>
      <w:pStyle w:val="Pta"/>
      <w:jc w:val="right"/>
    </w:pPr>
    <w:r>
      <w:fldChar w:fldCharType="begin"/>
    </w:r>
    <w:r>
      <w:instrText>PAGE   \* MERGEFORMAT</w:instrText>
    </w:r>
    <w:r>
      <w:fldChar w:fldCharType="separate"/>
    </w:r>
    <w:r>
      <w:rPr>
        <w:noProof/>
      </w:rPr>
      <w:t>0</w:t>
    </w:r>
    <w:r>
      <w:fldChar w:fldCharType="end"/>
    </w:r>
  </w:p>
  <w:p w:rsidR="00E15DB9" w:rsidRDefault="00E15D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6D" w:rsidRDefault="0023676D">
      <w:pPr>
        <w:spacing w:after="0" w:line="240" w:lineRule="auto"/>
      </w:pPr>
      <w:r>
        <w:separator/>
      </w:r>
    </w:p>
  </w:footnote>
  <w:footnote w:type="continuationSeparator" w:id="0">
    <w:p w:rsidR="0023676D" w:rsidRDefault="00236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B9" w:rsidRDefault="00E15DB9" w:rsidP="005138F0">
    <w:pPr>
      <w:pStyle w:val="Hlavika"/>
      <w:jc w:val="right"/>
      <w:rPr>
        <w:sz w:val="24"/>
        <w:szCs w:val="24"/>
      </w:rPr>
    </w:pPr>
    <w:r>
      <w:rPr>
        <w:sz w:val="24"/>
        <w:szCs w:val="24"/>
      </w:rPr>
      <w:t>Príloha č. 2</w:t>
    </w:r>
  </w:p>
  <w:p w:rsidR="00E15DB9" w:rsidRPr="00EB59C8" w:rsidRDefault="00E15DB9" w:rsidP="005138F0">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B9" w:rsidRPr="0024067A" w:rsidRDefault="00E15DB9">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B9" w:rsidRPr="000A15AE" w:rsidRDefault="00E15DB9" w:rsidP="005138F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082234"/>
    <w:rsid w:val="000F09C5"/>
    <w:rsid w:val="001127A8"/>
    <w:rsid w:val="00170D2B"/>
    <w:rsid w:val="00200898"/>
    <w:rsid w:val="00212894"/>
    <w:rsid w:val="0023676D"/>
    <w:rsid w:val="002A32AF"/>
    <w:rsid w:val="002C0BF5"/>
    <w:rsid w:val="00317B90"/>
    <w:rsid w:val="003E499E"/>
    <w:rsid w:val="00445E17"/>
    <w:rsid w:val="00470546"/>
    <w:rsid w:val="00487203"/>
    <w:rsid w:val="005005EC"/>
    <w:rsid w:val="005138F0"/>
    <w:rsid w:val="00523A35"/>
    <w:rsid w:val="00543BEA"/>
    <w:rsid w:val="005C45BE"/>
    <w:rsid w:val="0070662B"/>
    <w:rsid w:val="007246BD"/>
    <w:rsid w:val="007A13E8"/>
    <w:rsid w:val="007D5748"/>
    <w:rsid w:val="00853DD0"/>
    <w:rsid w:val="008A31E2"/>
    <w:rsid w:val="008D339D"/>
    <w:rsid w:val="008E2736"/>
    <w:rsid w:val="008F4479"/>
    <w:rsid w:val="009706B7"/>
    <w:rsid w:val="00A41040"/>
    <w:rsid w:val="00B339BB"/>
    <w:rsid w:val="00B5535C"/>
    <w:rsid w:val="00BA40DF"/>
    <w:rsid w:val="00BC0122"/>
    <w:rsid w:val="00C00AFD"/>
    <w:rsid w:val="00C15212"/>
    <w:rsid w:val="00C51FD4"/>
    <w:rsid w:val="00CB3623"/>
    <w:rsid w:val="00CE299A"/>
    <w:rsid w:val="00D079D3"/>
    <w:rsid w:val="00D20194"/>
    <w:rsid w:val="00DA1201"/>
    <w:rsid w:val="00DE5BF1"/>
    <w:rsid w:val="00E07CE9"/>
    <w:rsid w:val="00E15DB9"/>
    <w:rsid w:val="00E23EA2"/>
    <w:rsid w:val="00E963A3"/>
    <w:rsid w:val="00EA1E90"/>
    <w:rsid w:val="00F27EB2"/>
    <w:rsid w:val="00F40136"/>
    <w:rsid w:val="00F529BC"/>
    <w:rsid w:val="00FD09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DA1201"/>
    <w:rPr>
      <w:sz w:val="16"/>
      <w:szCs w:val="16"/>
    </w:rPr>
  </w:style>
  <w:style w:type="paragraph" w:styleId="Textkomentra">
    <w:name w:val="annotation text"/>
    <w:basedOn w:val="Normlny"/>
    <w:link w:val="TextkomentraChar"/>
    <w:uiPriority w:val="99"/>
    <w:semiHidden/>
    <w:unhideWhenUsed/>
    <w:rsid w:val="00DA1201"/>
    <w:pPr>
      <w:spacing w:line="240" w:lineRule="auto"/>
    </w:pPr>
    <w:rPr>
      <w:sz w:val="20"/>
      <w:szCs w:val="20"/>
    </w:rPr>
  </w:style>
  <w:style w:type="character" w:customStyle="1" w:styleId="TextkomentraChar">
    <w:name w:val="Text komentára Char"/>
    <w:basedOn w:val="Predvolenpsmoodseku"/>
    <w:link w:val="Textkomentra"/>
    <w:uiPriority w:val="99"/>
    <w:semiHidden/>
    <w:rsid w:val="00DA1201"/>
    <w:rPr>
      <w:sz w:val="20"/>
      <w:szCs w:val="20"/>
    </w:rPr>
  </w:style>
  <w:style w:type="paragraph" w:styleId="Predmetkomentra">
    <w:name w:val="annotation subject"/>
    <w:basedOn w:val="Textkomentra"/>
    <w:next w:val="Textkomentra"/>
    <w:link w:val="PredmetkomentraChar"/>
    <w:uiPriority w:val="99"/>
    <w:semiHidden/>
    <w:unhideWhenUsed/>
    <w:rsid w:val="00DA1201"/>
    <w:rPr>
      <w:b/>
      <w:bCs/>
    </w:rPr>
  </w:style>
  <w:style w:type="character" w:customStyle="1" w:styleId="PredmetkomentraChar">
    <w:name w:val="Predmet komentára Char"/>
    <w:basedOn w:val="TextkomentraChar"/>
    <w:link w:val="Predmetkomentra"/>
    <w:uiPriority w:val="99"/>
    <w:semiHidden/>
    <w:rsid w:val="00DA12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DA1201"/>
    <w:rPr>
      <w:sz w:val="16"/>
      <w:szCs w:val="16"/>
    </w:rPr>
  </w:style>
  <w:style w:type="paragraph" w:styleId="Textkomentra">
    <w:name w:val="annotation text"/>
    <w:basedOn w:val="Normlny"/>
    <w:link w:val="TextkomentraChar"/>
    <w:uiPriority w:val="99"/>
    <w:semiHidden/>
    <w:unhideWhenUsed/>
    <w:rsid w:val="00DA1201"/>
    <w:pPr>
      <w:spacing w:line="240" w:lineRule="auto"/>
    </w:pPr>
    <w:rPr>
      <w:sz w:val="20"/>
      <w:szCs w:val="20"/>
    </w:rPr>
  </w:style>
  <w:style w:type="character" w:customStyle="1" w:styleId="TextkomentraChar">
    <w:name w:val="Text komentára Char"/>
    <w:basedOn w:val="Predvolenpsmoodseku"/>
    <w:link w:val="Textkomentra"/>
    <w:uiPriority w:val="99"/>
    <w:semiHidden/>
    <w:rsid w:val="00DA1201"/>
    <w:rPr>
      <w:sz w:val="20"/>
      <w:szCs w:val="20"/>
    </w:rPr>
  </w:style>
  <w:style w:type="paragraph" w:styleId="Predmetkomentra">
    <w:name w:val="annotation subject"/>
    <w:basedOn w:val="Textkomentra"/>
    <w:next w:val="Textkomentra"/>
    <w:link w:val="PredmetkomentraChar"/>
    <w:uiPriority w:val="99"/>
    <w:semiHidden/>
    <w:unhideWhenUsed/>
    <w:rsid w:val="00DA1201"/>
    <w:rPr>
      <w:b/>
      <w:bCs/>
    </w:rPr>
  </w:style>
  <w:style w:type="character" w:customStyle="1" w:styleId="PredmetkomentraChar">
    <w:name w:val="Predmet komentára Char"/>
    <w:basedOn w:val="TextkomentraChar"/>
    <w:link w:val="Predmetkomentra"/>
    <w:uiPriority w:val="99"/>
    <w:semiHidden/>
    <w:rsid w:val="00DA1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footer" Target="footer1.xml"></Relationship><Relationship Id="rId18" Type="http://schemas.openxmlformats.org/officeDocument/2006/relationships/theme" Target="theme/theme1.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header" Target="header2.xml"></Relationship><Relationship Id="rId17" Type="http://schemas.openxmlformats.org/officeDocument/2006/relationships/fontTable" Target="fontTable.xml"></Relationship><Relationship Id="rId2" Type="http://schemas.openxmlformats.org/officeDocument/2006/relationships/customXml" Target="../customXml/item2.xml"></Relationship><Relationship Id="rId16" Type="http://schemas.openxmlformats.org/officeDocument/2006/relationships/footer" Target="footer3.xml"></Relationship><Relationship Id="rId1" Type="http://schemas.openxmlformats.org/officeDocument/2006/relationships/customXml" Target="../customXml/item1.xml"></Relationship><Relationship Id="rId6" Type="http://schemas.microsoft.com/office/2007/relationships/stylesWithEffects" Target="stylesWithEffects.xml"></Relationship><Relationship Id="rId11" Type="http://schemas.openxmlformats.org/officeDocument/2006/relationships/header" Target="header1.xml"></Relationship><Relationship Id="rId5" Type="http://schemas.openxmlformats.org/officeDocument/2006/relationships/styles" Target="styles.xml"></Relationship><Relationship Id="rId15" Type="http://schemas.openxmlformats.org/officeDocument/2006/relationships/header" Target="header3.xml"></Relationship><Relationship Id="rId10" Type="http://schemas.openxmlformats.org/officeDocument/2006/relationships/endnotes" Target="endnotes.xml"></Relationship><Relationship Id="rId4" Type="http://schemas.openxmlformats.org/officeDocument/2006/relationships/numbering" Target="numbering.xml"></Relationship><Relationship Id="rId9" Type="http://schemas.openxmlformats.org/officeDocument/2006/relationships/footnotes" Target="footnotes.xml"></Relationship><Relationship Id="rId14" Type="http://schemas.openxmlformats.org/officeDocument/2006/relationships/footer" Target="footer2.xml"></Relationship><Relationship Id="rId19" Type="http://schemas.openxmlformats.org/officeDocument/2006/relationships/customXml" Target="../customXml/item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no'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Analýza-vplyvov-na-rozpočet-verejnej-správy"/>
    <f:field ref="objsubject" par="" edit="true" text=""/>
    <f:field ref="objcreatedby" par="" text="Adamcová, Miroslava, Mgr."/>
    <f:field ref="objcreatedat" par="" text="5.8.2016 8:04:52"/>
    <f:field ref="objchangedby" par="" text="Administrator, System"/>
    <f:field ref="objmodifiedat" par="" text="5.8.2016 8:04: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2900</Words>
  <Characters>16530</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Adamcová Miroslava</cp:lastModifiedBy>
  <cp:revision>7</cp:revision>
  <dcterms:created xsi:type="dcterms:W3CDTF">2016-06-22T11:39:00Z</dcterms:created>
  <dcterms:modified xsi:type="dcterms:W3CDTF">2016-07-18T14:13:00Z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142/2000 Z. z. o&amp;nbsp;metrológii a&amp;nbsp;o&amp;nbsp;zmene a&amp;nbsp;doplnení niektorých zákonov v&amp;nbsp;znení&amp;nbsp;neskorších predpisov a&amp;nbsp;ktorým sa mení zákon Národnej rady Slovenskej republiky č. 145/1995 Z. z. o správnych poplatkoch v znení neskorších predpisov informovaná prostredníctvom predbežnej informácie č. PI/2016/69 zverejnenej v informačnom systéme verejnej správy Slov-Lex.&lt;/p&gt;&lt;p&gt;K&amp;nbsp;predbežnej informácií č. PI/2016/69&amp;nbsp;&lt;strong&gt;neboli zo strany verejnosti predložené žiadne pripomienky a&amp;nbsp;návrhy.&lt;/strong&gt;&lt;/p&gt;</vt:lpwstr>
  </property>
  <property name="FSC#SKEDITIONSLOVLEX@103.510:typpredpis" pid="3" fmtid="{D5CDD505-2E9C-101B-9397-08002B2CF9AE}">
    <vt:lpwstr>Zákon</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Miroslava Adamcová</vt:lpwstr>
  </property>
  <property name="FSC#SKEDITIONSLOVLEX@103.510:zodppredkladatel" pid="12" fmtid="{D5CDD505-2E9C-101B-9397-08002B2CF9AE}">
    <vt:lpwstr>Ing. Pavol Pavlis</vt:lpwstr>
  </property>
  <property name="FSC#SKEDITIONSLOVLEX@103.510:dalsipredkladatel" pid="13" fmtid="{D5CDD505-2E9C-101B-9397-08002B2CF9AE}">
    <vt:lpwstr/>
  </property>
  <property name="FSC#SKEDITIONSLOVLEX@103.510:nazovpredpis" pid="14" fmtid="{D5CDD505-2E9C-101B-9397-08002B2CF9AE}">
    <vt:lpwstr>, ktorým sa mení a dopĺňa zákon č. 142/2000 Z. z. o metrológii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pre normalizáciu, metrológiu a skúšobníctvo Slovenskej republiky</vt:lpwstr>
  </property>
  <property name="FSC#SKEDITIONSLOVLEX@103.510:pripomienkovatelia" pid="20"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Zákon, ktorým sa mení a dopĺňa zákon č. 142/2000 Z. z. o metrológii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2016/300/005449/01861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LP/2016/768</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čl. 34, čl. 36 a čl. 114 Zmluvy o fungovaní Európskej únie (Ú. v. EÚ C 326/01, 26.10.2012)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Smernica Rady 76/211/EHS z 20. januára 1976 o aproximácii právnych predpisov členských štátov týkajúcich sa plnenia určitých spotrebiteľsky balených výrobkov podľa hmotnosti alebo objemu (Mimoriadne vydanie Ú. v. ES, kap. 13/zv. 3) v znení smernice Komisie 78/891/EHS z 28. septembra 1978 (Mimoriadne vydanie Ú. v. ES, kap. 13/zv. 5) a smernice Európskeho parlamentu a Rady 2007/45/ES z 5. septembra 2007 (Ú. v. EÚ L 247, 21.9.2007). _x000d__x000a_Smernica Rady 80/181/EHS z 20. decembra 1979 o aproximácii právnych predpisov členských štátov, týkajúcich sa meracích jednotiek a rušiaca smernicu 71/354/EHS (Mimoriadne vydanie Ú. v. ES, kap. 13/zv. 6) v znení smernice Rady 85/1/EHS z 18. decembra 1984 (Mimoriadne vydanie Ú. v. ES, kap. 11/zv. 056), smernice Rady 89/617/EHS z 27. novembra 1989 (Mimoriadne vydanie Ú. v. ES, kap. 13/zv. 010), smernice 1999/103/ES Európskeho parlamentu a Rady z 24. januára 2000 (Mimoriadne vydanie Ú. v. ES, kap. 13/zv. 24) a smernice Európskeho parlamentu a Rady 2009/3/ES z 11. marca 2009 (Ú. v. EÚ L 114, 7.5.2009). _x000d__x000a_Smernica Európskeho parlamentu a Rady 2009/34/ES z 23. apríla 2009 o spoločných ustanoveniach pre meradlá a metódy metrologickej kontroly (Ú. v. EÚ L 106, 28.04.2009). _x000d__x000a_Nariadenie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218/21). _x000d__x000a_Nariadenie Európskeho parlamentu a Rady (ES) č. 765/2008 z 9. júla 2008, ktorým sa stanovujú požiadavky akreditácie a dohľadu nad trhom v súvislosti s uvádzaním výrobkov na trh a ktorým sa zrušuje nariadenie (EHS) č. 339/93 (Ú. v. EÚ L 218/30).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bezpredmetné  </vt:lpwstr>
  </property>
  <property name="FSC#SKEDITIONSLOVLEX@103.510:AttrStrListDocPropLehotaNaPredlozenie" pid="53" fmtid="{D5CDD505-2E9C-101B-9397-08002B2CF9AE}">
    <vt:lpwstr>bezpredmetné</vt:lpwstr>
  </property>
  <property name="FSC#SKEDITIONSLOVLEX@103.510:AttrStrListDocPropInfoZaciatokKonania" pid="54" fmtid="{D5CDD505-2E9C-101B-9397-08002B2CF9AE}">
    <vt:lpwstr>nebolo začaté</vt:lpwstr>
  </property>
  <property name="FSC#SKEDITIONSLOVLEX@103.510:AttrStrListDocPropInfoUzPreberanePP" pid="55" fmtid="{D5CDD505-2E9C-101B-9397-08002B2CF9AE}">
    <vt:lpwstr>- zákon č. 142/2000 Z. z. o metrológii a o zmene a doplnení niektorých zákonov v znení neskorších predpisov, _x000d__x000a_- vyhláška Úradu pre normalizáciu, metrológiu a skúšobníctvo Slovenskej republiky č. 210/2000 Z. z. o meradlách a metrologickej kontrole v znení neskorších predpisov, _x000d__x000a_- vyhláška Úradu pre normalizáciu, metrológiu a skúšobníctvo Slovenskej republiky č. 207/2000 Z. z. o označenom spotrebiteľskom balení v znení neskorších predpisov.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Úrad pre normalizáciu, metrológiu a skúšobníctvo Slovenskej republiky</vt:lpwstr>
  </property>
  <property name="FSC#SKEDITIONSLOVLEX@103.510:AttrDateDocPropZaciatokPKK" pid="58" fmtid="{D5CDD505-2E9C-101B-9397-08002B2CF9AE}">
    <vt:lpwstr>22. 6. 2016</vt:lpwstr>
  </property>
  <property name="FSC#SKEDITIONSLOVLEX@103.510:AttrDateDocPropUkonceniePKK" pid="59" fmtid="{D5CDD505-2E9C-101B-9397-08002B2CF9AE}">
    <vt:lpwstr>3. 8. 2016</vt:lpwstr>
  </property>
  <property name="FSC#SKEDITIONSLOVLEX@103.510:AttrStrDocPropVplyvRozpocetVS" pid="60" fmtid="{D5CDD505-2E9C-101B-9397-08002B2CF9AE}">
    <vt:lpwstr>Pozitívne</vt:lpwstr>
  </property>
  <property name="FSC#SKEDITIONSLOVLEX@103.510:AttrStrDocPropVplyvPodnikatelskeProstr" pid="61" fmtid="{D5CDD505-2E9C-101B-9397-08002B2CF9AE}">
    <vt:lpwstr>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Predkladaný návrh zákona má pozitívny vplyv na rozpočet verejnej správy z dôvodu úpravy sadzieb pokút, a teda ide o príjmy z pokút, ktoré sú rozpočtované pre kapitolu. Nakoľko množstvo zistených porušení zákona závisí od aktivity orgánu metrologického dozoru pri zisťovaní porušenia zákona a zároveň od úrovne dodržiavania všeobecne záväzných právnych predpisov orgánmi štátnej správy, podnikateľmi a inými právnickými osobami, ÚNMS SR nevie vyčísliť vplyv uložených pokút na rozpočet verejnej správy.</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Návrh zákona bol v dňoch od 22. júna 2016 do 4. júla 2016 predmetom predbežného pripomienkového konania, v rámci ktorého Stála pracovná komisia Legislatívnej rady vlády Slovenskej republiky na posudzovanie vybraných vplyvov (ďalej len „Komisia“) zaujala k materiálu nesúhlasné stanovisko. Následne bol návrh zákona v dňoch od 19. júla 2016 do 3. augusta 2016 predmetom opätovného predbežného pripomienkového konania, v rámci ktorého Komisia zaujala k materiálu súhlasné stanovisko a neuplatnila žiadne pripomienky.</vt:lpwstr>
  </property>
  <property name="FSC#SKEDITIONSLOVLEX@103.510:AttrStrListDocPropTextKomunike" pid="68" fmtid="{D5CDD505-2E9C-101B-9397-08002B2CF9AE}">
    <vt:lpwstr>Vláda Slovenskej republiky na svojom rokovaní dňa ....................... prerokovala a schválila návrh zákona ktorým sa mení a dopĺňa zákon č. 142/2000 Z. z. o metrológii a o zmene a doplnení niektorých zákonov v znení neskorších predpisov.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hospodárstva Slovenskej republiky_x000d__x000a_predseda Úradu pre normalizáciu, metrológiu a skúšobníctvo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predseda Úradu pre normalizáciu, metrológiu a skúšobníctvo Slovenskej republiky</vt:lpwstr>
  </property>
  <property name="FSC#SKEDITIONSLOVLEX@103.510:funkciaZodpPredAkuzativ" pid="142" fmtid="{D5CDD505-2E9C-101B-9397-08002B2CF9AE}">
    <vt:lpwstr>predsedovi Úradu pre normalizáciu, metrológiu a skúšobníctvo Slovenskej republiky</vt:lpwstr>
  </property>
  <property name="FSC#SKEDITIONSLOVLEX@103.510:funkciaZodpPredDativ" pid="143" fmtid="{D5CDD505-2E9C-101B-9397-08002B2CF9AE}">
    <vt:lpwstr>predsedu Úradu pre normalizáciu, metrológiu a skúšobníctvo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Pavol Pavlis_x000d__x000a_predseda Úradu pre normalizáciu, metrológiu a skúšobníctvo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justify;"&gt;Návrh zákona, ktorým sa mení a&amp;nbsp;dopĺňa zákon č. 142/2000 Z.&amp;nbsp;z. o&amp;nbsp;metrológii a&amp;nbsp;o&amp;nbsp;zmene a&amp;nbsp;doplnení niektorých zákonov v&amp;nbsp;znení neskorších predpisov&amp;nbsp;predkladá predseda Úradu pre normalizáciu, metrológiu a&amp;nbsp;skúšobníctvo Slovenskej republiky na základe vlastnej iniciatívy.&lt;/p&gt;&lt;p style="text-align: justify;"&gt;Návrh zákona bol v&amp;nbsp;legislatívnom procese už v&amp;nbsp;roku 2015, avšak bol späťvzatý v&amp;nbsp;druhom čítaní v&amp;nbsp;Národnej rade Slovenskej republiky z&amp;nbsp;dôvodu rozporov, ktoré vznikli počas rokovania Ústavnoprávneho výboru Národnej rady Slovenskej republiky. Predkladaný návrh zákona je totožný s&amp;nbsp;návrhom z&amp;nbsp;roku 2015, pričom zohľadňuje pripomienky výborov Národnej rady Slovenskej republiky.&lt;/p&gt;&lt;p style="text-align: justify;"&gt;Návrh zákona vychádza z&amp;nbsp;požiadaviek aplikačnej praxe a&amp;nbsp;jeho cieľom je upraviť v&amp;nbsp;praxi nejednoznačné a&amp;nbsp;ťažko vykonateľné ustanovenia, ktoré musia dodržiavať jednotlivé subjekty pôsobiace v&amp;nbsp;oblasti metrológie na území Slovenskej republiky. Uvedený návrh zákona v&amp;nbsp;plnej miere akceptuje požiadavky vyplývajúce z&amp;nbsp;medzinárodných aj európskych dokumentov, ktoré sú kladené na meradlá, metrologické výkony, spotrebiteľsky balené výrobky a&amp;nbsp;na metrológiu ako takú.&lt;/p&gt;&lt;p style="text-align: justify;"&gt;Návrhom zákona sa má dosiahnuť vyšší stupeň zosúladenia s&amp;nbsp;porovnateľnými mechanizmami v&amp;nbsp;iných štátoch a&amp;nbsp;preventívne pôsobenie v&amp;nbsp;záujme ochrany spotrebiteľov pred výrobkami alebo službami, ktoré by mohli ohroziť ich životy, zdravie, či majetok. Návrh zákona spresňuje niektoré definície týkajúce sa meradiel a špecifikáciu niektorých ustanovení týkajúcich sa overovania určených meradiel. Návrh zákona ďalej spresňuje požiadavky na&amp;nbsp;spotrebiteľsky balené výrobky, niektoré požiadavky na proces autorizácie a&amp;nbsp;činnosť autorizovaných a&amp;nbsp;registrovaných osôb, upravuje postavenie Slovenského metrologického ústavu, ktorý už nebude orgánom štátnej správy, a&amp;nbsp;preto zabezpečuje prechod všetkých jeho kompetencií ako orgánu štátnej správy na Úrad pre normalizáciu, metrológiu a&amp;nbsp;skúšobníctvo Slovenskej republiky, upravuje rozsah pôsobnosti Slovenského metrologického inšpektorátu, spresňuje ustanovenia o&amp;nbsp;výkone metrologického dozoru a vzťah k&amp;nbsp;zahraničiu pri uvádzaní určených meradiel na trh a&amp;nbsp;ich následnej metrologickej kontrole.&lt;/p&gt;&lt;p style="text-align: justify;"&gt;Návrh zákona nebude predmetom vnútrokomunitárneho pripomienkového konania.&lt;/p&gt;&lt;p style="text-align: justify;"&gt;Návrh zákona bol v&amp;nbsp;dňoch od 22. júna do 4. júla 2016 predmetom predbežného pripomienkového konania a v dňoch od 19. júla 2016 do 3. augusta 2016 predmetom opätovného predbežného pripomienkového konania, v rámci ktorého Stála pracovná komisia Legislatívnej rady vlády Slovenskej republiky na posudzovanie vybraných vplyvov zaujala k materiálu súhlasné stanovisko. Návrh zákona bol v&amp;nbsp;dňoch od 8. augusta do 26. augusta 2016 predmetom medzirezortného pripomienkového konania, ktorého výsledok je uvedený vo vyhodnotení medzirezortného pripomienkového konania a&amp;nbsp;na rokovanie Legislatívnej rady vlády Slovenskej republiky sa predkladá bez rozporov.&lt;/p&gt;&lt;p style="text-align: justify;"&gt;Účinnosť návrhu zákona sa navrhuje na 1. januára 2017, okrem čl. I § 23 ods. 2 písm. c) bodu 32, ktorý nadobúda účinnosť 1. januára 2018, čím sa zabezpečí dostatočne dlhá legisvakančná doba na oboznámenie sa s návrhom zákona.&lt;/p&gt;&lt;p style="text-align: justify;"&gt;Návrh zákona nemá sociálny vplyv, vplyv na životné prostredie, vplyv na informatizáciu spoločnosti, ani na služby verejnej správy pre občana. Návrh zákona má pozitívny vplyv na rozpočet verejnej správy a&amp;nbsp;negatívny vplyv na podnikateľské prostredie.&lt;/p&gt;&lt;p style="text-align: justify;"&gt;Návrh zákona je v súlade s Ústavou Slovenskej republiky, so zákonmi a&amp;nbsp;ostatnými všeobecne záväznými právnymi predpismi platnými v Slovenskej republike,&amp;nbsp;s medzinárodnými zmluvami, ktorými je Slovenská republika viazaná, ako aj s&amp;nbsp;právom&amp;nbsp;Európskej únie.&lt;/p&gt;</vt:lpwstr>
  </property>
  <property name="FSC#COOSYSTEM@1.1:Container" pid="150" fmtid="{D5CDD505-2E9C-101B-9397-08002B2CF9AE}">
    <vt:lpwstr>COO.2145.1000.3.1559914</vt:lpwstr>
  </property>
  <property name="FSC#FSCFOLIO@1.1001:docpropproject" pid="151" fmtid="{D5CDD505-2E9C-101B-9397-08002B2CF9AE}">
    <vt:lpwstr/>
  </property>
</Properties>
</file>