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9A4AF7" w:rsidRDefault="00722A7A" w:rsidP="009A4AF7">
            <w:pPr>
              <w:pStyle w:val="titulok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cs-CZ"/>
              </w:rPr>
              <w:t xml:space="preserve">Návrh nariadenia vlády Slovenskej republiky, ktorým sa mení nariadenie vlády Slovenskej republiky č. 497/2013 Z. z., ktorým sa ustanovuje spôsob výpočtu mýta, výška sadzby mýta a systém zliav zo sadzieb mýta za užívanie vymedzených úsekov pozemných komunikácií v znení </w:t>
            </w:r>
            <w:r w:rsidR="0037486A">
              <w:rPr>
                <w:rFonts w:ascii="Times New Roman" w:hAnsi="Times New Roman" w:cs="Times New Roman"/>
                <w:b w:val="0"/>
                <w:bCs w:val="0"/>
                <w:color w:val="auto"/>
                <w:lang w:eastAsia="cs-CZ"/>
              </w:rPr>
              <w:t>nariadenia vlády Slovenskej republiky č. 448/2015 Z. z.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>
              <w:t xml:space="preserve"> dopravy, výstavby a regionálneho rozvoja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AF6EA8" w:rsidP="007B71A4">
            <w:pPr>
              <w:rPr>
                <w:i/>
                <w:highlight w:val="yellow"/>
              </w:rPr>
            </w:pPr>
            <w:r w:rsidRPr="00C7175B">
              <w:rPr>
                <w:i/>
              </w:rPr>
              <w:t xml:space="preserve">02.11.2016 </w:t>
            </w:r>
            <w:r w:rsidR="00D41CD1">
              <w:rPr>
                <w:i/>
              </w:rPr>
              <w:t>–</w:t>
            </w:r>
            <w:r w:rsidRPr="00C7175B">
              <w:rPr>
                <w:i/>
              </w:rPr>
              <w:t xml:space="preserve"> </w:t>
            </w:r>
            <w:r w:rsidR="00D41CD1">
              <w:rPr>
                <w:i/>
              </w:rPr>
              <w:t>7.11.2016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D41CD1" w:rsidP="00601B75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November </w:t>
            </w:r>
            <w:r w:rsidR="00AF6EA8" w:rsidRPr="00C7175B">
              <w:rPr>
                <w:i/>
              </w:rPr>
              <w:t>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AF6EA8" w:rsidP="007B71A4">
            <w:pPr>
              <w:rPr>
                <w:i/>
              </w:rPr>
            </w:pPr>
            <w:r>
              <w:rPr>
                <w:i/>
              </w:rPr>
              <w:t>November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014591" w:rsidP="00014591">
            <w:pPr>
              <w:jc w:val="both"/>
              <w:rPr>
                <w:b/>
              </w:rPr>
            </w:pPr>
            <w:r w:rsidRPr="00014591">
              <w:t xml:space="preserve">Návrh nariadenia </w:t>
            </w:r>
            <w:r w:rsidR="00B6456B">
              <w:t xml:space="preserve">vlády </w:t>
            </w:r>
            <w:r w:rsidRPr="00014591">
              <w:t>sa predkladá z dôvodu úpravy výšky sadzieb mýta v dôsledku  harmonizovaného indexu spotrebiteľských cien v medziročnom porovnaní k septembru predch</w:t>
            </w:r>
            <w:bookmarkStart w:id="0" w:name="_GoBack"/>
            <w:bookmarkEnd w:id="0"/>
            <w:r w:rsidRPr="00014591">
              <w:t>ádzajúceho kalendárneho roka, ktorý zverejňuje Štatistický úrad Slovenskej republiky. Výška sadzieb mýta sa upravuje každoročne, a to vždy k 1. januáru nasledujúceho kalendárneho roka a zaokrúhľuje sa na tri desatinné miesta nahor.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014591" w:rsidP="00014591">
            <w:pPr>
              <w:jc w:val="both"/>
            </w:pPr>
            <w:r w:rsidRPr="00014591">
              <w:t>V septembri 2016 medziročná miera inflácie meraná harmonizovaným indexom spotrebiteľských cien podľa údajov zverejňovaných Štatistickým úradom Slovenskej republiky dosiahla hodnotu  - 0,5%. Na základe toho vznikla potreba stanovenia nižších sadzieb mýta.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548EE" w:rsidP="007B71A4">
            <w:pPr>
              <w:rPr>
                <w:i/>
              </w:rPr>
            </w:pPr>
            <w:r>
              <w:rPr>
                <w:i/>
              </w:rPr>
              <w:t>Podnikateľské prostredie vo všeobecnosti, užívatelia vymedzených úsekov ciest</w:t>
            </w:r>
            <w:r w:rsidR="00365BB9">
              <w:rPr>
                <w:i/>
              </w:rPr>
              <w:t>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548EE" w:rsidP="007B71A4">
            <w:pPr>
              <w:rPr>
                <w:i/>
              </w:rPr>
            </w:pPr>
            <w:r w:rsidRPr="00C7175B">
              <w:rPr>
                <w:i/>
              </w:rPr>
              <w:t>Neboli posudzované</w:t>
            </w:r>
            <w:r w:rsidR="00365BB9" w:rsidRPr="00C7175B"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90700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90700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0145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027A1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145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1459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E83853" w:rsidRDefault="00014591" w:rsidP="00E83853">
            <w:pPr>
              <w:jc w:val="both"/>
              <w:rPr>
                <w:i/>
              </w:rPr>
            </w:pPr>
            <w:r w:rsidRPr="00E83853">
              <w:rPr>
                <w:i/>
              </w:rPr>
              <w:t>Pred</w:t>
            </w:r>
            <w:r w:rsidR="00B6456B">
              <w:rPr>
                <w:i/>
              </w:rPr>
              <w:t>kladaný</w:t>
            </w:r>
            <w:r w:rsidRPr="00E83853">
              <w:rPr>
                <w:i/>
              </w:rPr>
              <w:t xml:space="preserve"> návrh nariadenia </w:t>
            </w:r>
            <w:r w:rsidR="00B6456B">
              <w:rPr>
                <w:i/>
              </w:rPr>
              <w:t xml:space="preserve">vlády </w:t>
            </w:r>
            <w:r w:rsidRPr="00E83853">
              <w:rPr>
                <w:i/>
              </w:rPr>
              <w:t>predpokladá negatívny vplyv na rozpočet verejnej správy v rokoch 2017 až 2019, a to z dôvodu zníženia výnosov z výberu mýta pre Národnú diaľničnú spoločnosť, a.s. Negatívny vplyv na rozpočet verejnej správy je už zohľadnený v schválenom rozpočte verejnej správy na roky 2017 - 2019.</w:t>
            </w:r>
          </w:p>
          <w:p w:rsidR="00E83853" w:rsidRPr="009548EE" w:rsidRDefault="00E83853" w:rsidP="00DC2890">
            <w:pPr>
              <w:jc w:val="both"/>
              <w:rPr>
                <w:b/>
              </w:rPr>
            </w:pPr>
            <w:r w:rsidRPr="00E83853">
              <w:rPr>
                <w:i/>
              </w:rPr>
              <w:t>Predkladaný návrh</w:t>
            </w:r>
            <w:r w:rsidR="00B6456B">
              <w:rPr>
                <w:i/>
              </w:rPr>
              <w:t xml:space="preserve"> nariadenia vlády nepredpokladá žiadne</w:t>
            </w:r>
            <w:r w:rsidRPr="00E83853">
              <w:rPr>
                <w:i/>
              </w:rPr>
              <w:t xml:space="preserve"> </w:t>
            </w:r>
            <w:r>
              <w:rPr>
                <w:i/>
              </w:rPr>
              <w:t>sociálne vplyvy, vplyvy na informatizáciu</w:t>
            </w:r>
            <w:r w:rsidR="00B6456B">
              <w:rPr>
                <w:i/>
              </w:rPr>
              <w:t xml:space="preserve"> spoločnosti,  vplyvy na životné prostredie</w:t>
            </w:r>
            <w:r>
              <w:rPr>
                <w:i/>
              </w:rPr>
              <w:t xml:space="preserve"> či </w:t>
            </w:r>
            <w:r w:rsidRPr="00E83853">
              <w:rPr>
                <w:i/>
              </w:rPr>
              <w:t>vplyv</w:t>
            </w:r>
            <w:r>
              <w:rPr>
                <w:i/>
              </w:rPr>
              <w:t>y</w:t>
            </w:r>
            <w:r w:rsidRPr="00E83853">
              <w:rPr>
                <w:i/>
              </w:rPr>
              <w:t xml:space="preserve"> na služby verejnej správy pre občana. </w:t>
            </w:r>
            <w:r w:rsidR="00DC2890">
              <w:rPr>
                <w:i/>
              </w:rPr>
              <w:t>Takéto vplyvy</w:t>
            </w:r>
            <w:r w:rsidRPr="00E83853">
              <w:rPr>
                <w:i/>
              </w:rPr>
              <w:t xml:space="preserve"> nebol</w:t>
            </w:r>
            <w:r w:rsidR="00DC2890">
              <w:rPr>
                <w:i/>
              </w:rPr>
              <w:t>i identifikované.</w:t>
            </w:r>
            <w:r w:rsidR="006A37E7">
              <w:rPr>
                <w:i/>
              </w:rPr>
              <w:t xml:space="preserve"> </w:t>
            </w:r>
            <w:r w:rsidR="00B6456B">
              <w:rPr>
                <w:i/>
              </w:rPr>
              <w:t xml:space="preserve"> </w:t>
            </w:r>
            <w:r w:rsidR="00B6456B" w:rsidRPr="006A37E7">
              <w:rPr>
                <w:i/>
              </w:rPr>
              <w:t>Vpl</w:t>
            </w:r>
            <w:r w:rsidR="006A37E7" w:rsidRPr="006A37E7">
              <w:rPr>
                <w:i/>
              </w:rPr>
              <w:t>yvy na podnikateľské prostredie</w:t>
            </w:r>
            <w:r w:rsidR="006A37E7">
              <w:rPr>
                <w:i/>
              </w:rPr>
              <w:t xml:space="preserve"> sú popísané v Analýze vplyvov na podnikateľské prostredie.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9548EE" w:rsidP="00BC063A">
            <w:pPr>
              <w:jc w:val="both"/>
              <w:rPr>
                <w:i/>
              </w:rPr>
            </w:pPr>
            <w:r>
              <w:rPr>
                <w:i/>
              </w:rPr>
              <w:t>Ministerstvo dopravy, výstavby a regionálneho rozvoja Slovenskej republiky, Sekcia cestnej dopravy a pozemných komunikácii</w:t>
            </w:r>
            <w:r w:rsidR="00F85EA2">
              <w:rPr>
                <w:i/>
              </w:rPr>
              <w:t xml:space="preserve"> </w:t>
            </w:r>
            <w:r>
              <w:rPr>
                <w:i/>
              </w:rPr>
              <w:t xml:space="preserve">– Mgr. </w:t>
            </w:r>
            <w:r w:rsidR="00BC063A">
              <w:rPr>
                <w:i/>
              </w:rPr>
              <w:t>Tomáš Pšenka</w:t>
            </w:r>
            <w:r w:rsidR="00014591">
              <w:rPr>
                <w:i/>
              </w:rPr>
              <w:t>,</w:t>
            </w:r>
            <w:r>
              <w:rPr>
                <w:i/>
              </w:rPr>
              <w:t xml:space="preserve">  tel.</w:t>
            </w:r>
            <w:r w:rsidR="00430CF8">
              <w:rPr>
                <w:i/>
              </w:rPr>
              <w:t xml:space="preserve"> </w:t>
            </w:r>
            <w:r w:rsidR="00014591">
              <w:rPr>
                <w:i/>
              </w:rPr>
              <w:t>č. 02/59494</w:t>
            </w:r>
            <w:r w:rsidR="00BC063A">
              <w:rPr>
                <w:i/>
              </w:rPr>
              <w:t>635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CD50B1">
        <w:trPr>
          <w:trHeight w:val="433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0B1" w:rsidRDefault="00CD50B1" w:rsidP="00CD50B1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B93">
              <w:rPr>
                <w:bCs/>
                <w:lang w:eastAsia="ar-SA"/>
              </w:rPr>
              <w:t>Komisia uplatňuje k materiálu nasledujúce pripomienky a</w:t>
            </w:r>
            <w:r>
              <w:rPr>
                <w:bCs/>
                <w:lang w:eastAsia="ar-SA"/>
              </w:rPr>
              <w:t> </w:t>
            </w:r>
            <w:r w:rsidRPr="004D1B93">
              <w:rPr>
                <w:bCs/>
                <w:lang w:eastAsia="ar-SA"/>
              </w:rPr>
              <w:t>odporúčania</w:t>
            </w:r>
            <w:r>
              <w:rPr>
                <w:bCs/>
                <w:lang w:eastAsia="ar-SA"/>
              </w:rPr>
              <w:t>:</w:t>
            </w:r>
          </w:p>
          <w:p w:rsidR="003501A1" w:rsidRDefault="003501A1" w:rsidP="007B71A4">
            <w:pPr>
              <w:rPr>
                <w:b/>
              </w:rPr>
            </w:pPr>
          </w:p>
          <w:p w:rsidR="00CD50B1" w:rsidRPr="004D1B93" w:rsidRDefault="00CD50B1" w:rsidP="00CD50B1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 w:rsidRPr="004D1B93">
              <w:rPr>
                <w:b/>
                <w:bCs/>
                <w:lang w:eastAsia="ar-SA"/>
              </w:rPr>
              <w:t>K analýze vplyvov na rozpočet verejnej správy</w:t>
            </w:r>
          </w:p>
          <w:p w:rsidR="00CD50B1" w:rsidRDefault="00CD50B1" w:rsidP="00CD50B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CD50B1">
              <w:rPr>
                <w:bCs/>
              </w:rPr>
              <w:t>Z predkladaného návrhu vyplýva negatívny vplyv na rozpočet verejnej správy kvantifikovaný vo výške 300 tis. eur súvisiaci so znížením výnosov z výberu mýta pre Národnú diaľničnú spoločnosť, a. s. V doložke vybraných vplyvov v bodoch 9. a 10. je tento vplyv uvedený ako rozpočtovo zabezpečený a zohľadnený vo vládnom návrhu rozpočtu verejnej správy na roky 2017 až 2019. V analýze vplyvov na rozpočet verejnej správy je však v tab. č. 1 uvedený tento vplyv ako rozpočtovo nekrytý. Komisia žiada uvedené zosúladiť tak, aby z materiálu nevyplýval rozpočtovo nekrytý vplyv.</w:t>
            </w:r>
          </w:p>
          <w:p w:rsidR="00CD50B1" w:rsidRDefault="00CD50B1" w:rsidP="00CD50B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CD50B1" w:rsidRDefault="00CD50B1" w:rsidP="00CD50B1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u w:val="single"/>
                <w:lang w:eastAsia="ar-SA"/>
              </w:rPr>
            </w:pPr>
            <w:r w:rsidRPr="004D1B93">
              <w:rPr>
                <w:bCs/>
                <w:u w:val="single"/>
                <w:lang w:eastAsia="ar-SA"/>
              </w:rPr>
              <w:t>Stanovisko MDVRR SR:</w:t>
            </w:r>
          </w:p>
          <w:p w:rsidR="00CD50B1" w:rsidRPr="006465C7" w:rsidRDefault="00CD50B1" w:rsidP="00CD50B1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6465C7">
              <w:rPr>
                <w:bCs/>
                <w:lang w:eastAsia="ar-SA"/>
              </w:rPr>
              <w:t xml:space="preserve">Pripomienka </w:t>
            </w:r>
            <w:r>
              <w:rPr>
                <w:bCs/>
                <w:lang w:eastAsia="ar-SA"/>
              </w:rPr>
              <w:t>je akceptovaná a zapracovaná do materiálu.</w:t>
            </w:r>
          </w:p>
          <w:p w:rsidR="00CD50B1" w:rsidRDefault="00CD50B1" w:rsidP="00CD50B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CD50B1" w:rsidRPr="00CD50B1" w:rsidRDefault="00CD50B1" w:rsidP="00CD50B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CD50B1">
              <w:rPr>
                <w:bCs/>
              </w:rPr>
              <w:t>Stála pracovná komisia na posudzova</w:t>
            </w:r>
            <w:r>
              <w:rPr>
                <w:bCs/>
              </w:rPr>
              <w:t xml:space="preserve">nie vybraných vplyvov vyjadruje </w:t>
            </w:r>
            <w:r w:rsidRPr="00CD50B1">
              <w:rPr>
                <w:b/>
                <w:bCs/>
              </w:rPr>
              <w:t>súhlasné stanovisko s návrhom na dopracovanie</w:t>
            </w:r>
            <w:r>
              <w:rPr>
                <w:bCs/>
              </w:rPr>
              <w:t xml:space="preserve"> </w:t>
            </w:r>
            <w:r w:rsidRPr="00CD50B1">
              <w:rPr>
                <w:bCs/>
              </w:rPr>
              <w:t>s materiálom predloženým na predbežné pripomienkové konanie s odporúčaním na jeho dopracovanie podľa pripomienok</w:t>
            </w:r>
          </w:p>
          <w:p w:rsidR="00CD50B1" w:rsidRPr="004D1B93" w:rsidRDefault="00CD50B1" w:rsidP="007B71A4">
            <w:pPr>
              <w:rPr>
                <w:b/>
              </w:rPr>
            </w:pPr>
          </w:p>
          <w:p w:rsidR="003501A1" w:rsidRPr="004D1B93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4D1B93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4D1B93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00" w:rsidRDefault="00690700" w:rsidP="003501A1">
      <w:r>
        <w:separator/>
      </w:r>
    </w:p>
  </w:endnote>
  <w:endnote w:type="continuationSeparator" w:id="0">
    <w:p w:rsidR="00690700" w:rsidRDefault="0069070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00" w:rsidRDefault="00690700" w:rsidP="003501A1">
      <w:r>
        <w:separator/>
      </w:r>
    </w:p>
  </w:footnote>
  <w:footnote w:type="continuationSeparator" w:id="0">
    <w:p w:rsidR="00690700" w:rsidRDefault="0069070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4591"/>
    <w:rsid w:val="00036A60"/>
    <w:rsid w:val="00064BED"/>
    <w:rsid w:val="00081435"/>
    <w:rsid w:val="000D40AB"/>
    <w:rsid w:val="000F17E4"/>
    <w:rsid w:val="0011693A"/>
    <w:rsid w:val="001505A3"/>
    <w:rsid w:val="00175FD8"/>
    <w:rsid w:val="00193DF0"/>
    <w:rsid w:val="001A1559"/>
    <w:rsid w:val="00235168"/>
    <w:rsid w:val="00247D88"/>
    <w:rsid w:val="00266382"/>
    <w:rsid w:val="00273E59"/>
    <w:rsid w:val="002C6E8F"/>
    <w:rsid w:val="003156FD"/>
    <w:rsid w:val="003501A1"/>
    <w:rsid w:val="00365BB9"/>
    <w:rsid w:val="0037486A"/>
    <w:rsid w:val="00395098"/>
    <w:rsid w:val="004271CF"/>
    <w:rsid w:val="00430CF8"/>
    <w:rsid w:val="0045465B"/>
    <w:rsid w:val="0049546A"/>
    <w:rsid w:val="004C60B8"/>
    <w:rsid w:val="004C794A"/>
    <w:rsid w:val="004D1B93"/>
    <w:rsid w:val="004F6F1F"/>
    <w:rsid w:val="004F7D6F"/>
    <w:rsid w:val="005212B4"/>
    <w:rsid w:val="0056195C"/>
    <w:rsid w:val="00570B48"/>
    <w:rsid w:val="005B7A8D"/>
    <w:rsid w:val="005C609D"/>
    <w:rsid w:val="00601B75"/>
    <w:rsid w:val="006027A1"/>
    <w:rsid w:val="006163A1"/>
    <w:rsid w:val="006465C7"/>
    <w:rsid w:val="00651D70"/>
    <w:rsid w:val="00690700"/>
    <w:rsid w:val="006A37E7"/>
    <w:rsid w:val="006B4E6C"/>
    <w:rsid w:val="006C3B7D"/>
    <w:rsid w:val="00722A7A"/>
    <w:rsid w:val="007937AC"/>
    <w:rsid w:val="008014CF"/>
    <w:rsid w:val="00836B25"/>
    <w:rsid w:val="00874D1D"/>
    <w:rsid w:val="00940C17"/>
    <w:rsid w:val="009548EE"/>
    <w:rsid w:val="009970DF"/>
    <w:rsid w:val="009A4AF7"/>
    <w:rsid w:val="00AC2477"/>
    <w:rsid w:val="00AF0EB3"/>
    <w:rsid w:val="00AF6EA8"/>
    <w:rsid w:val="00B35FE5"/>
    <w:rsid w:val="00B36212"/>
    <w:rsid w:val="00B378DB"/>
    <w:rsid w:val="00B6456B"/>
    <w:rsid w:val="00B65A86"/>
    <w:rsid w:val="00BC063A"/>
    <w:rsid w:val="00BC52A0"/>
    <w:rsid w:val="00C2365E"/>
    <w:rsid w:val="00C7175B"/>
    <w:rsid w:val="00CB3623"/>
    <w:rsid w:val="00CD50B1"/>
    <w:rsid w:val="00CE6EA4"/>
    <w:rsid w:val="00D13B6F"/>
    <w:rsid w:val="00D14540"/>
    <w:rsid w:val="00D21807"/>
    <w:rsid w:val="00D41CD1"/>
    <w:rsid w:val="00D75D35"/>
    <w:rsid w:val="00DC2890"/>
    <w:rsid w:val="00DE2A12"/>
    <w:rsid w:val="00E83853"/>
    <w:rsid w:val="00EB59E3"/>
    <w:rsid w:val="00EF466C"/>
    <w:rsid w:val="00F22831"/>
    <w:rsid w:val="00F405DC"/>
    <w:rsid w:val="00F62771"/>
    <w:rsid w:val="00F85EA2"/>
    <w:rsid w:val="00FA14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8F29BF-A731-4BC9-A823-AF488481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10</cp:revision>
  <dcterms:created xsi:type="dcterms:W3CDTF">2016-10-26T07:53:00Z</dcterms:created>
  <dcterms:modified xsi:type="dcterms:W3CDTF">2016-11-08T12:16:00Z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