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8524D3"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1"/>
                    <w14:checkedState w14:val="2612" w14:font="MS Gothic"/>
                    <w14:uncheckedState w14:val="2610" w14:font="MS Gothic"/>
                  </w14:checkbox>
                </w:sdtPr>
                <w:sdtEndPr/>
                <w:sdtContent>
                  <w:tc>
                    <w:tcPr>
                      <w:tcW w:w="436" w:type="dxa"/>
                    </w:tcPr>
                    <w:p w:rsidR="009F2DFA" w:rsidRPr="00F04CCD" w:rsidRDefault="008524D3"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Pr="00F04CCD" w:rsidRDefault="007B0F77" w:rsidP="00CD4065">
            <w:pPr>
              <w:rPr>
                <w:i/>
              </w:rPr>
            </w:pPr>
            <w:r>
              <w:rPr>
                <w:i/>
              </w:rPr>
              <w:t>Navrhovaná právna úprava sa dotýka veľkých podnikateľských subjektov</w:t>
            </w:r>
            <w:r w:rsidR="00CD4065">
              <w:rPr>
                <w:i/>
              </w:rPr>
              <w:t xml:space="preserve"> </w:t>
            </w:r>
            <w:r>
              <w:rPr>
                <w:i/>
              </w:rPr>
              <w:t xml:space="preserve">činných v oblasti jadrovej energetiky (SK NACE 35.11.0). Predpokladá sa dopad na </w:t>
            </w:r>
            <w:r w:rsidR="000B1504">
              <w:rPr>
                <w:i/>
              </w:rPr>
              <w:t>dva veľké podniky aktívne v Slovenskej republike</w:t>
            </w:r>
            <w:r w:rsidR="00904F61">
              <w:rPr>
                <w:i/>
              </w:rPr>
              <w:t xml:space="preserve"> </w:t>
            </w:r>
            <w:r w:rsidR="00CD4065">
              <w:rPr>
                <w:i/>
              </w:rPr>
              <w:t xml:space="preserve">(Slovenské elektrárne, a. s., </w:t>
            </w:r>
            <w:r w:rsidR="00CD4065" w:rsidRPr="00E96552">
              <w:rPr>
                <w:i/>
              </w:rPr>
              <w:t>Jadrová a vyraďovacia spoločnosť, a. s</w:t>
            </w:r>
            <w:r w:rsidR="00CD4065">
              <w:rPr>
                <w:i/>
              </w:rPr>
              <w:t>.)</w:t>
            </w:r>
            <w:r w:rsidR="000B1504">
              <w:rPr>
                <w:i/>
              </w:rPr>
              <w:t xml:space="preserve">, </w:t>
            </w:r>
            <w:r w:rsidR="000B1504" w:rsidRPr="00CD4065">
              <w:rPr>
                <w:i/>
              </w:rPr>
              <w:t>výhľadovo</w:t>
            </w:r>
            <w:r w:rsidR="00CD4065">
              <w:rPr>
                <w:i/>
              </w:rPr>
              <w:t xml:space="preserve"> (v horizonte približne 10 rokov)</w:t>
            </w:r>
            <w:r w:rsidR="000B1504" w:rsidRPr="00CD4065">
              <w:rPr>
                <w:i/>
              </w:rPr>
              <w:t xml:space="preserve"> sa</w:t>
            </w:r>
            <w:r w:rsidR="0071763B" w:rsidRPr="00CD4065">
              <w:rPr>
                <w:i/>
              </w:rPr>
              <w:t xml:space="preserve"> </w:t>
            </w:r>
            <w:r w:rsidR="000B1504" w:rsidRPr="00CD4065">
              <w:rPr>
                <w:i/>
              </w:rPr>
              <w:t xml:space="preserve">dá </w:t>
            </w:r>
            <w:r w:rsidR="00CD4065">
              <w:rPr>
                <w:i/>
              </w:rPr>
              <w:t xml:space="preserve">potenciálne </w:t>
            </w:r>
            <w:r w:rsidR="000B1504" w:rsidRPr="00CD4065">
              <w:rPr>
                <w:i/>
              </w:rPr>
              <w:t>očakávať dopad na jeden podnik z kategórie MSP</w:t>
            </w:r>
            <w:r w:rsidR="00CD4065">
              <w:rPr>
                <w:i/>
              </w:rPr>
              <w:t xml:space="preserve"> (</w:t>
            </w:r>
            <w:r w:rsidR="00CD4065" w:rsidRPr="00E96552">
              <w:rPr>
                <w:i/>
              </w:rPr>
              <w:t>Jadrová energetická spoločnosť Slovenska, a. s.</w:t>
            </w:r>
            <w:r w:rsidR="00CD4065">
              <w:rPr>
                <w:i/>
              </w:rPr>
              <w:t>)</w:t>
            </w:r>
            <w:r w:rsidR="000B1504" w:rsidRPr="00CD4065">
              <w:rPr>
                <w:i/>
              </w:rPr>
              <w:t xml:space="preserve"> v závislosti od rozhodnutia realizovať projekt nového jadrového zdroja.</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CE3245" w:rsidRPr="00E96552" w:rsidRDefault="00CE3245" w:rsidP="00E96552">
            <w:pPr>
              <w:pStyle w:val="Normlnywebov"/>
              <w:jc w:val="both"/>
              <w:rPr>
                <w:i/>
                <w:sz w:val="20"/>
                <w:szCs w:val="20"/>
                <w:lang w:val="sk-SK"/>
              </w:rPr>
            </w:pPr>
            <w:r w:rsidRPr="00E96552">
              <w:rPr>
                <w:i/>
                <w:sz w:val="20"/>
                <w:szCs w:val="20"/>
                <w:lang w:val="sk-SK"/>
              </w:rPr>
              <w:t>Príprave návrhu zákona, ktorým sa mení a dopĺňa zákon č. 541/2004 Z. z. o mierovom využívaní jadrovej energie (atómový zákon) a o zmene a doplnení niektorých zákonov v znení neskorších predpisov, predchádzal proces prípravy nového zákona o mierovom využívaní jadrovej energie. Nový návrh zákona komplexne upravujúci otázky mierového využívania jadrovej energie v Slovenskej republike mal zabezpečiť transpozíciu smernice Rady 2014/87/Euratom z 8. júla 2014, ktorou sa mení smernica 2009/71/Euratom, ktorou sa zriaďuje rámec Spoločenstva pre jadrovú bezpečnosť jadrových zariadení (ďalej len "smernica 2014/87/Euratom"), vybraných ustanovení smernice Rady 2013/59/Euratom z 5. decembra 2013, ktorou sa stanovujú základné bezpečnostné normy ochrany pred nebezpečenstvami vznikajúcimi v dôsledku ionizujúceho žiarenia, a ktorou sa zrušujú smernice 89/618/Euratom, 90/641/Euratom, 96/29/Euratom, 97/43/Euratom a 2003/122/Euratom (ďalej len "smernica 2013/59/Euratom"), zapracovať ďalšie medzinárodné požiadavky na zaistenie vysokej úrovne jadrovej bezpečnosti jadrových zariadení (napr. požiadavky Medzinárodnej agentúry pre atómovú energiu a WENRA) a požiadavky, ktoré vyplynuli z praxe. K tomuto návrhu začal Úrad jadrového dozoru Slovenskej republiky dňa 4. mája 2016 proces konzultácie s dotknutými podnikateľskými subjektmi a ich zastupiteľskými organizáciami elektronickou formou.</w:t>
            </w:r>
            <w:r w:rsidR="001F4B41">
              <w:rPr>
                <w:i/>
                <w:sz w:val="20"/>
                <w:szCs w:val="20"/>
                <w:lang w:val="sk-SK"/>
              </w:rPr>
              <w:t xml:space="preserve"> Konzultácie boli ukončené dňa 6. júna 2016 po obdržaní stanovísk a pripomienok dotknutých podnikateľských subjektov a ich zastupiteľských organizácií. </w:t>
            </w:r>
          </w:p>
          <w:p w:rsidR="00E96552" w:rsidRPr="00E96552" w:rsidRDefault="00CE3245" w:rsidP="00E96552">
            <w:pPr>
              <w:pStyle w:val="Normlnywebov"/>
              <w:jc w:val="both"/>
              <w:rPr>
                <w:i/>
                <w:sz w:val="20"/>
                <w:szCs w:val="20"/>
                <w:lang w:val="sk-SK"/>
              </w:rPr>
            </w:pPr>
            <w:r w:rsidRPr="00E96552">
              <w:rPr>
                <w:i/>
                <w:sz w:val="20"/>
                <w:szCs w:val="20"/>
                <w:lang w:val="sk-SK"/>
              </w:rPr>
              <w:t>Vzhľadom na komplexnosť a zložitosť pripravovanej novej právnej úpravy mierového využívania jadrovej energie pristúpil predkladateľ z dôvodu zabezpečenia včasnej transpozície vybraných ustanovení smernice 2013/59/Euratom a smernice 2014/87/Euratom k rozhodnutiu vykonať túto transpozíciu samostatným právnym predpisom, ktorý novelizuje v súčasnosti platný a účinný zákon č. 541/2004 Z. z. o mierovom využívaní jadrovej energie (atómový zákon) a o zmene a doplnení niektorých zákonov v znení neskorších predpisov. Keďže transpozícia vybraných ustanovení smernice 2013/59/Euratom a smernice 2014/87/Euratom bola zahrnutá (a osobitne identifikovaná) už v návrhu zaslanom do procesu konzultácií dňa</w:t>
            </w:r>
            <w:r w:rsidR="00E96552" w:rsidRPr="00E96552">
              <w:rPr>
                <w:i/>
                <w:sz w:val="20"/>
                <w:szCs w:val="20"/>
                <w:lang w:val="sk-SK"/>
              </w:rPr>
              <w:t xml:space="preserve"> 4. mája 2016 a p</w:t>
            </w:r>
            <w:r w:rsidRPr="00E96552">
              <w:rPr>
                <w:i/>
                <w:sz w:val="20"/>
                <w:szCs w:val="20"/>
                <w:lang w:val="sk-SK"/>
              </w:rPr>
              <w:t>redkladaná novela z tohto návrhu vychádza, má predkladateľ za to, že návrh zákona, ktorým sa mení a dopĺňa zákon č. 541/2004 Z. z. o mierovom využívaní jadrovej energie (atómový zákon) a o zmene a doplnení niektorých zákonov v znení neskorších predpisov, bol predmetom konzultácie s dotknutými podnikateľskými subjektmi a ich z</w:t>
            </w:r>
            <w:r w:rsidR="00E96552" w:rsidRPr="00E96552">
              <w:rPr>
                <w:i/>
                <w:sz w:val="20"/>
                <w:szCs w:val="20"/>
                <w:lang w:val="sk-SK"/>
              </w:rPr>
              <w:t xml:space="preserve">astupiteľskými organizáciami, </w:t>
            </w:r>
            <w:r w:rsidRPr="00E96552">
              <w:rPr>
                <w:i/>
                <w:sz w:val="20"/>
                <w:szCs w:val="20"/>
                <w:lang w:val="sk-SK"/>
              </w:rPr>
              <w:t>a to v dňoch 4. mája až 5. júna 2016.</w:t>
            </w:r>
            <w:r w:rsidR="00E96552" w:rsidRPr="00E96552">
              <w:rPr>
                <w:i/>
                <w:sz w:val="20"/>
                <w:szCs w:val="20"/>
                <w:lang w:val="sk-SK"/>
              </w:rPr>
              <w:t xml:space="preserve"> </w:t>
            </w:r>
          </w:p>
          <w:p w:rsidR="00CE3245" w:rsidRPr="00E96552" w:rsidRDefault="00E96552" w:rsidP="00E96552">
            <w:pPr>
              <w:pStyle w:val="Normlnywebov"/>
              <w:jc w:val="both"/>
              <w:rPr>
                <w:i/>
                <w:sz w:val="20"/>
                <w:szCs w:val="20"/>
                <w:lang w:val="sk-SK"/>
              </w:rPr>
            </w:pPr>
            <w:r w:rsidRPr="00E96552">
              <w:rPr>
                <w:i/>
                <w:sz w:val="20"/>
                <w:szCs w:val="20"/>
                <w:lang w:val="sk-SK"/>
              </w:rPr>
              <w:t xml:space="preserve">Dňa 22. augusta 2016 sa za účasti predstaviteľov významných držiteľov povolenia podľa </w:t>
            </w:r>
            <w:r w:rsidR="001F4B41">
              <w:rPr>
                <w:i/>
                <w:sz w:val="20"/>
                <w:szCs w:val="20"/>
                <w:lang w:val="sk-SK"/>
              </w:rPr>
              <w:t>z</w:t>
            </w:r>
            <w:r w:rsidR="001F4B41" w:rsidRPr="00E96552">
              <w:rPr>
                <w:i/>
                <w:sz w:val="20"/>
                <w:szCs w:val="20"/>
                <w:lang w:val="sk-SK"/>
              </w:rPr>
              <w:t>ákon</w:t>
            </w:r>
            <w:r w:rsidR="001F4B41">
              <w:rPr>
                <w:i/>
                <w:sz w:val="20"/>
                <w:szCs w:val="20"/>
                <w:lang w:val="sk-SK"/>
              </w:rPr>
              <w:t>a</w:t>
            </w:r>
            <w:r w:rsidR="001F4B41" w:rsidRPr="00E96552">
              <w:rPr>
                <w:i/>
                <w:sz w:val="20"/>
                <w:szCs w:val="20"/>
                <w:lang w:val="sk-SK"/>
              </w:rPr>
              <w:t xml:space="preserve"> č. 541/2004 Z. z. o mierovom využívaní jadrovej energie (atómový zákon) a o zmene a doplnení niektorých zákonov v znení neskorších predpisov </w:t>
            </w:r>
            <w:r w:rsidRPr="00E96552">
              <w:rPr>
                <w:i/>
                <w:sz w:val="20"/>
                <w:szCs w:val="20"/>
                <w:lang w:val="sk-SK"/>
              </w:rPr>
              <w:t>(</w:t>
            </w:r>
            <w:r w:rsidR="001F4B41">
              <w:rPr>
                <w:i/>
                <w:sz w:val="20"/>
                <w:szCs w:val="20"/>
                <w:lang w:val="sk-SK"/>
              </w:rPr>
              <w:t xml:space="preserve">menovite </w:t>
            </w:r>
            <w:r w:rsidRPr="00E96552">
              <w:rPr>
                <w:i/>
                <w:sz w:val="20"/>
                <w:szCs w:val="20"/>
                <w:lang w:val="sk-SK"/>
              </w:rPr>
              <w:t>Slovenské elektrárne, a. s., Jadrová a vyraďovacia spoločnosť, a. s., Jadrová energetická spoločnosť Slovenska, a. s., VUJE, a. s.) konalo na Úrade jadrovéh</w:t>
            </w:r>
            <w:r w:rsidR="001F4B41">
              <w:rPr>
                <w:i/>
                <w:sz w:val="20"/>
                <w:szCs w:val="20"/>
                <w:lang w:val="sk-SK"/>
              </w:rPr>
              <w:t>o dozoru Slovenskej republiky te</w:t>
            </w:r>
            <w:r w:rsidRPr="00E96552">
              <w:rPr>
                <w:i/>
                <w:sz w:val="20"/>
                <w:szCs w:val="20"/>
                <w:lang w:val="sk-SK"/>
              </w:rPr>
              <w:t xml:space="preserve">matické rokovanie k návrhu zákona, </w:t>
            </w:r>
            <w:r w:rsidR="001F4B41" w:rsidRPr="00E96552">
              <w:rPr>
                <w:i/>
                <w:sz w:val="20"/>
                <w:szCs w:val="20"/>
                <w:lang w:val="sk-SK"/>
              </w:rPr>
              <w:t>ktorým sa mení a dopĺňa zákon č. 541/2004 Z. z. o mierovom využívaní jadrovej energie (atómový zákon) a o zmene a doplnení niektorých zákonov v znení neskorších predpisov</w:t>
            </w:r>
            <w:r w:rsidRPr="00E96552">
              <w:rPr>
                <w:i/>
                <w:sz w:val="20"/>
                <w:szCs w:val="20"/>
                <w:lang w:val="sk-SK"/>
              </w:rPr>
              <w:t>. Podkladové materiály boli účastníkom rokovania zo strany predkladateľa zaslané</w:t>
            </w:r>
            <w:r w:rsidR="001F4B41">
              <w:rPr>
                <w:i/>
                <w:sz w:val="20"/>
                <w:szCs w:val="20"/>
                <w:lang w:val="sk-SK"/>
              </w:rPr>
              <w:t xml:space="preserve"> na oboznámenie sa </w:t>
            </w:r>
            <w:r w:rsidR="001F4B41">
              <w:rPr>
                <w:i/>
                <w:sz w:val="20"/>
                <w:szCs w:val="20"/>
                <w:lang w:val="sk-SK"/>
              </w:rPr>
              <w:lastRenderedPageBreak/>
              <w:t>s navrhovanou právnou úpravou dňa 15. augusta 2016</w:t>
            </w:r>
            <w:r w:rsidRPr="00E96552">
              <w:rPr>
                <w:i/>
                <w:sz w:val="20"/>
                <w:szCs w:val="20"/>
                <w:lang w:val="sk-SK"/>
              </w:rPr>
              <w:t xml:space="preserve">. Subjekty zúčastnené na predmetnom rokovaní boli oboznámené so zámermi a pohnútkami predkladateľa pri vypracovávaní legislatívneho materiálu a následne si vzájomne vyjasnili stanoviská k jednotlivým ustanoveniam predkladaného materiálu. </w:t>
            </w:r>
          </w:p>
          <w:p w:rsidR="00CE3245" w:rsidRPr="00E96552" w:rsidRDefault="00CE3245" w:rsidP="00E96552">
            <w:pPr>
              <w:jc w:val="both"/>
              <w:rPr>
                <w:i/>
                <w:lang w:val="en-US"/>
              </w:rPr>
            </w:pPr>
            <w:r w:rsidRPr="00E96552">
              <w:rPr>
                <w:i/>
              </w:rPr>
              <w:t>Predbežná informácia o príprave oboch návrhov zákonov podľa § 9 zákona č. 400/2015 Z. z. o tvorbe právnych predpisov a o Zbierke zákonov Slovenskej republiky a o zmene a doplnení niektorých zákonov bola v portáli Slov-lex zverejnená dňa 17. júna 2016 (k zamýšľanému novému zákonu o mierovom využívaní jadrovej energie) a dňa 25. júla 2016 (k návrhu zákona, ktorým sa mení a dopĺňa zákon č. 541/2004 Z. z. o mierovom využívaní jadrovej energie (atómový zákon) a o zmene a doplnení niektorých zákonov v znení neskorších predpisov).</w:t>
            </w:r>
          </w:p>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lastRenderedPageBreak/>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95177D" w:rsidRDefault="00777A00" w:rsidP="007B71A4">
            <w:pPr>
              <w:rPr>
                <w:i/>
              </w:rPr>
            </w:pPr>
            <w:r w:rsidRPr="0095177D">
              <w:rPr>
                <w:i/>
              </w:rPr>
              <w:t xml:space="preserve">Predkladaný návrh zákona nezvyšuje ani neznižuje priame finančné náklady regulácie. </w:t>
            </w:r>
          </w:p>
          <w:p w:rsidR="009F2DFA" w:rsidRPr="0095177D" w:rsidRDefault="009F2DFA" w:rsidP="007B71A4">
            <w:pPr>
              <w:rPr>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95177D" w:rsidRDefault="00777A00" w:rsidP="0071763B">
            <w:pPr>
              <w:jc w:val="both"/>
              <w:rPr>
                <w:i/>
              </w:rPr>
            </w:pPr>
            <w:r w:rsidRPr="0095177D">
              <w:rPr>
                <w:i/>
              </w:rPr>
              <w:t xml:space="preserve">Predkladateľ nepredpokladá dodatočné náklady na nákup tovarov alebo služieb, ani zvýšenie nákladov súvisiacich so zamestnávaním. Transpozičné ustanovenia predkladaného návrhu zákona len bližšie špecifikujú existujúce povinnosti, ktoré by sa podľa znalosti predkladateľa už v súčasnosti mali uplatňovať v praxi. Vzhľadom na špecifickosť a komplexnosť sektora jadrovej energetiky </w:t>
            </w:r>
            <w:r w:rsidR="007B7934" w:rsidRPr="0095177D">
              <w:rPr>
                <w:i/>
              </w:rPr>
              <w:t>však</w:t>
            </w:r>
            <w:r w:rsidR="00DE47D4" w:rsidRPr="0095177D">
              <w:rPr>
                <w:i/>
              </w:rPr>
              <w:t xml:space="preserve"> </w:t>
            </w:r>
            <w:r w:rsidR="0071763B" w:rsidRPr="0095177D">
              <w:rPr>
                <w:i/>
              </w:rPr>
              <w:t xml:space="preserve">identifikácia a </w:t>
            </w:r>
            <w:r w:rsidR="00DE47D4" w:rsidRPr="0095177D">
              <w:rPr>
                <w:i/>
              </w:rPr>
              <w:t>bližšia</w:t>
            </w:r>
            <w:r w:rsidR="007B7934" w:rsidRPr="0095177D">
              <w:rPr>
                <w:i/>
              </w:rPr>
              <w:t xml:space="preserve"> kvantifikácia nepriamych finančných nákladov nie je v možnostiach predkladateľa.</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004424" w:rsidRPr="0095177D" w:rsidRDefault="00004424" w:rsidP="00004424">
            <w:pPr>
              <w:jc w:val="both"/>
              <w:rPr>
                <w:rFonts w:ascii="Times" w:hAnsi="Times" w:cs="Times"/>
                <w:i/>
              </w:rPr>
            </w:pPr>
            <w:r w:rsidRPr="0095177D">
              <w:rPr>
                <w:i/>
              </w:rPr>
              <w:t xml:space="preserve">Predkladaný návrh zákona ukladá vybraným držiteľom povolenia podľa zákona č. 541/2004 Z. z. o mierovom využívaní jadrovej energie (atómový zákon) a o zmene a doplnení niektorých zákonov v znení neskorších predpisov prevádzkujúcim jadrové zariadenia podľa tohto zákona povinnosť vykonať </w:t>
            </w:r>
            <w:r w:rsidRPr="0095177D">
              <w:rPr>
                <w:rFonts w:ascii="Times" w:hAnsi="Times" w:cs="Times"/>
                <w:i/>
              </w:rPr>
              <w:t>špecificky tematicky zamerané hodnotenie jadrovej bezpečnosti jadrových zariadení raz za šesť rokov s prvým hodnotením vykonaným v roku 2017. Pre vyčíslenie predpokladaných administratívnych nákladov spojených s touto povinnosťou použil predkladateľ odporúčanú metódu štandardného nákladového modelu (SCM) s využitím expertného odhadu trvania povinnosti vychádzajúceho z údajov indikovaných v legislatívnom procese zo strany potenciálne dotknutých podnikateľských subjektov a zo svojich vlastných skúseností, poznatkov a odhadov.</w:t>
            </w:r>
          </w:p>
          <w:p w:rsidR="00004424" w:rsidRPr="0095177D" w:rsidRDefault="00004424" w:rsidP="00004424">
            <w:pPr>
              <w:jc w:val="both"/>
              <w:rPr>
                <w:rFonts w:ascii="Times" w:hAnsi="Times" w:cs="Times"/>
                <w:i/>
              </w:rPr>
            </w:pPr>
          </w:p>
          <w:p w:rsidR="00004424" w:rsidRPr="0095177D" w:rsidRDefault="00004424" w:rsidP="00004424">
            <w:pPr>
              <w:jc w:val="both"/>
              <w:rPr>
                <w:rFonts w:ascii="Times" w:hAnsi="Times" w:cs="Times"/>
                <w:i/>
              </w:rPr>
            </w:pPr>
            <w:r w:rsidRPr="0095177D">
              <w:rPr>
                <w:rFonts w:ascii="Times" w:hAnsi="Times" w:cs="Times"/>
                <w:i/>
              </w:rPr>
              <w:t>Navrhovaná právna úprava by mala mať dopad na celkovo dva podnikateľské subjekty (Slovenské elektrárne, a. s., Jadrová a vyraďovacia spoločnosť, a. s.). Vzhľadom na rozdielnu povahu, zložitosť a početnosť jadrových zariadení vo vlastníctve týchto podnikateľských subjektov očakáva predkladateľ rozdielnu časovú a personálnu náročnosť spracovania požadovaných hodnotiacich správ u týchto podnikateľov. Predkladateľ predpokladá, že navrhovaná právna úprava vyvolá u dotknutých subjektov nasledovné ročné administratívne náklady:</w:t>
            </w:r>
          </w:p>
          <w:p w:rsidR="00004424" w:rsidRPr="0095177D" w:rsidRDefault="00004424" w:rsidP="00004424">
            <w:pPr>
              <w:jc w:val="both"/>
              <w:rPr>
                <w:rFonts w:ascii="Times" w:hAnsi="Times" w:cs="Times"/>
                <w:i/>
              </w:rPr>
            </w:pPr>
          </w:p>
          <w:p w:rsidR="00004424" w:rsidRPr="0095177D" w:rsidRDefault="00004424" w:rsidP="00004424">
            <w:pPr>
              <w:jc w:val="both"/>
              <w:rPr>
                <w:rFonts w:ascii="Times" w:hAnsi="Times" w:cs="Times"/>
                <w:i/>
              </w:rPr>
            </w:pPr>
            <w:r w:rsidRPr="0095177D">
              <w:rPr>
                <w:rFonts w:ascii="Times" w:hAnsi="Times" w:cs="Times"/>
                <w:i/>
              </w:rPr>
              <w:t>Slovenské elektrárne, a. s.:</w:t>
            </w:r>
          </w:p>
          <w:p w:rsidR="00004424" w:rsidRPr="0095177D" w:rsidRDefault="00004424" w:rsidP="00004424">
            <w:pPr>
              <w:jc w:val="both"/>
              <w:rPr>
                <w:rFonts w:ascii="Times" w:hAnsi="Times" w:cs="Times"/>
                <w:i/>
              </w:rPr>
            </w:pPr>
            <w:r w:rsidRPr="0095177D">
              <w:rPr>
                <w:rFonts w:ascii="Times" w:hAnsi="Times" w:cs="Times"/>
                <w:i/>
              </w:rPr>
              <w:t>- expertný odhad trvania povinnosti spracovať požadovanú správu: 76 800 min. = 1 280 hod. (výpočet zahŕňa prácu 1 interného zamestnanca a 3 externých expertov po dobu 2 mesiacov)</w:t>
            </w:r>
          </w:p>
          <w:p w:rsidR="00004424" w:rsidRPr="0095177D" w:rsidRDefault="00004424" w:rsidP="00004424">
            <w:pPr>
              <w:jc w:val="both"/>
              <w:rPr>
                <w:rFonts w:ascii="Times" w:hAnsi="Times" w:cs="Times"/>
                <w:i/>
              </w:rPr>
            </w:pPr>
            <w:r w:rsidRPr="0095177D">
              <w:rPr>
                <w:rFonts w:ascii="Times" w:hAnsi="Times" w:cs="Times"/>
                <w:i/>
              </w:rPr>
              <w:t>- ročné finančné náklady na splnenie povinnosti: 84 800 eur x 0,167 (koeficient frekvencie) = 14 161,60 eur</w:t>
            </w:r>
          </w:p>
          <w:p w:rsidR="00004424" w:rsidRPr="0095177D" w:rsidRDefault="00004424" w:rsidP="00004424">
            <w:pPr>
              <w:jc w:val="both"/>
              <w:rPr>
                <w:rFonts w:ascii="Times" w:hAnsi="Times" w:cs="Times"/>
                <w:i/>
              </w:rPr>
            </w:pPr>
            <w:r w:rsidRPr="0095177D">
              <w:rPr>
                <w:rFonts w:ascii="Times" w:hAnsi="Times" w:cs="Times"/>
                <w:i/>
              </w:rPr>
              <w:t xml:space="preserve">    - z toho: náklady na prácu 1 interného zamestnanca s tarifou 25 eur/hod. raz za 6 rokov: 320 hod. x 25 =       </w:t>
            </w:r>
          </w:p>
          <w:p w:rsidR="00004424" w:rsidRPr="0095177D" w:rsidRDefault="00004424" w:rsidP="00004424">
            <w:pPr>
              <w:jc w:val="both"/>
              <w:rPr>
                <w:rFonts w:ascii="Times" w:hAnsi="Times" w:cs="Times"/>
                <w:i/>
              </w:rPr>
            </w:pPr>
            <w:r w:rsidRPr="0095177D">
              <w:rPr>
                <w:rFonts w:ascii="Times" w:hAnsi="Times" w:cs="Times"/>
                <w:i/>
              </w:rPr>
              <w:t xml:space="preserve">                  </w:t>
            </w:r>
            <w:bookmarkStart w:id="0" w:name="_GoBack"/>
            <w:bookmarkEnd w:id="0"/>
            <w:r w:rsidRPr="0095177D">
              <w:rPr>
                <w:rFonts w:ascii="Times" w:hAnsi="Times" w:cs="Times"/>
                <w:i/>
              </w:rPr>
              <w:t>8 000 eur</w:t>
            </w:r>
          </w:p>
          <w:p w:rsidR="00004424" w:rsidRPr="0095177D" w:rsidRDefault="0095177D" w:rsidP="00004424">
            <w:pPr>
              <w:jc w:val="both"/>
              <w:rPr>
                <w:rFonts w:ascii="Times" w:hAnsi="Times" w:cs="Times"/>
                <w:i/>
              </w:rPr>
            </w:pPr>
            <w:r>
              <w:rPr>
                <w:rFonts w:ascii="Times" w:hAnsi="Times" w:cs="Times"/>
                <w:i/>
              </w:rPr>
              <w:t xml:space="preserve">                 </w:t>
            </w:r>
            <w:r w:rsidR="00004424" w:rsidRPr="0095177D">
              <w:rPr>
                <w:rFonts w:ascii="Times" w:hAnsi="Times" w:cs="Times"/>
                <w:i/>
              </w:rPr>
              <w:t xml:space="preserve"> náklady na prácu 3 externých expertov s tarifou 80 eur/hod. raz za 6 rokov: 960 hod. x 80 = </w:t>
            </w:r>
          </w:p>
          <w:p w:rsidR="00004424" w:rsidRPr="0095177D" w:rsidRDefault="0095177D" w:rsidP="00004424">
            <w:pPr>
              <w:jc w:val="both"/>
              <w:rPr>
                <w:rFonts w:ascii="Times" w:hAnsi="Times" w:cs="Times"/>
                <w:i/>
              </w:rPr>
            </w:pPr>
            <w:r>
              <w:rPr>
                <w:rFonts w:ascii="Times" w:hAnsi="Times" w:cs="Times"/>
                <w:i/>
              </w:rPr>
              <w:t xml:space="preserve">                  </w:t>
            </w:r>
            <w:r w:rsidR="00004424" w:rsidRPr="0095177D">
              <w:rPr>
                <w:rFonts w:ascii="Times" w:hAnsi="Times" w:cs="Times"/>
                <w:i/>
              </w:rPr>
              <w:t>76 800 eur</w:t>
            </w:r>
          </w:p>
          <w:p w:rsidR="00004424" w:rsidRPr="0095177D" w:rsidRDefault="00004424" w:rsidP="00004424">
            <w:pPr>
              <w:jc w:val="both"/>
              <w:rPr>
                <w:rFonts w:ascii="Times" w:hAnsi="Times" w:cs="Times"/>
                <w:i/>
              </w:rPr>
            </w:pPr>
          </w:p>
          <w:p w:rsidR="00004424" w:rsidRPr="0095177D" w:rsidRDefault="00004424" w:rsidP="00004424">
            <w:pPr>
              <w:jc w:val="both"/>
              <w:rPr>
                <w:rFonts w:ascii="Times" w:hAnsi="Times" w:cs="Times"/>
                <w:i/>
              </w:rPr>
            </w:pPr>
            <w:r w:rsidRPr="0095177D">
              <w:rPr>
                <w:rFonts w:ascii="Times" w:hAnsi="Times" w:cs="Times"/>
                <w:i/>
              </w:rPr>
              <w:t>Jadrová a vyraďovacia spoločnosť, a. s.:</w:t>
            </w:r>
          </w:p>
          <w:p w:rsidR="00004424" w:rsidRPr="0095177D" w:rsidRDefault="00004424" w:rsidP="00004424">
            <w:pPr>
              <w:jc w:val="both"/>
              <w:rPr>
                <w:rFonts w:ascii="Times" w:hAnsi="Times" w:cs="Times"/>
                <w:i/>
              </w:rPr>
            </w:pPr>
            <w:r w:rsidRPr="0095177D">
              <w:rPr>
                <w:rFonts w:ascii="Times" w:hAnsi="Times" w:cs="Times"/>
                <w:i/>
              </w:rPr>
              <w:t>- expertný odhad trvania povinnosti spracovať požadovanú správu: 57 600 min. = 960 hod. (výpočet zahŕňa prácu 1 interného zamestnanca a 2 externých expertov po dobu 2 mesiacov)</w:t>
            </w:r>
          </w:p>
          <w:p w:rsidR="00004424" w:rsidRPr="0095177D" w:rsidRDefault="00004424" w:rsidP="00004424">
            <w:pPr>
              <w:jc w:val="both"/>
              <w:rPr>
                <w:rFonts w:ascii="Times" w:hAnsi="Times" w:cs="Times"/>
                <w:i/>
              </w:rPr>
            </w:pPr>
            <w:r w:rsidRPr="0095177D">
              <w:rPr>
                <w:rFonts w:ascii="Times" w:hAnsi="Times" w:cs="Times"/>
                <w:i/>
              </w:rPr>
              <w:t>- finančné náklady na splnenie povinnosti: 59 200 eur x 0,167 (koeficient frekvencie) = 9 886,40 eur</w:t>
            </w:r>
          </w:p>
          <w:p w:rsidR="00004424" w:rsidRPr="0095177D" w:rsidRDefault="00004424" w:rsidP="00004424">
            <w:pPr>
              <w:jc w:val="both"/>
              <w:rPr>
                <w:rFonts w:ascii="Times" w:hAnsi="Times" w:cs="Times"/>
                <w:i/>
              </w:rPr>
            </w:pPr>
            <w:r w:rsidRPr="0095177D">
              <w:rPr>
                <w:rFonts w:ascii="Times" w:hAnsi="Times" w:cs="Times"/>
                <w:i/>
              </w:rPr>
              <w:t xml:space="preserve">      - z toho: náklady na prácu 1 interného zamestnanca s tarifou 25 eur/hod. raz za 6 rokov: 320 hod. x 25  = </w:t>
            </w:r>
          </w:p>
          <w:p w:rsidR="00004424" w:rsidRPr="0095177D" w:rsidRDefault="00004424" w:rsidP="00004424">
            <w:pPr>
              <w:jc w:val="both"/>
              <w:rPr>
                <w:rFonts w:ascii="Times" w:hAnsi="Times" w:cs="Times"/>
                <w:i/>
              </w:rPr>
            </w:pPr>
            <w:r w:rsidRPr="0095177D">
              <w:rPr>
                <w:rFonts w:ascii="Times" w:hAnsi="Times" w:cs="Times"/>
                <w:i/>
              </w:rPr>
              <w:t xml:space="preserve">                    8 000 eur</w:t>
            </w:r>
          </w:p>
          <w:p w:rsidR="00004424" w:rsidRPr="0095177D" w:rsidRDefault="00004424" w:rsidP="00004424">
            <w:pPr>
              <w:jc w:val="both"/>
              <w:rPr>
                <w:rFonts w:ascii="Times" w:hAnsi="Times" w:cs="Times"/>
                <w:i/>
              </w:rPr>
            </w:pPr>
            <w:r w:rsidRPr="0095177D">
              <w:rPr>
                <w:rFonts w:ascii="Times" w:hAnsi="Times" w:cs="Times"/>
                <w:i/>
              </w:rPr>
              <w:t xml:space="preserve">                   náklady na prácu 2 externých expertov s tarifou 80 eur/hod. raz za 6 rokov: 640 hod. x 80 =       </w:t>
            </w:r>
          </w:p>
          <w:p w:rsidR="00004424" w:rsidRPr="0095177D" w:rsidRDefault="00004424" w:rsidP="00004424">
            <w:pPr>
              <w:jc w:val="both"/>
              <w:rPr>
                <w:rFonts w:ascii="Times" w:hAnsi="Times" w:cs="Times"/>
                <w:i/>
              </w:rPr>
            </w:pPr>
            <w:r w:rsidRPr="0095177D">
              <w:rPr>
                <w:rFonts w:ascii="Times" w:hAnsi="Times" w:cs="Times"/>
                <w:i/>
              </w:rPr>
              <w:t xml:space="preserve">                   51 200 eur</w:t>
            </w:r>
          </w:p>
          <w:p w:rsidR="00004424" w:rsidRPr="0095177D" w:rsidRDefault="00004424" w:rsidP="00004424">
            <w:pPr>
              <w:jc w:val="both"/>
              <w:rPr>
                <w:i/>
              </w:rPr>
            </w:pPr>
          </w:p>
          <w:p w:rsidR="009F2DFA" w:rsidRPr="0095177D" w:rsidRDefault="00004424" w:rsidP="00004424">
            <w:pPr>
              <w:jc w:val="both"/>
              <w:rPr>
                <w:i/>
              </w:rPr>
            </w:pPr>
            <w:r w:rsidRPr="0095177D">
              <w:rPr>
                <w:i/>
              </w:rPr>
              <w:t>Predkladateľ odhaduje ročné náklady regulácie na celé podnikateľské prostredie vo výške 24 048 eur, v priemere na 1 podnikateľský subjekt 12 024 eur.</w:t>
            </w: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004424" w:rsidP="007B71A4">
                  <w:pPr>
                    <w:jc w:val="center"/>
                    <w:rPr>
                      <w:i/>
                    </w:rPr>
                  </w:pPr>
                  <w:r>
                    <w:rPr>
                      <w:i/>
                    </w:rPr>
                    <w:t>12 024</w:t>
                  </w:r>
                  <w:r w:rsidR="00DE47D4">
                    <w:rPr>
                      <w:i/>
                    </w:rPr>
                    <w:t xml:space="preserve"> EUR</w:t>
                  </w:r>
                </w:p>
              </w:tc>
              <w:tc>
                <w:tcPr>
                  <w:tcW w:w="2994" w:type="dxa"/>
                </w:tcPr>
                <w:p w:rsidR="009F2DFA" w:rsidRPr="00F04CCD" w:rsidRDefault="00004424" w:rsidP="007B71A4">
                  <w:pPr>
                    <w:jc w:val="center"/>
                    <w:rPr>
                      <w:i/>
                    </w:rPr>
                  </w:pPr>
                  <w:r>
                    <w:rPr>
                      <w:i/>
                    </w:rPr>
                    <w:t>24 048</w:t>
                  </w:r>
                  <w:r w:rsidR="00DE47D4">
                    <w:rPr>
                      <w:i/>
                    </w:rPr>
                    <w:t xml:space="preserve"> EUR</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004424" w:rsidP="005A7C58">
                  <w:pPr>
                    <w:jc w:val="center"/>
                    <w:rPr>
                      <w:b/>
                      <w:i/>
                    </w:rPr>
                  </w:pPr>
                  <w:r>
                    <w:rPr>
                      <w:b/>
                      <w:i/>
                    </w:rPr>
                    <w:t>12 024</w:t>
                  </w:r>
                  <w:r w:rsidR="005A7C58">
                    <w:rPr>
                      <w:b/>
                      <w:i/>
                    </w:rPr>
                    <w:t xml:space="preserve"> </w:t>
                  </w:r>
                  <w:r w:rsidR="00DE47D4">
                    <w:rPr>
                      <w:b/>
                      <w:i/>
                    </w:rPr>
                    <w:t>EUR</w:t>
                  </w:r>
                </w:p>
              </w:tc>
              <w:tc>
                <w:tcPr>
                  <w:tcW w:w="2994" w:type="dxa"/>
                </w:tcPr>
                <w:p w:rsidR="009F2DFA" w:rsidRPr="00F04CCD" w:rsidRDefault="00004424" w:rsidP="007B71A4">
                  <w:pPr>
                    <w:jc w:val="center"/>
                    <w:rPr>
                      <w:b/>
                      <w:i/>
                    </w:rPr>
                  </w:pPr>
                  <w:r>
                    <w:rPr>
                      <w:b/>
                      <w:i/>
                    </w:rPr>
                    <w:t>24 048</w:t>
                  </w:r>
                  <w:r w:rsidR="00DE47D4">
                    <w:rPr>
                      <w:b/>
                      <w:i/>
                    </w:rPr>
                    <w:t xml:space="preserve"> EUR</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DE47D4" w:rsidP="007B71A4">
            <w:pPr>
              <w:rPr>
                <w:i/>
              </w:rPr>
            </w:pPr>
            <w:r>
              <w:rPr>
                <w:i/>
              </w:rPr>
              <w:t>Vzhľadom na charakter sektora jadrovej energetiky predkladateľ nepredpokladá dopady navrhovanej právnej úpravy na konkurencieschopnosť v tomto odvetví národného hospodárstva, ani významné dopady na správanie sa podnikov na trhu.</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DE47D4" w:rsidP="0071763B">
            <w:pPr>
              <w:jc w:val="both"/>
              <w:rPr>
                <w:i/>
              </w:rPr>
            </w:pPr>
            <w:r>
              <w:rPr>
                <w:i/>
              </w:rPr>
              <w:t xml:space="preserve">Predkladateľ predpokladá, že predkladaný návrh zákona môže pozitívnym spôsobom stimulovať dotknuté subjekty pri zavádzaní inovácií súvisiacich so sústavným zvyšovaním úrovne jadrovej bezpečnosti jadrových zariadení v Slovenskej republike. Vzhľadom na špecifickosť a komplexnosť posudzovaného </w:t>
            </w:r>
            <w:r w:rsidR="008237C4">
              <w:rPr>
                <w:i/>
              </w:rPr>
              <w:t xml:space="preserve">tohto </w:t>
            </w:r>
            <w:r>
              <w:rPr>
                <w:i/>
              </w:rPr>
              <w:t xml:space="preserve">sektora národného hospodárstva </w:t>
            </w:r>
            <w:r w:rsidR="0071763B">
              <w:rPr>
                <w:i/>
              </w:rPr>
              <w:t xml:space="preserve">ale </w:t>
            </w:r>
            <w:r>
              <w:rPr>
                <w:i/>
              </w:rPr>
              <w:t>predkladateľ nedokáže bližšie odhadnúť konkrétne dopady navrhovanej právnej úpravy na zavádzanie inovácií do praxe.</w:t>
            </w:r>
          </w:p>
        </w:tc>
      </w:tr>
    </w:tbl>
    <w:p w:rsidR="009F2DFA" w:rsidRPr="00FF3754" w:rsidRDefault="00FF3754" w:rsidP="00FF3754">
      <w:pPr>
        <w:rPr>
          <w:b/>
          <w:sz w:val="24"/>
        </w:rPr>
      </w:pPr>
      <w:r>
        <w:rPr>
          <w:sz w:val="24"/>
        </w:rPr>
        <w:tab/>
      </w:r>
    </w:p>
    <w:sectPr w:rsidR="009F2DFA" w:rsidRPr="00FF37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CF" w:rsidRDefault="00AE51CF" w:rsidP="009F2DFA">
      <w:r>
        <w:separator/>
      </w:r>
    </w:p>
  </w:endnote>
  <w:endnote w:type="continuationSeparator" w:id="0">
    <w:p w:rsidR="00AE51CF" w:rsidRDefault="00AE51C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AE51CF">
          <w:rPr>
            <w:noProof/>
          </w:rPr>
          <w:t>1</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CF" w:rsidRDefault="00AE51CF" w:rsidP="009F2DFA">
      <w:r>
        <w:separator/>
      </w:r>
    </w:p>
  </w:footnote>
  <w:footnote w:type="continuationSeparator" w:id="0">
    <w:p w:rsidR="00AE51CF" w:rsidRDefault="00AE51CF"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4424"/>
    <w:rsid w:val="000B1504"/>
    <w:rsid w:val="00154881"/>
    <w:rsid w:val="001F4B41"/>
    <w:rsid w:val="00251ECE"/>
    <w:rsid w:val="00263871"/>
    <w:rsid w:val="002B1108"/>
    <w:rsid w:val="00435185"/>
    <w:rsid w:val="0052297F"/>
    <w:rsid w:val="005A7C58"/>
    <w:rsid w:val="006662F5"/>
    <w:rsid w:val="00706120"/>
    <w:rsid w:val="0071763B"/>
    <w:rsid w:val="00777A00"/>
    <w:rsid w:val="00780BA6"/>
    <w:rsid w:val="007B0F77"/>
    <w:rsid w:val="007B7934"/>
    <w:rsid w:val="007F463C"/>
    <w:rsid w:val="008237C4"/>
    <w:rsid w:val="00837639"/>
    <w:rsid w:val="008524D3"/>
    <w:rsid w:val="008A1252"/>
    <w:rsid w:val="00904C9B"/>
    <w:rsid w:val="00904F61"/>
    <w:rsid w:val="0095177D"/>
    <w:rsid w:val="009611F8"/>
    <w:rsid w:val="009F2DFA"/>
    <w:rsid w:val="00AE51CF"/>
    <w:rsid w:val="00B31A8E"/>
    <w:rsid w:val="00BA073A"/>
    <w:rsid w:val="00BF00A9"/>
    <w:rsid w:val="00CB3623"/>
    <w:rsid w:val="00CD4065"/>
    <w:rsid w:val="00CE3245"/>
    <w:rsid w:val="00DE47D4"/>
    <w:rsid w:val="00E86AD1"/>
    <w:rsid w:val="00E96552"/>
    <w:rsid w:val="00F41620"/>
    <w:rsid w:val="00FB5C13"/>
    <w:rsid w:val="00FF37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93FE-C870-4D1D-9E05-3E1DB68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1742</Words>
  <Characters>9934</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Peter Pavlovič</cp:lastModifiedBy>
  <cp:revision>8</cp:revision>
  <dcterms:created xsi:type="dcterms:W3CDTF">2016-08-26T10:59:00Z</dcterms:created>
  <dcterms:modified xsi:type="dcterms:W3CDTF">2016-12-01T09:10:00Z</dcterms:modified>
</cp:coreProperties>
</file>