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F934C7" w:rsidRDefault="00927118" w:rsidP="00927118">
      <w:pPr>
        <w:adjustRightInd w:val="0"/>
        <w:spacing w:after="0" w:line="240" w:lineRule="auto"/>
        <w:jc w:val="center"/>
        <w:rPr>
          <w:rFonts w:ascii="Times New Roman" w:eastAsia="Times New Roman" w:hAnsi="Times New Roman" w:cs="Calibri"/>
          <w:b/>
          <w:caps/>
        </w:rPr>
      </w:pPr>
      <w:r w:rsidRPr="00F934C7">
        <w:rPr>
          <w:rFonts w:ascii="Times New Roman" w:eastAsia="Times New Roman" w:hAnsi="Times New Roman" w:cs="Calibri"/>
          <w:b/>
          <w:caps/>
        </w:rPr>
        <w:t>Vyhodnotenie medzirezortného pripomienkového konania</w:t>
      </w:r>
    </w:p>
    <w:p w:rsidR="00927118" w:rsidRPr="00F934C7" w:rsidRDefault="00927118" w:rsidP="00927118">
      <w:pPr>
        <w:jc w:val="center"/>
      </w:pPr>
    </w:p>
    <w:p w:rsidR="000629FB" w:rsidRPr="00F934C7" w:rsidRDefault="000629FB">
      <w:pPr>
        <w:jc w:val="center"/>
        <w:divId w:val="424881475"/>
        <w:rPr>
          <w:rFonts w:ascii="Times" w:hAnsi="Times" w:cs="Times"/>
        </w:rPr>
      </w:pPr>
      <w:r w:rsidRPr="00F934C7">
        <w:rPr>
          <w:rFonts w:ascii="Times" w:hAnsi="Times" w:cs="Times"/>
        </w:rPr>
        <w:t>Zákon, 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w:t>
      </w:r>
    </w:p>
    <w:p w:rsidR="00927118" w:rsidRPr="00F934C7"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r w:rsidRPr="00F934C7">
              <w:rPr>
                <w:rFonts w:ascii="Times New Roman" w:hAnsi="Times New Roman" w:cs="Calibri"/>
              </w:rPr>
              <w:t>Spôsob pripomienkového konania</w:t>
            </w:r>
          </w:p>
        </w:tc>
        <w:tc>
          <w:tcPr>
            <w:tcW w:w="7801"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r w:rsidRPr="00F934C7">
              <w:rPr>
                <w:rFonts w:ascii="Times New Roman" w:hAnsi="Times New Roman" w:cs="Calibri"/>
              </w:rPr>
              <w:t> </w:t>
            </w:r>
          </w:p>
        </w:tc>
      </w:tr>
      <w:tr w:rsidR="00A251BF" w:rsidRPr="00F934C7" w:rsidTr="00B76589">
        <w:tc>
          <w:tcPr>
            <w:tcW w:w="7797" w:type="dxa"/>
            <w:tcBorders>
              <w:top w:val="nil"/>
              <w:left w:val="nil"/>
              <w:bottom w:val="nil"/>
              <w:right w:val="nil"/>
            </w:tcBorders>
          </w:tcPr>
          <w:p w:rsidR="00A251BF" w:rsidRPr="00F934C7" w:rsidRDefault="00A251BF" w:rsidP="00E165A9">
            <w:pPr>
              <w:spacing w:after="0" w:line="240" w:lineRule="auto"/>
              <w:rPr>
                <w:rFonts w:ascii="Times New Roman" w:hAnsi="Times New Roman" w:cs="Calibri"/>
              </w:rPr>
            </w:pPr>
            <w:r w:rsidRPr="00F934C7">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F934C7" w:rsidRDefault="000629FB" w:rsidP="000629FB">
            <w:pPr>
              <w:spacing w:after="0" w:line="240" w:lineRule="auto"/>
              <w:rPr>
                <w:rFonts w:ascii="Times New Roman" w:hAnsi="Times New Roman" w:cs="Calibri"/>
              </w:rPr>
            </w:pPr>
            <w:r w:rsidRPr="00F934C7">
              <w:rPr>
                <w:rFonts w:ascii="Times" w:hAnsi="Times" w:cs="Times"/>
              </w:rPr>
              <w:t>39 /1</w:t>
            </w: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r w:rsidRPr="00F934C7">
              <w:rPr>
                <w:rFonts w:ascii="Times New Roman" w:hAnsi="Times New Roman" w:cs="Calibri"/>
              </w:rPr>
              <w:t>Počet vyhodnotených pripomienok</w:t>
            </w:r>
          </w:p>
        </w:tc>
        <w:tc>
          <w:tcPr>
            <w:tcW w:w="7801" w:type="dxa"/>
            <w:tcBorders>
              <w:top w:val="nil"/>
              <w:left w:val="nil"/>
              <w:bottom w:val="nil"/>
              <w:right w:val="nil"/>
            </w:tcBorders>
          </w:tcPr>
          <w:p w:rsidR="00927118" w:rsidRPr="00F934C7" w:rsidRDefault="000629FB" w:rsidP="000629FB">
            <w:pPr>
              <w:spacing w:after="0" w:line="240" w:lineRule="auto"/>
              <w:rPr>
                <w:rFonts w:ascii="Times New Roman" w:hAnsi="Times New Roman" w:cs="Calibri"/>
              </w:rPr>
            </w:pPr>
            <w:r w:rsidRPr="00F934C7">
              <w:rPr>
                <w:rFonts w:ascii="Times" w:hAnsi="Times" w:cs="Times"/>
              </w:rPr>
              <w:t>39</w:t>
            </w: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
        </w:tc>
        <w:tc>
          <w:tcPr>
            <w:tcW w:w="7801"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r w:rsidRPr="00F934C7">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F934C7" w:rsidRDefault="000629FB" w:rsidP="000629FB">
            <w:pPr>
              <w:spacing w:after="0" w:line="240" w:lineRule="auto"/>
              <w:rPr>
                <w:rFonts w:ascii="Times New Roman" w:hAnsi="Times New Roman" w:cs="Calibri"/>
              </w:rPr>
            </w:pPr>
            <w:r w:rsidRPr="00F934C7">
              <w:rPr>
                <w:rFonts w:ascii="Times" w:hAnsi="Times" w:cs="Times"/>
              </w:rPr>
              <w:t>30 /0</w:t>
            </w: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r w:rsidRPr="00F934C7">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F934C7" w:rsidRDefault="000629FB" w:rsidP="000629FB">
            <w:pPr>
              <w:spacing w:after="0" w:line="240" w:lineRule="auto"/>
              <w:rPr>
                <w:rFonts w:ascii="Times New Roman" w:hAnsi="Times New Roman" w:cs="Calibri"/>
              </w:rPr>
            </w:pPr>
            <w:r w:rsidRPr="00F934C7">
              <w:rPr>
                <w:rFonts w:ascii="Times" w:hAnsi="Times" w:cs="Times"/>
              </w:rPr>
              <w:t>1 /1</w:t>
            </w: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r w:rsidRPr="00F934C7">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F934C7" w:rsidRDefault="000629FB" w:rsidP="000629FB">
            <w:pPr>
              <w:spacing w:after="0" w:line="240" w:lineRule="auto"/>
              <w:rPr>
                <w:rFonts w:ascii="Times New Roman" w:hAnsi="Times New Roman" w:cs="Calibri"/>
              </w:rPr>
            </w:pPr>
            <w:r w:rsidRPr="00F934C7">
              <w:rPr>
                <w:rFonts w:ascii="Times" w:hAnsi="Times" w:cs="Times"/>
              </w:rPr>
              <w:t>8 /0</w:t>
            </w: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roofErr w:type="spellStart"/>
            <w:r w:rsidRPr="00F934C7">
              <w:rPr>
                <w:rFonts w:ascii="Times New Roman" w:hAnsi="Times New Roman" w:cs="Calibri"/>
                <w:bCs/>
              </w:rPr>
              <w:t>Rozporové</w:t>
            </w:r>
            <w:proofErr w:type="spellEnd"/>
            <w:r w:rsidRPr="00F934C7">
              <w:rPr>
                <w:rFonts w:ascii="Times New Roman" w:hAnsi="Times New Roman" w:cs="Calibri"/>
                <w:bCs/>
              </w:rPr>
              <w:t xml:space="preserve"> konanie (s kým, kedy, s akým výsledkom)</w:t>
            </w:r>
          </w:p>
        </w:tc>
        <w:tc>
          <w:tcPr>
            <w:tcW w:w="7801"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bCs/>
              </w:rPr>
            </w:pPr>
            <w:r w:rsidRPr="00F934C7">
              <w:rPr>
                <w:rFonts w:ascii="Times New Roman" w:hAnsi="Times New Roman" w:cs="Calibri"/>
                <w:bCs/>
              </w:rPr>
              <w:t>Počet odstránených pripomienok</w:t>
            </w:r>
          </w:p>
        </w:tc>
        <w:tc>
          <w:tcPr>
            <w:tcW w:w="7801"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bCs/>
              </w:rPr>
            </w:pPr>
            <w:r w:rsidRPr="00F934C7">
              <w:rPr>
                <w:rFonts w:ascii="Times New Roman" w:hAnsi="Times New Roman" w:cs="Calibri"/>
                <w:bCs/>
              </w:rPr>
              <w:t>Počet neodstránených pripomienok</w:t>
            </w:r>
          </w:p>
        </w:tc>
        <w:tc>
          <w:tcPr>
            <w:tcW w:w="7801"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
        </w:tc>
      </w:tr>
    </w:tbl>
    <w:p w:rsidR="00927118" w:rsidRPr="00F934C7" w:rsidRDefault="00927118" w:rsidP="00927118">
      <w:pPr>
        <w:spacing w:after="0" w:line="240" w:lineRule="auto"/>
        <w:rPr>
          <w:rFonts w:ascii="Times New Roman" w:hAnsi="Times New Roman" w:cs="Calibri"/>
          <w:b/>
        </w:rPr>
      </w:pPr>
    </w:p>
    <w:p w:rsidR="000629FB" w:rsidRPr="00F934C7" w:rsidRDefault="00927118" w:rsidP="00F934C7">
      <w:pPr>
        <w:spacing w:after="0" w:line="240" w:lineRule="auto"/>
      </w:pPr>
      <w:proofErr w:type="spellStart"/>
      <w:r w:rsidRPr="00F934C7">
        <w:rPr>
          <w:rFonts w:ascii="Times New Roman" w:hAnsi="Times New Roman" w:cs="Calibri"/>
        </w:rPr>
        <w:t>Sumarizácia</w:t>
      </w:r>
      <w:proofErr w:type="spellEnd"/>
      <w:r w:rsidRPr="00F934C7">
        <w:rPr>
          <w:rFonts w:ascii="Times New Roman" w:hAnsi="Times New Roman" w:cs="Calibri"/>
        </w:rPr>
        <w:t xml:space="preserve"> vznesených pripomienok podľa subjektov</w:t>
      </w:r>
      <w:r w:rsidR="00F934C7">
        <w:t>:</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0629FB" w:rsidRPr="00F934C7">
        <w:trPr>
          <w:divId w:val="208445219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Vôbec nezaslali</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 xml:space="preserve">Asociácia </w:t>
            </w:r>
            <w:proofErr w:type="spellStart"/>
            <w:r w:rsidRPr="00F934C7">
              <w:rPr>
                <w:rFonts w:ascii="Times" w:hAnsi="Times" w:cs="Times"/>
              </w:rPr>
              <w:t>zamestnávatelských</w:t>
            </w:r>
            <w:proofErr w:type="spellEnd"/>
            <w:r w:rsidRPr="00F934C7">
              <w:rPr>
                <w:rFonts w:ascii="Times" w:hAnsi="Times" w:cs="Times"/>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39 (38o,1z)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bl>
    <w:p w:rsidR="00BF7CE0" w:rsidRPr="00F934C7" w:rsidRDefault="00BF7CE0" w:rsidP="00841FA6">
      <w:pPr>
        <w:rPr>
          <w:b/>
          <w:bCs/>
          <w:color w:val="000000"/>
        </w:rPr>
      </w:pPr>
      <w:r w:rsidRPr="00F934C7">
        <w:rPr>
          <w:rFonts w:ascii="Times New Roman" w:eastAsia="Times New Roman" w:hAnsi="Times New Roman" w:cs="Times New Roman"/>
          <w:bCs/>
          <w:color w:val="000000"/>
        </w:rPr>
        <w:t>Vyhodnotenie vecných pripomienok je uvedené v tabuľkovej časti.</w:t>
      </w:r>
    </w:p>
    <w:p w:rsidR="00BF7CE0" w:rsidRPr="00F934C7"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F934C7" w:rsidTr="00943EB2">
        <w:trPr>
          <w:cantSplit/>
        </w:trPr>
        <w:tc>
          <w:tcPr>
            <w:tcW w:w="4928" w:type="dxa"/>
            <w:gridSpan w:val="2"/>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r w:rsidRPr="00F934C7">
              <w:rPr>
                <w:b w:val="0"/>
                <w:color w:val="000000"/>
                <w:sz w:val="22"/>
                <w:szCs w:val="22"/>
              </w:rPr>
              <w:t>Vysvetlivky  k použitým skratkám v tabuľke:</w:t>
            </w:r>
          </w:p>
        </w:tc>
      </w:tr>
      <w:tr w:rsidR="00BF7CE0" w:rsidRPr="00F934C7" w:rsidTr="00943EB2">
        <w:trPr>
          <w:cantSplit/>
        </w:trPr>
        <w:tc>
          <w:tcPr>
            <w:tcW w:w="1809" w:type="dxa"/>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r w:rsidRPr="00F934C7">
              <w:rPr>
                <w:b w:val="0"/>
                <w:color w:val="000000"/>
                <w:sz w:val="22"/>
                <w:szCs w:val="22"/>
              </w:rPr>
              <w:t>O – obyčajná</w:t>
            </w:r>
          </w:p>
        </w:tc>
        <w:tc>
          <w:tcPr>
            <w:tcW w:w="3119" w:type="dxa"/>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r w:rsidRPr="00F934C7">
              <w:rPr>
                <w:b w:val="0"/>
                <w:color w:val="000000"/>
                <w:sz w:val="22"/>
                <w:szCs w:val="22"/>
              </w:rPr>
              <w:t>A – akceptovaná</w:t>
            </w:r>
          </w:p>
        </w:tc>
      </w:tr>
      <w:tr w:rsidR="00BF7CE0" w:rsidRPr="00F934C7" w:rsidTr="00943EB2">
        <w:trPr>
          <w:cantSplit/>
        </w:trPr>
        <w:tc>
          <w:tcPr>
            <w:tcW w:w="1809" w:type="dxa"/>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r w:rsidRPr="00F934C7">
              <w:rPr>
                <w:b w:val="0"/>
                <w:color w:val="000000"/>
                <w:sz w:val="22"/>
                <w:szCs w:val="22"/>
              </w:rPr>
              <w:t>Z – zásadná</w:t>
            </w:r>
          </w:p>
        </w:tc>
        <w:tc>
          <w:tcPr>
            <w:tcW w:w="3119" w:type="dxa"/>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r w:rsidRPr="00F934C7">
              <w:rPr>
                <w:b w:val="0"/>
                <w:color w:val="000000"/>
                <w:sz w:val="22"/>
                <w:szCs w:val="22"/>
              </w:rPr>
              <w:t>N – neakceptovaná</w:t>
            </w:r>
          </w:p>
        </w:tc>
      </w:tr>
      <w:tr w:rsidR="00BF7CE0" w:rsidRPr="00F934C7" w:rsidTr="00943EB2">
        <w:trPr>
          <w:cantSplit/>
        </w:trPr>
        <w:tc>
          <w:tcPr>
            <w:tcW w:w="1809" w:type="dxa"/>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p>
        </w:tc>
        <w:tc>
          <w:tcPr>
            <w:tcW w:w="3119" w:type="dxa"/>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r w:rsidRPr="00F934C7">
              <w:rPr>
                <w:b w:val="0"/>
                <w:color w:val="000000"/>
                <w:sz w:val="22"/>
                <w:szCs w:val="22"/>
              </w:rPr>
              <w:t>ČA – čiastočne akceptovaná</w:t>
            </w:r>
          </w:p>
        </w:tc>
      </w:tr>
    </w:tbl>
    <w:p w:rsidR="000629FB" w:rsidRPr="00F934C7" w:rsidRDefault="00E85710" w:rsidP="00CE47A6">
      <w:r w:rsidRPr="00F934C7">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608"/>
        <w:gridCol w:w="621"/>
        <w:gridCol w:w="621"/>
        <w:gridCol w:w="3948"/>
      </w:tblGrid>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proofErr w:type="spellStart"/>
            <w:r w:rsidRPr="00F934C7">
              <w:rPr>
                <w:rFonts w:ascii="Times" w:hAnsi="Times" w:cs="Times"/>
                <w:b/>
                <w:bCs/>
              </w:rPr>
              <w:t>Vyh</w:t>
            </w:r>
            <w:proofErr w:type="spellEnd"/>
            <w:r w:rsidRPr="00F934C7">
              <w:rPr>
                <w:rFonts w:ascii="Times" w:hAnsi="Times" w:cs="Times"/>
                <w:b/>
                <w:bCs/>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Spôsob vyhodnotenia</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F934C7">
            <w:pPr>
              <w:rPr>
                <w:rFonts w:ascii="Times" w:hAnsi="Times" w:cs="Times"/>
              </w:rPr>
            </w:pPr>
            <w:r w:rsidRPr="00F934C7">
              <w:rPr>
                <w:rFonts w:ascii="Times" w:hAnsi="Times" w:cs="Times"/>
                <w:b/>
                <w:bCs/>
              </w:rPr>
              <w:t xml:space="preserve">K </w:t>
            </w:r>
            <w:r w:rsidR="000629FB" w:rsidRPr="00F934C7">
              <w:rPr>
                <w:rFonts w:ascii="Times" w:hAnsi="Times" w:cs="Times"/>
                <w:b/>
                <w:bCs/>
              </w:rPr>
              <w:t>predloženému návrhu</w:t>
            </w:r>
            <w:r w:rsidR="000629FB"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proofErr w:type="spellStart"/>
            <w:r w:rsidRPr="00F934C7">
              <w:rPr>
                <w:rFonts w:ascii="Times" w:hAnsi="Times" w:cs="Times"/>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Dôvodovej správe</w:t>
            </w:r>
            <w:r w:rsidRPr="00F934C7">
              <w:rPr>
                <w:rFonts w:ascii="Times" w:hAnsi="Times" w:cs="Times"/>
              </w:rPr>
              <w:br/>
              <w:t>2. V Dôvodovej správe, časť B. Osobitná časť, k bodu 4, odporúčame slová „návrh autorizuje zaručeným elektronickým podpisom jednotného kontaktného miesta alebo zaručeným elektronickým podpisom prevádzkovateľa informačného systému živnostenského podnikania“ nahradiť slovami „návrh sa autorizuje jednotným kontaktným miestom alebo prevádzkovateľom informačného systému živnostenského podnikania.“.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proofErr w:type="spellStart"/>
            <w:r w:rsidRPr="00F934C7">
              <w:rPr>
                <w:rFonts w:ascii="Times" w:hAnsi="Times" w:cs="Times"/>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Dôvodovej správe</w:t>
            </w:r>
            <w:r w:rsidRPr="00F934C7">
              <w:rPr>
                <w:rFonts w:ascii="Times" w:hAnsi="Times" w:cs="Times"/>
              </w:rPr>
              <w:br/>
              <w:t xml:space="preserve">V Dôvodovej správe, časť B. Osobitná časť, k bodom 1 až 3, odporúčame za slovami „(zákon o </w:t>
            </w:r>
            <w:proofErr w:type="spellStart"/>
            <w:r w:rsidRPr="00F934C7">
              <w:rPr>
                <w:rFonts w:ascii="Times" w:hAnsi="Times" w:cs="Times"/>
              </w:rPr>
              <w:t>e-Governmente</w:t>
            </w:r>
            <w:proofErr w:type="spellEnd"/>
            <w:r w:rsidRPr="00F934C7">
              <w:rPr>
                <w:rFonts w:ascii="Times" w:hAnsi="Times" w:cs="Times"/>
              </w:rPr>
              <w:t>)“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Všeobecne</w:t>
            </w:r>
            <w:r w:rsidRPr="00F934C7">
              <w:rPr>
                <w:rFonts w:ascii="Times" w:hAnsi="Times" w:cs="Times"/>
              </w:rPr>
              <w:br/>
              <w:t>Návrh je potrebné zosúladiť s Legislatívnymi pravidlami vlády SR a s ich prílohami (napríklad v čl. I bode 2 slovo „autorizovanú“ nahradiť slovom „autorizovaná“ a v čl. II úvodnej vete slová „zákona č. 273/2007 Z. z., zákona č. 24/2007 Z. z.“ uviesť v chronologickom poradí).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Všeobecne</w:t>
            </w:r>
            <w:r w:rsidRPr="00F934C7">
              <w:rPr>
                <w:rFonts w:ascii="Times" w:hAnsi="Times" w:cs="Times"/>
              </w:rPr>
              <w:br/>
              <w:t xml:space="preserve">V doložke vybraných vplyvov (ďalej len „doložka vplyvov“) žiadam, v súlade s § 33 zákona č. 523/2004 Z. z. o rozpočtových pravidlách verejnej správy a o zmene a doplnení niektorých zákonov v znení neskorších predpisov, uviesť návrhy na úhradu úbytku príjmov, pretože v doložke </w:t>
            </w:r>
            <w:r w:rsidRPr="00F934C7">
              <w:rPr>
                <w:rFonts w:ascii="Times" w:hAnsi="Times" w:cs="Times"/>
              </w:rPr>
              <w:lastRenderedPageBreak/>
              <w:t xml:space="preserve">vplyvov sa uvádza, že z dôvodu vypustenia poplatkov za elektronické poskytovanie listín a potvrdení dôjde k úbytku príjmov štátneho rozpočtu, pričom tento vplyv nie je možné presne kvantifikovať, ale odhadom by nemalo ísť o sumu vyššiu ako 1000 eur. V súlade s Jednotnou metodikou na posudzovanie vybraných vplyvov je potrebné v jednotlivých tabuľkách analýzy vplyvov na rozpočet verejnej správy uvádzať bežný rok a tri nasledujúce rozpočtové roky, t. j. roky 2017 až 2020. V nadväznosti na vyššie uvedené pripomienky žiadam prepracovať doložku vplyvov a analýzu vplyvov na rozpočet verejnej správy a upravený materiál predložiť na záverečné posúdenie v súlade s Jednotnou metodikou na posudzovanie vybraných vplyvov. Pritom žiadam výdavky na úpravu informačného systému zabezpečiť v rámci schválených limitov kapitoly Ministerstva spravodlivosti SR na príslušný rozpočtový rok, bez dodatočných požiadaviek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proofErr w:type="spellStart"/>
            <w:r w:rsidRPr="00F934C7">
              <w:rPr>
                <w:rFonts w:ascii="Times" w:hAnsi="Times" w:cs="Times"/>
              </w:rPr>
              <w:t>Rozporové</w:t>
            </w:r>
            <w:proofErr w:type="spellEnd"/>
            <w:r w:rsidRPr="00F934C7">
              <w:rPr>
                <w:rFonts w:ascii="Times" w:hAnsi="Times" w:cs="Times"/>
              </w:rPr>
              <w:t xml:space="preserve"> konanie s Ministerstvom financií Slovenskej republiky sa uskutočnilo dňa </w:t>
            </w:r>
            <w:r w:rsidR="00F934C7">
              <w:rPr>
                <w:rFonts w:ascii="Times" w:hAnsi="Times" w:cs="Times"/>
              </w:rPr>
              <w:t xml:space="preserve">  </w:t>
            </w:r>
            <w:r w:rsidRPr="00F934C7">
              <w:rPr>
                <w:rFonts w:ascii="Times" w:hAnsi="Times" w:cs="Times"/>
              </w:rPr>
              <w:t>16. 2. 2017. Analýza vplyvov na rozpočet verej</w:t>
            </w:r>
            <w:r w:rsidR="00F934C7">
              <w:rPr>
                <w:rFonts w:ascii="Times" w:hAnsi="Times" w:cs="Times"/>
              </w:rPr>
              <w:t>nej správy sa upravila</w:t>
            </w:r>
            <w:r w:rsidRPr="00F934C7">
              <w:rPr>
                <w:rFonts w:ascii="Times" w:hAnsi="Times" w:cs="Times"/>
              </w:rPr>
              <w:t xml:space="preserve"> v zmysle uplatnenej pripomienky. Rozpor bol </w:t>
            </w:r>
            <w:r w:rsidRPr="00F934C7">
              <w:rPr>
                <w:rFonts w:ascii="Times" w:hAnsi="Times" w:cs="Times"/>
              </w:rPr>
              <w:lastRenderedPageBreak/>
              <w:t xml:space="preserve">čiastočne odstránený. </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vlastnému materiálu - bod 7 - § 8c ods. 1</w:t>
            </w:r>
            <w:r w:rsidRPr="00F934C7">
              <w:rPr>
                <w:rFonts w:ascii="Times" w:hAnsi="Times" w:cs="Times"/>
              </w:rPr>
              <w:br/>
              <w:t>V bode 7 -§ 8c ods. 1 odporúčame slová "zlúčenia, splynutia alebo rozdelenia zahraničnej osoby" nahradiť slovami "zlúčenia a splynutia zahraničnej osoby alebo rozdelenia zahraničnej osoby".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r w:rsidRPr="00F934C7">
              <w:rPr>
                <w:rFonts w:ascii="Times" w:hAnsi="Times" w:cs="Times"/>
              </w:rPr>
              <w:t>Navrhovaná formulácia týkajúca sa zlúčenia, splynutia alebo rozdelenia zahraničnej osoby je už v právnom poriadku ustálená.</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vlastnému materiálu - bod 9 - § 10 ods. 7</w:t>
            </w:r>
            <w:r w:rsidRPr="00F934C7">
              <w:rPr>
                <w:rFonts w:ascii="Times" w:hAnsi="Times" w:cs="Times"/>
              </w:rPr>
              <w:br/>
              <w:t xml:space="preserve">V bode 9 - § 10 ods. 7 (prvý riadok) odporúčame za slovo "zlúčení" vložiť slovo "spoločností".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 xml:space="preserve">K návrhu uznesenia vlády </w:t>
            </w:r>
            <w:r w:rsidRPr="00F934C7">
              <w:rPr>
                <w:rFonts w:ascii="Times" w:hAnsi="Times" w:cs="Times"/>
              </w:rPr>
              <w:br/>
              <w:t>V bode B.2. odporúčame vypustiť slová "a odôvodniť". Odôvodnenie: § 73 ods. 1 zákona č. 350/1996 Z. z. o rokovacom poriadku Národnej rady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r w:rsidRPr="00F934C7">
              <w:rPr>
                <w:rFonts w:ascii="Times" w:hAnsi="Times" w:cs="Times"/>
              </w:rPr>
              <w:t xml:space="preserve">Upravené v zmysle pripomienky. Návrh nariadenia vlády predložený do medzirezortného pripomienkového konania bol vyhotovený automatizovaným spôsobom prostredníctvom systému </w:t>
            </w:r>
            <w:proofErr w:type="spellStart"/>
            <w:r w:rsidRPr="00F934C7">
              <w:rPr>
                <w:rFonts w:ascii="Times" w:hAnsi="Times" w:cs="Times"/>
              </w:rPr>
              <w:t>Slov-lex</w:t>
            </w:r>
            <w:proofErr w:type="spellEnd"/>
            <w:r w:rsidRPr="00F934C7">
              <w:rPr>
                <w:rFonts w:ascii="Times" w:hAnsi="Times" w:cs="Times"/>
              </w:rPr>
              <w:t>.</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 xml:space="preserve">K návrhu zákona všeobecne </w:t>
            </w:r>
            <w:r w:rsidRPr="00F934C7">
              <w:rPr>
                <w:rFonts w:ascii="Times" w:hAnsi="Times" w:cs="Times"/>
              </w:rPr>
              <w:br/>
              <w:t xml:space="preserve">Odporúčame bližšie konkretizovať slová „kvalifikovaná elektronická pečať“, ktoré sa používajú v čl. I bodoch 11, 13 a 15 návrhu zákona. Navrhujeme zvážiť napr. odkaz na príslušné ustanovenia nariadenia Európskeho parlamentu a Rady (EÚ) č. 910/2014 z 23. júla 2014 o elektronickej identifikácii a dôveryhodných službách pre elektronické transakcie na vnútornom trhu a o zrušení smernice 1999/93/ES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 xml:space="preserve">Upravené v zmysle pripomienky. </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proofErr w:type="spellStart"/>
            <w:r w:rsidRPr="00F934C7">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bodu 2</w:t>
            </w:r>
            <w:r w:rsidRPr="00F934C7">
              <w:rPr>
                <w:rFonts w:ascii="Times" w:hAnsi="Times" w:cs="Times"/>
              </w:rPr>
              <w:br/>
              <w:t>Slovo „autorizovanú“ odporúčame nahradiť slovom „autorizovaná".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 xml:space="preserve">Upravené v zmysle pripomienky. </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proofErr w:type="spellStart"/>
            <w:r w:rsidRPr="00F934C7">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čl. I bodu 11 návrhu zákona:</w:t>
            </w:r>
            <w:r w:rsidRPr="00F934C7">
              <w:rPr>
                <w:rFonts w:ascii="Times" w:hAnsi="Times" w:cs="Times"/>
              </w:rPr>
              <w:br/>
              <w:t xml:space="preserve">V čl. I bode 11 (§ 12 ods. 3 štvrtá veta) návrhu zákona sa nad slovo „pečaťou“ umiestňuje odkaz „21aa“. Poznámka pod čiarou k odkazu 21aa znie: „21aa) Čl. 3 ods. 27 nariadenia Európskeho parlamentu a Rady (EÚ) č. 910/2014 z 23. júla 2014 o elektronickej identifikácii a dôveryhodných službách pre elektronické transakcie na vnútornom trhu a o zrušení smernice 1999/93/ES (Ú. v. EÚ L 257, 28.8.2014).“. Odôvodnenie: Z </w:t>
            </w:r>
            <w:r w:rsidRPr="00F934C7">
              <w:rPr>
                <w:rFonts w:ascii="Times" w:hAnsi="Times" w:cs="Times"/>
              </w:rPr>
              <w:lastRenderedPageBreak/>
              <w:t>dôvodu prehľadnosti navrhovanej právnej úpravy odporúčame doplniť nový odkaz na pojem kvalifikovanej elektronickej pečate definovanej v čl. 3 ods. 27 citovaného nariadenia Európskeho parlamentu a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doložke zlučiteľnosti</w:t>
            </w:r>
            <w:r w:rsidRPr="00F934C7">
              <w:rPr>
                <w:rFonts w:ascii="Times" w:hAnsi="Times" w:cs="Times"/>
              </w:rPr>
              <w:br/>
              <w:t>1. Žiadame doplniť do doložky zlučiteľnosti aj vykonávacie nariadenie (EÚ) 2015/884.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1. Žiadame transponovať čl. 1 bod 1 smernice (čl. 1 ods. 4 smernice 89/666/EHS v platnom znení) do právneho poriadku Slovenskej republiky a to tak, aby bolo zabezpečené, že register bude mať jedinečný identifikačný znak, ktorý umožní jeho jednoznačnú identifikáciu v komunikácií medzi registrami, a to v zmysle smernice. Zároveň žiadame transpozíciu preukázať v tabuľke zhody. Rovnakú pripomienku uplatňujeme aj pri preukazovaní transpozície čl. 3 bod 2 smernice (čl. 3 ods. 1 smernice 2009/101/ES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r w:rsidRPr="00F934C7">
              <w:rPr>
                <w:rFonts w:ascii="Times" w:hAnsi="Times" w:cs="Times"/>
              </w:rPr>
              <w:t>Jedinečný identifikačný znak podniku zahraničnej osoby resp. organizačnej zložky podniku zahraničnej osoby je technický údaj, ktorý sa nebude zapisovať do obchodného registra medzi zapisované údaje, nebude sa ani zverejňovať. Jedinečný identifikačný znak slúži iba na technickú komunikáciu medzi obchodnými registrami a inými evidenciami, bude sa používať iba v informačných systémoch prepojenia registrov a z tohto dôvodu nie je potrebné jeho priame zavedenie do zákona.</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10. Žiadame preukázať v tabuľke zhody transpozíciu čl. 3 bod 5 smernice (čl. 7a smernice 2009/101/ES v platnom znení)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Tabuľka zhody doplnená.</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 xml:space="preserve">2. Žiadame transponovať čl. 1 bod 2 smernice (čl. 5a ods. 2 smernice 89/666/EHS v platnom znení) a to tak, aby bolo v právnom poriadku Slovenskej republiky registrom zabezpečené bezodkladné prijatie informácií v zmysle čl. 5a ods. 2 smernice 89/666/EHS v platnom znení. Zároveň žiadame transpozíciu preukázať v tabuľke zhody. Rovnakú pripomienku uplatňujeme aj pri preukazovaní transpozície čl. 3 bod 3 </w:t>
            </w:r>
            <w:r w:rsidRPr="00F934C7">
              <w:rPr>
                <w:rFonts w:ascii="Times" w:hAnsi="Times" w:cs="Times"/>
              </w:rPr>
              <w:lastRenderedPageBreak/>
              <w:t>smernice (čl. 3d ods. 2 smernice 2009/101/ES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r w:rsidRPr="00F934C7">
              <w:rPr>
                <w:rFonts w:ascii="Times" w:hAnsi="Times" w:cs="Times"/>
              </w:rPr>
              <w:t>Jedná sa o technickú funkcionalitu informačného systému obchodného registra. Podmienky prijatia informácie upravuje vykonávacie nariadenie.</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doložke zlučiteľnosti</w:t>
            </w:r>
            <w:r w:rsidRPr="00F934C7">
              <w:rPr>
                <w:rFonts w:ascii="Times" w:hAnsi="Times" w:cs="Times"/>
              </w:rPr>
              <w:br/>
              <w:t>2. Žiadame vyplniť bod 4 písm.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3. Žiadame preukázať v tabuľke zhody transpozíciu čl. 1 bod 3 smernice (čl. 11a smernice 89/666/EHS v platnom znení)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Tabuľka zhody doplnená.</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4. Žiadame preukázať v tabuľke zhody transpozíciu čl. 2 bod 2 smernice (čl. 17a smernice 2005/56/ES v platnom znení)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Tabuľka zhody doplnená.</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 xml:space="preserve">5. Žiadame preukázať v tabuľke zhody transpozíciu čl. 3 bod 3 smernice (čl. 3a ods. 1 smernice 2009/101/ES v platnom znení) a to v stĺpci č. 6, namiesto stĺpcu 8 tabuľky. V zmysle Legislatívnych pravidiel vlády SR sa v stĺpci 6 uvádza doslovné znenie príslušného právneho predpisu v ktorom je alebo má byť príslušná smernica transponovaná.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6. Žiadame preukázať v tabuľke zhody transpozíciu čl. 3 bod 3 smernice (čl. 3b ods. 2 smernice 2009/101/ES v platnom znení) aj v časti, kedy „členské štáty takisto zabezpečia, aby sa dodržiavali minimálne normy pre bezpečnosť prenosu údajov“ a to konkrétnymi ustanoveniami právneho predpisu v ktorom je táto úprava obsiahnutá a to v stĺpci 6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Tabuľka zhody doplnená.</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 xml:space="preserve">7. Žiadame transponovať čl. 3 bod 3 smernice (čl. 3c ods. 1 smernice 2009/101/ES v platnom znení) do právneho poriadku Slovenskej republiky a to tak, aby bolo zabezpečené, že poplatky účtované za </w:t>
            </w:r>
            <w:r w:rsidRPr="00F934C7">
              <w:rPr>
                <w:rFonts w:ascii="Times" w:hAnsi="Times" w:cs="Times"/>
              </w:rPr>
              <w:lastRenderedPageBreak/>
              <w:t>získavanie dokumentov a údajov uvedených v článku 2 prostredníctvom systému prepojenia registrov nesmú prekročiť s tým spojené administratívne náklady.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r w:rsidRPr="00F934C7">
              <w:rPr>
                <w:rFonts w:ascii="Times" w:hAnsi="Times" w:cs="Times"/>
              </w:rPr>
              <w:t xml:space="preserve">V predloženom návrhu zákona sa v článku II, v prílohe k zákonu č. 71/1992 Zb. o súdnych poplatkoch a poplatku za výpis z registra trestov v znení neskorších </w:t>
            </w:r>
            <w:r w:rsidRPr="00F934C7">
              <w:rPr>
                <w:rFonts w:ascii="Times" w:hAnsi="Times" w:cs="Times"/>
              </w:rPr>
              <w:lastRenderedPageBreak/>
              <w:t xml:space="preserve">predpisov, v Sadzobníku súdnych poplatkov, navrhuje vypustiť z položky 24b poplatky za zaslanie potvrdenia o tom, že v obchodnom registri určitý zápis nie je, potvrdenia o tom, že určitá listina nie je uložená do zbierky listín elektronickými prostriedkami a za zaslanie elektronickej podoby listiny uloženej v zbierke listín elektronickými prostriedkami. Z tohto dôvodu zavádzanie limitu </w:t>
            </w:r>
            <w:r w:rsidR="00F934C7">
              <w:rPr>
                <w:rFonts w:ascii="Times" w:hAnsi="Times" w:cs="Times"/>
              </w:rPr>
              <w:t>výšky nákladov maximálne do hod</w:t>
            </w:r>
            <w:r w:rsidRPr="00F934C7">
              <w:rPr>
                <w:rFonts w:ascii="Times" w:hAnsi="Times" w:cs="Times"/>
              </w:rPr>
              <w:t>noty administratívnych nákladov nie je potrebné.</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8. Žiadame preukázať v tabuľke zhody transpozíciu čl. 3 bod 3 smernice (čl. 3d ods. 3 smernice 2009/101/ES v platnom znení)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Tabuľka zhody doplnená.</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9. Žiadame preukázať v tabuľke zhody transpozíciu čl. 3 bod 4 smernice (čl. 4a ods. 3 smernice 2009/101/ES v platnom znení)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Jedná sa o technickú špecifikáciu nastavenia informačného systému obchodného registra, ktorá vyplýva z vykonávacieho nariadenia.</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bodu 11 návrhu zákona</w:t>
            </w:r>
            <w:r w:rsidRPr="00F934C7">
              <w:rPr>
                <w:rFonts w:ascii="Times" w:hAnsi="Times" w:cs="Times"/>
              </w:rPr>
              <w:br/>
              <w:t>Odporúčame v § 12 ods. 3 návrhu zákona, v prvej vete, za slová „súdneho poplatku“ vložiť odkaz vo forme poznámky pod čiarou na právny predpis, ktorý uvedený poplatok upravuje.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Predkladateľ berie pripomienku na vedomie, avšak zavedenie predmetného odkazu sa z hľadiska aplikačnej praxe nejaví ako potrebné.</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materiálu</w:t>
            </w:r>
            <w:r w:rsidRPr="00F934C7">
              <w:rPr>
                <w:rFonts w:ascii="Times" w:hAnsi="Times" w:cs="Times"/>
              </w:rPr>
              <w:br/>
              <w:t xml:space="preserve">K bodu 2 – slovo „autorizovanú“ odporúčame nahradiť slovom </w:t>
            </w:r>
            <w:r w:rsidRPr="00F934C7">
              <w:rPr>
                <w:rFonts w:ascii="Times" w:hAnsi="Times" w:cs="Times"/>
              </w:rPr>
              <w:lastRenderedPageBreak/>
              <w:t>„autorizovaná“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 xml:space="preserve">Upravené v zmysle pripomienky. </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materiálu</w:t>
            </w:r>
            <w:r w:rsidRPr="00F934C7">
              <w:rPr>
                <w:rFonts w:ascii="Times" w:hAnsi="Times" w:cs="Times"/>
              </w:rPr>
              <w:br/>
              <w:t xml:space="preserve">Predkladaný návrh zákona odporúčame doplniť o ďalší samostatný bod s nasledujúcim znením: „V § 2 ods. 1 písmeno f) znie: „f) identifikačné číslo, označenie, adresa umiestnenia a predmet podnikania alebo činnosti odštepného závodu alebo inej organizačnej zložky podniku, ak osobitný zákon ustanovuje, že sa zapisuje do obchodného registra, spolu s menom, priezviskom, bydliskom, dátumom narodenia a rodným číslom vedúceho odštepného závodu alebo inej organizačnej zložky podniku a s uvedením dňa vzniku a po jej skončení dňa skončenia funkcie; ak ide o zahraničnú fyzickú osobu, zapisuje sa rodné číslo, ak jej bolo pridelené,“. Odôvodnenie: Podľa zákona č. 272/2015 Z. z. o registri právnických osôb, podnikateľov a orgánov verejnej moci a o zmene a doplnení niektorých zákonov sú povinné osoby povinné poskytovať Štatistickému úradu SR údaje z obchodného registra pre účely správy registra právnických osôb. V prípade, ak ide o odštepný závod alebo inú organizačnú zložku podniku zapísanú do obchodného registra, sú povinné osoby povinné poskytovať údaje v rozsahu podľa § 3 ods. 5 vyššie uvedeného zákona, t. zn., vrátane identifikačného čísla. Uvedomujeme si, že naša pripomienka je nad rámec Vami navrhovaného zákona, z toho dôvodu nie je uplatňovaná ako zásadná pripomienka, avšak na základe daných skutočností ju považujeme za podstatnú.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r w:rsidRPr="00F934C7">
              <w:rPr>
                <w:rFonts w:ascii="Times" w:hAnsi="Times" w:cs="Times"/>
              </w:rPr>
              <w:t xml:space="preserve">Predkladateľ berie vznesenú pripomienku na vedomie. Obchodný register bude v blízkej budúcnosti predmetom pripravovaných zmien, ktoré budú reflektovať otázky, na ktoré upozorňuje pripomienkujúci subjekt. Účelom predloženého návrhu zákona je transpozícia smernice EÚ. </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celému materiálu</w:t>
            </w:r>
            <w:r w:rsidRPr="00F934C7">
              <w:rPr>
                <w:rFonts w:ascii="Times" w:hAnsi="Times" w:cs="Times"/>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 xml:space="preserve">Oceňujem vypustenie poplatku za vyhotovenie kópie listiny uloženej v zbierke listín v elektronickej podobe a vzhľadom na tento návrh si dovoľujem položiť niekoľko otázok. 1/ Momentálne trvá sprístupnenie kópie listiny uloženej v zbierke listín v elektronickej podobe jeden až tri pracovné dni od podania žiadosti cez ÚPVS (pokiaľ bola úhrada poplatku realizovaná ihneď po podaní žiadosti) a to najmä v závislosti od registrového súdu, pričom táto lehota zodpovedá najmä času medzibankového prevodu do Poštovej banky a spracovania informácií o prevode justičnou pokladnicou. Po vypustení poplatku za el. kópiu listiny zo zbierky listín, ako sa zmení </w:t>
            </w:r>
            <w:proofErr w:type="spellStart"/>
            <w:r w:rsidRPr="00F934C7">
              <w:rPr>
                <w:rFonts w:ascii="Times" w:hAnsi="Times" w:cs="Times"/>
              </w:rPr>
              <w:t>work-flow</w:t>
            </w:r>
            <w:proofErr w:type="spellEnd"/>
            <w:r w:rsidRPr="00F934C7">
              <w:rPr>
                <w:rFonts w:ascii="Times" w:hAnsi="Times" w:cs="Times"/>
              </w:rPr>
              <w:t xml:space="preserve"> registrového súdu vo vzťahu k zbierke listín? Budú súdy vybavovať žiadosti ihneď po ich doručení? Budú na to nevyhnutné úpravy v IS CORWIN, najmä v časti </w:t>
            </w:r>
            <w:proofErr w:type="spellStart"/>
            <w:r w:rsidRPr="00F934C7">
              <w:rPr>
                <w:rFonts w:ascii="Times" w:hAnsi="Times" w:cs="Times"/>
              </w:rPr>
              <w:t>OR-eZBI</w:t>
            </w:r>
            <w:proofErr w:type="spellEnd"/>
            <w:r w:rsidRPr="00F934C7">
              <w:rPr>
                <w:rFonts w:ascii="Times" w:hAnsi="Times" w:cs="Times"/>
              </w:rPr>
              <w:t xml:space="preserve">? Ak áno, je nevyhnutné ich kvantifikovať v doložke vplyvov. 2/ V reakcii na vypustenie poplatku za el. kópiu listín zo zbierky listín, mení sa aj filozofický náhľad ministerstva spravodlivosti na otázku všeobecnej dostupnosti el. kópií listín zo zbierky listín? Tzn. budú tieto el. kópie všeobecne dostupné ako súčasť webu </w:t>
            </w:r>
            <w:proofErr w:type="spellStart"/>
            <w:r w:rsidRPr="00F934C7">
              <w:rPr>
                <w:rFonts w:ascii="Times" w:hAnsi="Times" w:cs="Times"/>
              </w:rPr>
              <w:t>orsr.sk</w:t>
            </w:r>
            <w:proofErr w:type="spellEnd"/>
            <w:r w:rsidRPr="00F934C7">
              <w:rPr>
                <w:rFonts w:ascii="Times" w:hAnsi="Times" w:cs="Times"/>
              </w:rPr>
              <w:t xml:space="preserve"> bez potreby predchádzajúcej registrácie či posielania žiadosti (ako napríklad v ČR alebo najnovšie aj Spojené kráľovstvo úplne otvorilo svoj obchodný register a zbierku listín, a to tak po stránke vypustenia poplatkov, ako aj po stránke odbúrania povinnosti registrácie)? Ak áno, budú na to nevyhnutné úpravy informačných systémov? Ak áno, je potrebné ich kvantifikovať v doložke vplyvov a zároveň v takom prípade, bude ministerstvo viesť diskusiu o možnosti postaviť zbierku listín ako </w:t>
            </w:r>
            <w:proofErr w:type="spellStart"/>
            <w:r w:rsidRPr="00F934C7">
              <w:rPr>
                <w:rFonts w:ascii="Times" w:hAnsi="Times" w:cs="Times"/>
              </w:rPr>
              <w:t>open-data</w:t>
            </w:r>
            <w:proofErr w:type="spellEnd"/>
            <w:r w:rsidRPr="00F934C7">
              <w:rPr>
                <w:rFonts w:ascii="Times" w:hAnsi="Times" w:cs="Times"/>
              </w:rPr>
              <w:t xml:space="preserve"> (keďže už dnes mnoho dokumentov je predkladaných so ZEP/KEP, pričom kontajner v mnohých </w:t>
            </w:r>
            <w:r w:rsidRPr="00F934C7">
              <w:rPr>
                <w:rFonts w:ascii="Times" w:hAnsi="Times" w:cs="Times"/>
              </w:rPr>
              <w:lastRenderedPageBreak/>
              <w:t>prípadoch obsahuje podpisovanú prílohu vo formáte .</w:t>
            </w:r>
            <w:proofErr w:type="spellStart"/>
            <w:r w:rsidRPr="00F934C7">
              <w:rPr>
                <w:rFonts w:ascii="Times" w:hAnsi="Times" w:cs="Times"/>
              </w:rPr>
              <w:t>rtf</w:t>
            </w:r>
            <w:proofErr w:type="spellEnd"/>
            <w:r w:rsidRPr="00F934C7">
              <w:rPr>
                <w:rFonts w:ascii="Times" w:hAnsi="Times" w:cs="Times"/>
              </w:rPr>
              <w:t xml:space="preserve"> alebo .</w:t>
            </w:r>
            <w:proofErr w:type="spellStart"/>
            <w:r w:rsidRPr="00F934C7">
              <w:rPr>
                <w:rFonts w:ascii="Times" w:hAnsi="Times" w:cs="Times"/>
              </w:rPr>
              <w:t>pdf</w:t>
            </w:r>
            <w:proofErr w:type="spellEnd"/>
            <w:r w:rsidRPr="00F934C7">
              <w:rPr>
                <w:rFonts w:ascii="Times" w:hAnsi="Times" w:cs="Times"/>
              </w:rPr>
              <w:t>, ktoré sú strojovo čitateľné a teda vhodné na ďalšie automatizované spracovávanie?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bookmarkStart w:id="0" w:name="_GoBack"/>
            <w:r w:rsidRPr="00F934C7">
              <w:rPr>
                <w:rFonts w:ascii="Times" w:hAnsi="Times" w:cs="Times"/>
              </w:rPr>
              <w:t>Predkladateľ berie vznesenú pripomienku na vedomie. Obchodný register bude v blízkej budúcnosti predmetom pripravovaných zmien, ktoré budú reflektovať otázky, na ktoré upozorňuje pripomienkujúci subjekt. V danom prípade však nejde o realizáciu reformovania obchodného registra, ale o transpozíciu smernice EÚ.</w:t>
            </w:r>
            <w:bookmarkEnd w:id="0"/>
          </w:p>
        </w:tc>
      </w:tr>
    </w:tbl>
    <w:p w:rsidR="00154A91" w:rsidRPr="00F934C7" w:rsidRDefault="00154A91" w:rsidP="00CE47A6"/>
    <w:p w:rsidR="00154A91" w:rsidRPr="00F934C7" w:rsidRDefault="00154A91" w:rsidP="00CE47A6"/>
    <w:sectPr w:rsidR="00154A91" w:rsidRPr="00F934C7"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57" w:rsidRDefault="001C0C57" w:rsidP="000A67D5">
      <w:pPr>
        <w:spacing w:after="0" w:line="240" w:lineRule="auto"/>
      </w:pPr>
      <w:r>
        <w:separator/>
      </w:r>
    </w:p>
  </w:endnote>
  <w:endnote w:type="continuationSeparator" w:id="0">
    <w:p w:rsidR="001C0C57" w:rsidRDefault="001C0C5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57" w:rsidRDefault="001C0C57" w:rsidP="000A67D5">
      <w:pPr>
        <w:spacing w:after="0" w:line="240" w:lineRule="auto"/>
      </w:pPr>
      <w:r>
        <w:separator/>
      </w:r>
    </w:p>
  </w:footnote>
  <w:footnote w:type="continuationSeparator" w:id="0">
    <w:p w:rsidR="001C0C57" w:rsidRDefault="001C0C5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29FB"/>
    <w:rsid w:val="0006543E"/>
    <w:rsid w:val="000A67D5"/>
    <w:rsid w:val="000E25CA"/>
    <w:rsid w:val="000F7A42"/>
    <w:rsid w:val="00146547"/>
    <w:rsid w:val="00146B48"/>
    <w:rsid w:val="00150388"/>
    <w:rsid w:val="00154A91"/>
    <w:rsid w:val="001C0C57"/>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9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0340">
      <w:bodyDiv w:val="1"/>
      <w:marLeft w:val="0"/>
      <w:marRight w:val="0"/>
      <w:marTop w:val="0"/>
      <w:marBottom w:val="0"/>
      <w:divBdr>
        <w:top w:val="none" w:sz="0" w:space="0" w:color="auto"/>
        <w:left w:val="none" w:sz="0" w:space="0" w:color="auto"/>
        <w:bottom w:val="none" w:sz="0" w:space="0" w:color="auto"/>
        <w:right w:val="none" w:sz="0" w:space="0" w:color="auto"/>
      </w:divBdr>
    </w:div>
    <w:div w:id="355472196">
      <w:bodyDiv w:val="1"/>
      <w:marLeft w:val="0"/>
      <w:marRight w:val="0"/>
      <w:marTop w:val="0"/>
      <w:marBottom w:val="0"/>
      <w:divBdr>
        <w:top w:val="none" w:sz="0" w:space="0" w:color="auto"/>
        <w:left w:val="none" w:sz="0" w:space="0" w:color="auto"/>
        <w:bottom w:val="none" w:sz="0" w:space="0" w:color="auto"/>
        <w:right w:val="none" w:sz="0" w:space="0" w:color="auto"/>
      </w:divBdr>
    </w:div>
    <w:div w:id="424881475">
      <w:bodyDiv w:val="1"/>
      <w:marLeft w:val="0"/>
      <w:marRight w:val="0"/>
      <w:marTop w:val="0"/>
      <w:marBottom w:val="0"/>
      <w:divBdr>
        <w:top w:val="none" w:sz="0" w:space="0" w:color="auto"/>
        <w:left w:val="none" w:sz="0" w:space="0" w:color="auto"/>
        <w:bottom w:val="none" w:sz="0" w:space="0" w:color="auto"/>
        <w:right w:val="none" w:sz="0" w:space="0" w:color="auto"/>
      </w:divBdr>
    </w:div>
    <w:div w:id="436950677">
      <w:bodyDiv w:val="1"/>
      <w:marLeft w:val="0"/>
      <w:marRight w:val="0"/>
      <w:marTop w:val="0"/>
      <w:marBottom w:val="0"/>
      <w:divBdr>
        <w:top w:val="none" w:sz="0" w:space="0" w:color="auto"/>
        <w:left w:val="none" w:sz="0" w:space="0" w:color="auto"/>
        <w:bottom w:val="none" w:sz="0" w:space="0" w:color="auto"/>
        <w:right w:val="none" w:sz="0" w:space="0" w:color="auto"/>
      </w:divBdr>
    </w:div>
    <w:div w:id="591083355">
      <w:bodyDiv w:val="1"/>
      <w:marLeft w:val="0"/>
      <w:marRight w:val="0"/>
      <w:marTop w:val="0"/>
      <w:marBottom w:val="0"/>
      <w:divBdr>
        <w:top w:val="none" w:sz="0" w:space="0" w:color="auto"/>
        <w:left w:val="none" w:sz="0" w:space="0" w:color="auto"/>
        <w:bottom w:val="none" w:sz="0" w:space="0" w:color="auto"/>
        <w:right w:val="none" w:sz="0" w:space="0" w:color="auto"/>
      </w:divBdr>
    </w:div>
    <w:div w:id="711031218">
      <w:bodyDiv w:val="1"/>
      <w:marLeft w:val="0"/>
      <w:marRight w:val="0"/>
      <w:marTop w:val="0"/>
      <w:marBottom w:val="0"/>
      <w:divBdr>
        <w:top w:val="none" w:sz="0" w:space="0" w:color="auto"/>
        <w:left w:val="none" w:sz="0" w:space="0" w:color="auto"/>
        <w:bottom w:val="none" w:sz="0" w:space="0" w:color="auto"/>
        <w:right w:val="none" w:sz="0" w:space="0" w:color="auto"/>
      </w:divBdr>
    </w:div>
    <w:div w:id="1128474976">
      <w:bodyDiv w:val="1"/>
      <w:marLeft w:val="0"/>
      <w:marRight w:val="0"/>
      <w:marTop w:val="0"/>
      <w:marBottom w:val="0"/>
      <w:divBdr>
        <w:top w:val="none" w:sz="0" w:space="0" w:color="auto"/>
        <w:left w:val="none" w:sz="0" w:space="0" w:color="auto"/>
        <w:bottom w:val="none" w:sz="0" w:space="0" w:color="auto"/>
        <w:right w:val="none" w:sz="0" w:space="0" w:color="auto"/>
      </w:divBdr>
    </w:div>
    <w:div w:id="20844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2.2017 11:29:28"/>
    <f:field ref="objchangedby" par="" text="Administrator, System"/>
    <f:field ref="objmodifiedat" par="" text="16.2.2017 11:29:3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2855</Words>
  <Characters>16276</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2017-02-16T10:36:00Z</dcterms:created>
  <dcterms:modified xsi:type="dcterms:W3CDTF">2017-02-16T10:36:00Z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Obchodné právo_x000d_
Obchodné spoločnosti a družstvá</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Viera Gaschová Bačová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530/2003 Z. z. o obchodnom registri a o zmene a doplnení niektorých zákonov v znení neskorších predpisov a ktorým sa mení zákon Slovenskej národnej rady č. 71/1992 Zb. o súdnych poplatkoch a poplatku za výpis z registra</vt:lpwstr>
  </property>
  <property fmtid="{D5CDD505-2E9C-101B-9397-08002B2CF9AE}" pid="14" name="FSC#SKEDITIONSLOVLEX@103.510:nazovpredpis1">
    <vt:lpwstr> trestov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Smernica Európskeho parlamentu a Rady č. 2012/17/EÚ z 13. júna 2012, ktorou sa mení a dopĺňa smernica Rady 89/666/EHS a smernice Európskeho parlamentu a Rady 2005/56/ES a 2009/101/ES, pokiaľ ide o prepojenie centrálnych registrov, obchodných registrov a r</vt:lpwstr>
  </property>
  <property fmtid="{D5CDD505-2E9C-101B-9397-08002B2CF9AE}" pid="22" name="FSC#SKEDITIONSLOVLEX@103.510:plnynazovpredpis">
    <vt:lpwstr> Zákon, ktorým sa mení a dopĺňa zákon č. 530/2003 Z. z. o obchodnom registri a o zmene a doplnení niektorých zákonov v znení neskorších predpisov a ktorým sa mení zákon Slovenskej národnej rady č. 71/1992 Zb. o súdnych poplatkoch a poplatku za výpis z reg</vt:lpwstr>
  </property>
  <property fmtid="{D5CDD505-2E9C-101B-9397-08002B2CF9AE}" pid="23" name="FSC#SKEDITIONSLOVLEX@103.510:plnynazovpredpis1">
    <vt:lpwstr>istra trestov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38 007/2017-110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Články 68 a 81 Zmluvy o fungovaní Európskej únie</vt:lpwstr>
  </property>
  <property fmtid="{D5CDD505-2E9C-101B-9397-08002B2CF9AE}" pid="46" name="FSC#SKEDITIONSLOVLEX@103.510:AttrStrListDocPropSekundarneLegPravoPO">
    <vt:lpwstr>-	Smernica Európskeho parlamentu a Rady č. 2012/17/EÚ z 13. júna 2012, ktorou sa mení a dopĺňa smernica Rady 89/666/EHS a smernice Európskeho parlamentu a Rady 2005/56/ES a 2009/101/ES, pokiaľ ide o prepojenie centrálnych registrov, obchodných registrov 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rozsudok ESD vo veci C‑398/15 Camera di Commercio, Industria, Artigianato e Agricoltura di Lecce proti Salvatore Manni.</vt:lpwstr>
  </property>
  <property fmtid="{D5CDD505-2E9C-101B-9397-08002B2CF9AE}" pid="51" name="FSC#SKEDITIONSLOVLEX@103.510:AttrStrListDocPropLehotaPrebratieSmernice">
    <vt:lpwstr>Smernicu Európskeho parlamentu a Rady č. 2012/17/EÚ z 13. júna 2012, ktorou sa mení a dopĺňa smernica Rady 89/666/EHS a smernice Európskeho parlamentu a Rady 2005/56/ES a 2009/101/ES, pokiaľ ide o prepojenie centrálnych registrov, obchodných registrov a r</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nie je začaté konanie o porušení podľa čl. 258 až 260 Zmluvy o fungovaní Európskej únie</vt:lpwstr>
  </property>
  <property fmtid="{D5CDD505-2E9C-101B-9397-08002B2CF9AE}" pid="54" name="FSC#SKEDITIONSLOVLEX@103.510:AttrStrListDocPropInfoUzPreberanePP">
    <vt:lpwstr>Zákon č. 530/2003 Z. z. o obchodnom registri a o zmene a doplnení niektorých zákonov v znení neskorších predpisov.</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11. 1. 2017</vt:lpwstr>
  </property>
  <property fmtid="{D5CDD505-2E9C-101B-9397-08002B2CF9AE}" pid="58" name="FSC#SKEDITIONSLOVLEX@103.510:AttrDateDocPropUkonceniePKK">
    <vt:lpwstr>25. 1. 2017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Ministerstvo spravodlivosti v súvislosti s predkladaným návrhom zákona žiada o navýšenie rozpočtu pre kapitolu Ministerstva  spravodlivosti Slovenskej republiky. Negatívny vplyv na rozpočet súvisiaci s vypustením poplatkov za elektronické poskytovanie lis</vt:lpwstr>
  </property>
  <property fmtid="{D5CDD505-2E9C-101B-9397-08002B2CF9AE}" pid="65" name="FSC#SKEDITIONSLOVLEX@103.510:AttrStrListDocPropAltRiesenia">
    <vt:lpwstr>Alternatívne riešenia neboli posudzované nakoľko transpozičná povinnosť je jasne vymedzená a musí byť premietnutá do návrhu zákona.</vt:lpwstr>
  </property>
  <property fmtid="{D5CDD505-2E9C-101B-9397-08002B2CF9AE}" pid="66" name="FSC#SKEDITIONSLOVLEX@103.510:AttrStrListDocPropStanoviskoGest">
    <vt:lpwstr>Návrh zákona bol predložený na predbežné pripomienkové konanie dňa 11. januára 2017. Stála pracovná komisia Legislatívnej rady vlády Slovenskej republiky na posudzovanie vybraných vplyvov zaslala dňa 25. januára 2017 k  predloženému materiálu stanovisko, </vt:lpwstr>
  </property>
  <property fmtid="{D5CDD505-2E9C-101B-9397-08002B2CF9AE}" pid="67" name="FSC#SKEDITIONSLOVLEX@103.510:AttrStrListDocPropTextKomunike">
    <vt:lpwstr>Vláda Slovenskej republiky na svojom rokovaní dňa ....................... prerokovala a schválila návrh zákona, ktorým sa mení a dopĺňa zákon č. 530/2003 Z. z. o obchodnom registri a o zmene a doplnení niektorých zákonov v znení neskorších predpisov a kto</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 Ministerstvo spravodlivosti Slovenskej republiky predkladá do medzirezortného pripomienkového konania návrh zákona, ktorým sa mení a dopĺňa zákon č. 530/2003 Z. z. o obchodnom registri a o zmene a d</vt:lpwstr>
  </property>
  <property fmtid="{D5CDD505-2E9C-101B-9397-08002B2CF9AE}" pid="149" name="FSC#COOSYSTEM@1.1:Container">
    <vt:lpwstr>COO.2145.1000.3.1837426</vt:lpwstr>
  </property>
  <property fmtid="{D5CDD505-2E9C-101B-9397-08002B2CF9AE}" pid="150" name="FSC#FSCFOLIO@1.1001:docpropproject">
    <vt:lpwstr/>
  </property>
  <property fmtid="{D5CDD505-2E9C-101B-9397-08002B2CF9AE}" pid="151" name="FSC#SKEDITIONSLOVLEX@103.510:aktualnyrok">
    <vt:lpwstr>2017</vt:lpwstr>
  </property>
</Properties>
</file>