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CD199E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CD199E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3D1528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CD199E" w:rsidRDefault="009F2DFA" w:rsidP="007B71A4">
                  <w:pPr>
                    <w:rPr>
                      <w:sz w:val="24"/>
                      <w:szCs w:val="24"/>
                    </w:rPr>
                  </w:pPr>
                  <w:r w:rsidRPr="00CD199E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  <w:p w:rsidR="00C92901" w:rsidRPr="00F04CCD" w:rsidRDefault="00C92901" w:rsidP="007B71A4">
            <w:pPr>
              <w:rPr>
                <w:i/>
              </w:rPr>
            </w:pP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D1528" w:rsidRPr="00CD199E" w:rsidRDefault="003D1528" w:rsidP="00CD199E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Cieľom návrhu zákona je liberalizovať trh prevádzkovateľov staníc technickej kontroly a pracovísk emisnej kontroly. Z tohto dôvodu predkladaným návrhom môžu byť ovplyvnené oprávnené osoby technickej kontroly</w:t>
            </w:r>
            <w:r w:rsidR="003B110A"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 počte </w:t>
            </w:r>
            <w:r w:rsidR="00736168"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cca 130</w:t>
            </w:r>
            <w:r w:rsidR="003B110A"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 oprávnené osoby emisnej kontroly</w:t>
            </w:r>
            <w:r w:rsidR="003B110A"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počte </w:t>
            </w:r>
            <w:r w:rsidR="00736168" w:rsidRPr="00CD1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cca 230.</w:t>
            </w:r>
          </w:p>
          <w:p w:rsidR="009F2DFA" w:rsidRPr="00E406B2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C92901" w:rsidRDefault="009F2DFA" w:rsidP="00390F94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 hlavné body konzultácií a výsledky konzultácií.</w:t>
            </w:r>
          </w:p>
          <w:p w:rsidR="00C92901" w:rsidRPr="000D2622" w:rsidRDefault="00C92901" w:rsidP="00C92901">
            <w:pPr>
              <w:rPr>
                <w:i/>
              </w:rPr>
            </w:pP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2D1387" w:rsidP="002D1387">
            <w:pPr>
              <w:jc w:val="both"/>
              <w:rPr>
                <w:b/>
                <w:sz w:val="24"/>
                <w:szCs w:val="24"/>
              </w:rPr>
            </w:pPr>
            <w:r w:rsidRPr="004C7B45">
              <w:rPr>
                <w:b/>
                <w:sz w:val="24"/>
                <w:szCs w:val="24"/>
              </w:rPr>
              <w:t xml:space="preserve">         </w:t>
            </w:r>
            <w:r w:rsidR="00736168" w:rsidRPr="004C7B45">
              <w:rPr>
                <w:b/>
                <w:sz w:val="24"/>
                <w:szCs w:val="24"/>
              </w:rPr>
              <w:t xml:space="preserve">Verejnosť do prípravy právneho predpisu </w:t>
            </w:r>
            <w:r w:rsidR="003A7475" w:rsidRPr="004C7B45">
              <w:rPr>
                <w:b/>
                <w:sz w:val="24"/>
                <w:szCs w:val="24"/>
              </w:rPr>
              <w:t>bude zapojená</w:t>
            </w:r>
            <w:r w:rsidRPr="004C7B45">
              <w:rPr>
                <w:b/>
                <w:sz w:val="24"/>
                <w:szCs w:val="24"/>
              </w:rPr>
              <w:t xml:space="preserve"> </w:t>
            </w:r>
            <w:r w:rsidR="00736168" w:rsidRPr="004C7B45">
              <w:rPr>
                <w:b/>
                <w:sz w:val="24"/>
                <w:szCs w:val="24"/>
              </w:rPr>
              <w:t>formou zasielania podnetov tak</w:t>
            </w:r>
            <w:r w:rsidRPr="004C7B45">
              <w:rPr>
                <w:b/>
                <w:sz w:val="24"/>
                <w:szCs w:val="24"/>
              </w:rPr>
              <w:t>,</w:t>
            </w:r>
            <w:r w:rsidR="00736168" w:rsidRPr="004C7B45">
              <w:rPr>
                <w:b/>
                <w:sz w:val="24"/>
                <w:szCs w:val="24"/>
              </w:rPr>
              <w:t xml:space="preserve"> ako to</w:t>
            </w:r>
            <w:r w:rsidR="003A7475" w:rsidRPr="004C7B45">
              <w:rPr>
                <w:b/>
                <w:sz w:val="24"/>
                <w:szCs w:val="24"/>
              </w:rPr>
              <w:t xml:space="preserve"> bude uvedené v predbežnej informácii. Predbežná informácia je </w:t>
            </w:r>
            <w:r w:rsidR="00736168" w:rsidRPr="004C7B45">
              <w:rPr>
                <w:b/>
                <w:sz w:val="24"/>
                <w:szCs w:val="24"/>
              </w:rPr>
              <w:t>vypracovaná podľa § 9 zákona č. 400/2015 Z. z. o tvorbe právnych predpisov a o Zbierke zákonov Slovenskej republiky a o zmene a doplnení niektorých zákonov</w:t>
            </w:r>
            <w:r w:rsidR="003A7475" w:rsidRPr="004C7B45">
              <w:rPr>
                <w:b/>
                <w:sz w:val="24"/>
                <w:szCs w:val="24"/>
              </w:rPr>
              <w:t xml:space="preserve"> a</w:t>
            </w:r>
            <w:r w:rsidRPr="004C7B45">
              <w:rPr>
                <w:b/>
                <w:sz w:val="24"/>
                <w:szCs w:val="24"/>
              </w:rPr>
              <w:t xml:space="preserve"> bude </w:t>
            </w:r>
            <w:r w:rsidR="00736168" w:rsidRPr="004C7B45">
              <w:rPr>
                <w:b/>
                <w:sz w:val="24"/>
                <w:szCs w:val="24"/>
              </w:rPr>
              <w:t>zverejnená na portáli Slov-Lex.</w:t>
            </w:r>
            <w:r w:rsidR="003A7475" w:rsidRPr="004C7B45">
              <w:rPr>
                <w:b/>
                <w:sz w:val="24"/>
                <w:szCs w:val="24"/>
              </w:rPr>
              <w:t xml:space="preserve"> </w:t>
            </w:r>
            <w:r w:rsidR="00836C43" w:rsidRPr="004C7B45">
              <w:rPr>
                <w:b/>
                <w:sz w:val="24"/>
                <w:szCs w:val="24"/>
              </w:rPr>
              <w:t xml:space="preserve">Ďalšou formou zapojenia verejnosti bude medzirezortné pripomienkové konanie. </w:t>
            </w:r>
            <w:r w:rsidR="003A7475" w:rsidRPr="004C7B45">
              <w:rPr>
                <w:b/>
                <w:sz w:val="24"/>
                <w:szCs w:val="24"/>
              </w:rPr>
              <w:t>Iné konzultácie vykonané neboli.</w:t>
            </w:r>
          </w:p>
          <w:p w:rsidR="00C92901" w:rsidRPr="004C7B45" w:rsidRDefault="00C92901" w:rsidP="002D138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C92901" w:rsidRDefault="009F2DFA" w:rsidP="00251450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zvýšeniu/zníženiu priamych finančných nákladov (poplatky, odvody, dane clá...)? Ak áno, popíšte a vyčíslite ich. Uveďte tiež spôsob ich výpočtu</w:t>
            </w:r>
          </w:p>
          <w:p w:rsidR="009F2DFA" w:rsidRPr="00F04CCD" w:rsidRDefault="009F2DFA" w:rsidP="00C92901">
            <w:pPr>
              <w:rPr>
                <w:i/>
              </w:rPr>
            </w:pPr>
            <w:r w:rsidRPr="00F04CCD">
              <w:rPr>
                <w:i/>
              </w:rPr>
              <w:t xml:space="preserve">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CA5E99" w:rsidRDefault="00E406B2" w:rsidP="00CA5E99">
            <w:pPr>
              <w:jc w:val="both"/>
              <w:rPr>
                <w:b/>
                <w:sz w:val="24"/>
                <w:szCs w:val="24"/>
              </w:rPr>
            </w:pPr>
            <w:r w:rsidRPr="00CA5E99">
              <w:rPr>
                <w:b/>
                <w:sz w:val="24"/>
                <w:szCs w:val="24"/>
              </w:rPr>
              <w:t>Nie, n</w:t>
            </w:r>
            <w:r w:rsidR="003A7475" w:rsidRPr="00CA5E99">
              <w:rPr>
                <w:b/>
                <w:sz w:val="24"/>
                <w:szCs w:val="24"/>
              </w:rPr>
              <w:t>edochádza k zvýšeniu resp. zníženiu priamych finančných nákladov.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Default="009F2DFA" w:rsidP="004572DA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  <w:p w:rsidR="007E121A" w:rsidRPr="00F04CCD" w:rsidRDefault="007E121A" w:rsidP="00B31A8E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A5E99" w:rsidRDefault="003A7475" w:rsidP="00CA5E99">
            <w:pPr>
              <w:jc w:val="both"/>
              <w:rPr>
                <w:b/>
                <w:sz w:val="24"/>
                <w:szCs w:val="24"/>
              </w:rPr>
            </w:pPr>
            <w:r w:rsidRPr="00CA5E99">
              <w:rPr>
                <w:b/>
                <w:sz w:val="24"/>
                <w:szCs w:val="24"/>
              </w:rPr>
              <w:t>Nie, návrh zákona nepredpokladá dodatočné náklady na nákup tovarov alebo služieb.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Default="009F2DFA" w:rsidP="004572DA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  <w:p w:rsidR="007E121A" w:rsidRPr="00F04CCD" w:rsidRDefault="007E121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CA5E99" w:rsidRDefault="003A7475" w:rsidP="00CA5E99">
            <w:pPr>
              <w:jc w:val="both"/>
              <w:rPr>
                <w:b/>
                <w:sz w:val="24"/>
                <w:szCs w:val="24"/>
              </w:rPr>
            </w:pPr>
            <w:r w:rsidRPr="00CA5E99">
              <w:rPr>
                <w:b/>
                <w:sz w:val="24"/>
                <w:szCs w:val="24"/>
              </w:rPr>
              <w:t>Nedochádza k zavedeniu nových informačných povinností.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66E7B">
            <w:pPr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966E7B">
                  <w:pPr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966E7B">
                  <w:pPr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966E7B">
                  <w:pPr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966E7B">
                  <w:pPr>
                    <w:jc w:val="both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Default="009F2DFA" w:rsidP="00241D39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  <w:p w:rsidR="00C92901" w:rsidRPr="00F04CCD" w:rsidRDefault="00C92901" w:rsidP="00241D39">
            <w:pPr>
              <w:jc w:val="both"/>
              <w:rPr>
                <w:i/>
              </w:rPr>
            </w:pP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2D1387" w:rsidRPr="00D55EF5" w:rsidRDefault="00836C43" w:rsidP="002D1387">
            <w:pPr>
              <w:jc w:val="both"/>
              <w:rPr>
                <w:b/>
                <w:sz w:val="24"/>
                <w:szCs w:val="24"/>
              </w:rPr>
            </w:pPr>
            <w:r w:rsidRPr="00D55EF5">
              <w:rPr>
                <w:b/>
                <w:sz w:val="24"/>
                <w:szCs w:val="24"/>
              </w:rPr>
              <w:t>Cieľom návrhu zákona je liberalizovať trh prevádzkovateľov staníc technickej kontroly a pracovísk emisnej kontroly. V súčasnosti sieť a počet prevádzkovateľov staníc technickej kontroly a pracovísk emisnej kontroly pre každý okres určuje Ministerstvo dopravy a výstavby Slovenskej republiky. Podmienky sú ustanovené vo vyhláške Ministerstva dopravy, pôšt a telekomunikácií Slovenskej republiky č. 578/2006 Z. z., ktorou sa vykonávajú niektoré ustanovenia zákona č. 725/2004 Z. z. o podmienkach prevádzky vozidiel v premávke na pozemných komunikáciách a o zmene a doplnení niektorých zákonov v znení neskorších predpisov.</w:t>
            </w:r>
          </w:p>
          <w:p w:rsidR="002D1387" w:rsidRPr="00D55EF5" w:rsidRDefault="002D1387" w:rsidP="002D1387">
            <w:pPr>
              <w:jc w:val="both"/>
              <w:rPr>
                <w:b/>
                <w:sz w:val="24"/>
                <w:szCs w:val="24"/>
              </w:rPr>
            </w:pPr>
          </w:p>
          <w:p w:rsidR="00186F9A" w:rsidRPr="00D55EF5" w:rsidRDefault="00836C43" w:rsidP="00186F9A">
            <w:pPr>
              <w:pStyle w:val="Zkladntext"/>
              <w:spacing w:after="0" w:line="240" w:lineRule="auto"/>
              <w:jc w:val="both"/>
              <w:rPr>
                <w:sz w:val="24"/>
                <w:szCs w:val="24"/>
                <w:lang w:val="sk-SK"/>
              </w:rPr>
            </w:pPr>
            <w:r w:rsidRPr="00D55EF5">
              <w:rPr>
                <w:b/>
                <w:sz w:val="24"/>
                <w:szCs w:val="24"/>
                <w:lang w:val="sk-SK"/>
              </w:rPr>
              <w:t>Po prijatí tejto právnej úpravy prevádzkovať stanicu technickej kontroly a pracovisko emisnej kontroly bude môcť každý, kto splní ustanovené podmienky, pričom táto služba zo strany štátu nebude nijakým spôsobom limitovaná.</w:t>
            </w:r>
            <w:r w:rsidR="00186F9A" w:rsidRPr="00D55EF5">
              <w:rPr>
                <w:b/>
                <w:sz w:val="24"/>
                <w:szCs w:val="24"/>
                <w:lang w:val="sk-SK"/>
              </w:rPr>
              <w:t xml:space="preserve"> Zároveň návrh zákona obsahuje ustanovenie novej podmienky na udelenie povolenia na zriadenie pracoviska technickej (emisnej) kontroly. Ide o podmienku, aby žiadateľ bol súčasne osobou oprávnenou na vykonávanie emisnej (technickej) kontroly, alebo o také oprávnenie súčasne požiadal, alebo požiadal o povolenie na zriadenie stanice emisnej (technickej) kontroly. Táto podmienka na strane súčasných prevádzkovateľov staníc technickej a emisnej kontroly, ktorí neposkytujú jednu z týchto služieb</w:t>
            </w:r>
            <w:r w:rsidR="00C008DB">
              <w:rPr>
                <w:b/>
                <w:sz w:val="24"/>
                <w:szCs w:val="24"/>
                <w:lang w:val="sk-SK"/>
              </w:rPr>
              <w:t>,</w:t>
            </w:r>
            <w:r w:rsidR="00186F9A" w:rsidRPr="00D55EF5">
              <w:rPr>
                <w:b/>
                <w:sz w:val="24"/>
                <w:szCs w:val="24"/>
                <w:lang w:val="sk-SK"/>
              </w:rPr>
              <w:t xml:space="preserve"> môže vyvolať navýšenie finančných nákladov, ak budú chcieť v budúcnosti poskytovať obe služby súčasne.</w:t>
            </w:r>
          </w:p>
          <w:p w:rsidR="002D1387" w:rsidRPr="00D55EF5" w:rsidRDefault="002D1387" w:rsidP="002D1387">
            <w:pPr>
              <w:jc w:val="both"/>
              <w:rPr>
                <w:b/>
                <w:sz w:val="24"/>
                <w:szCs w:val="24"/>
              </w:rPr>
            </w:pPr>
          </w:p>
          <w:p w:rsidR="00836C43" w:rsidRPr="00D55EF5" w:rsidRDefault="00836C43" w:rsidP="00186F9A">
            <w:pPr>
              <w:jc w:val="both"/>
              <w:rPr>
                <w:b/>
                <w:sz w:val="24"/>
                <w:szCs w:val="24"/>
              </w:rPr>
            </w:pPr>
            <w:r w:rsidRPr="00D55EF5">
              <w:rPr>
                <w:b/>
                <w:sz w:val="24"/>
                <w:szCs w:val="24"/>
              </w:rPr>
              <w:t xml:space="preserve">Na základe vyššie uvedeného je možné konštatovať, že nedochádza k vytváraniu bariér pre vstup na trh, </w:t>
            </w:r>
            <w:r w:rsidR="002D1387" w:rsidRPr="00D55EF5">
              <w:rPr>
                <w:b/>
                <w:sz w:val="24"/>
                <w:szCs w:val="24"/>
              </w:rPr>
              <w:t xml:space="preserve">a </w:t>
            </w:r>
            <w:r w:rsidRPr="00D55EF5">
              <w:rPr>
                <w:b/>
                <w:sz w:val="24"/>
                <w:szCs w:val="24"/>
              </w:rPr>
              <w:t>nej</w:t>
            </w:r>
            <w:r w:rsidR="002D1387" w:rsidRPr="00D55EF5">
              <w:rPr>
                <w:b/>
                <w:sz w:val="24"/>
                <w:szCs w:val="24"/>
              </w:rPr>
              <w:t>de o</w:t>
            </w:r>
            <w:r w:rsidRPr="00D55EF5">
              <w:rPr>
                <w:b/>
                <w:sz w:val="24"/>
                <w:szCs w:val="24"/>
              </w:rPr>
              <w:t> prísnejšiu reguláciu. Zároveň návrh zákona nebude mať vplyv na obchodné bariéry ani vplyv na vyv</w:t>
            </w:r>
            <w:r w:rsidR="00E406B2" w:rsidRPr="00D55EF5">
              <w:rPr>
                <w:b/>
                <w:sz w:val="24"/>
                <w:szCs w:val="24"/>
              </w:rPr>
              <w:t>olanie cezhraničných investícií</w:t>
            </w:r>
            <w:bookmarkStart w:id="0" w:name="_GoBack"/>
            <w:bookmarkEnd w:id="0"/>
            <w:r w:rsidR="00E406B2" w:rsidRPr="00D55EF5">
              <w:rPr>
                <w:b/>
                <w:sz w:val="24"/>
                <w:szCs w:val="24"/>
              </w:rPr>
              <w:t xml:space="preserve"> ani na cenu a dostupnosť služieb. Návrh zákona nevytvára nové možnosti financovania aktivít</w:t>
            </w:r>
            <w:r w:rsidR="00DA26A8">
              <w:rPr>
                <w:b/>
                <w:sz w:val="24"/>
                <w:szCs w:val="24"/>
              </w:rPr>
              <w:t>.</w:t>
            </w:r>
          </w:p>
          <w:p w:rsidR="00836C43" w:rsidRPr="00F04CCD" w:rsidRDefault="00836C43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6B28B1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Default="00837639" w:rsidP="006B28B1">
            <w:pPr>
              <w:jc w:val="both"/>
              <w:rPr>
                <w:i/>
              </w:rPr>
            </w:pPr>
            <w:r w:rsidRPr="00154881">
              <w:rPr>
                <w:i/>
              </w:rPr>
              <w:lastRenderedPageBreak/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  <w:p w:rsidR="00C92901" w:rsidRPr="00F04CCD" w:rsidRDefault="00C92901" w:rsidP="007B71A4"/>
        </w:tc>
      </w:tr>
      <w:tr w:rsidR="009F2DFA" w:rsidRPr="00F04CCD" w:rsidTr="00C92901">
        <w:trPr>
          <w:trHeight w:val="800"/>
        </w:trPr>
        <w:tc>
          <w:tcPr>
            <w:tcW w:w="9212" w:type="dxa"/>
          </w:tcPr>
          <w:p w:rsidR="009F2DFA" w:rsidRPr="001B3B4F" w:rsidRDefault="00E406B2" w:rsidP="00DF4133">
            <w:pPr>
              <w:jc w:val="both"/>
              <w:rPr>
                <w:b/>
                <w:sz w:val="24"/>
                <w:szCs w:val="24"/>
              </w:rPr>
            </w:pPr>
            <w:r w:rsidRPr="001B3B4F">
              <w:rPr>
                <w:b/>
                <w:sz w:val="24"/>
                <w:szCs w:val="24"/>
              </w:rPr>
              <w:lastRenderedPageBreak/>
              <w:t>Návrh zákona nemá vplyv na inovácie podnikateľov.</w:t>
            </w:r>
          </w:p>
        </w:tc>
      </w:tr>
    </w:tbl>
    <w:p w:rsidR="009F2DFA" w:rsidRPr="00F04CCD" w:rsidRDefault="009F2DFA" w:rsidP="00B512BC">
      <w:pPr>
        <w:jc w:val="both"/>
      </w:pPr>
    </w:p>
    <w:p w:rsidR="009F2DFA" w:rsidRDefault="009F2DFA" w:rsidP="00B512BC">
      <w:pPr>
        <w:jc w:val="both"/>
      </w:pPr>
    </w:p>
    <w:p w:rsidR="009F2DFA" w:rsidRDefault="009F2DFA" w:rsidP="00B512BC">
      <w:pPr>
        <w:jc w:val="both"/>
      </w:pPr>
    </w:p>
    <w:sectPr w:rsidR="009F2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90" w:rsidRDefault="00251590" w:rsidP="009F2DFA">
      <w:r>
        <w:separator/>
      </w:r>
    </w:p>
  </w:endnote>
  <w:endnote w:type="continuationSeparator" w:id="0">
    <w:p w:rsidR="00251590" w:rsidRDefault="00251590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8DB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90" w:rsidRDefault="00251590" w:rsidP="009F2DFA">
      <w:r>
        <w:separator/>
      </w:r>
    </w:p>
  </w:footnote>
  <w:footnote w:type="continuationSeparator" w:id="0">
    <w:p w:rsidR="00251590" w:rsidRDefault="00251590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E74CA"/>
    <w:rsid w:val="00154881"/>
    <w:rsid w:val="00186F9A"/>
    <w:rsid w:val="001B3B4F"/>
    <w:rsid w:val="001D5A16"/>
    <w:rsid w:val="00241D39"/>
    <w:rsid w:val="00251450"/>
    <w:rsid w:val="00251590"/>
    <w:rsid w:val="00254A27"/>
    <w:rsid w:val="002B1108"/>
    <w:rsid w:val="002D1387"/>
    <w:rsid w:val="002E73E2"/>
    <w:rsid w:val="00390F94"/>
    <w:rsid w:val="003A7475"/>
    <w:rsid w:val="003B110A"/>
    <w:rsid w:val="003C7F2A"/>
    <w:rsid w:val="003D1528"/>
    <w:rsid w:val="00402262"/>
    <w:rsid w:val="004572DA"/>
    <w:rsid w:val="004C7B45"/>
    <w:rsid w:val="0052297F"/>
    <w:rsid w:val="00550EBA"/>
    <w:rsid w:val="00567A32"/>
    <w:rsid w:val="006A525F"/>
    <w:rsid w:val="006B28B1"/>
    <w:rsid w:val="00736168"/>
    <w:rsid w:val="00780BA6"/>
    <w:rsid w:val="0079269B"/>
    <w:rsid w:val="007B4666"/>
    <w:rsid w:val="007E121A"/>
    <w:rsid w:val="00836C43"/>
    <w:rsid w:val="00837639"/>
    <w:rsid w:val="008A1252"/>
    <w:rsid w:val="00904C9B"/>
    <w:rsid w:val="00966E7B"/>
    <w:rsid w:val="009E57DF"/>
    <w:rsid w:val="009F2DFA"/>
    <w:rsid w:val="00A952BD"/>
    <w:rsid w:val="00B31A8E"/>
    <w:rsid w:val="00B512BC"/>
    <w:rsid w:val="00B77486"/>
    <w:rsid w:val="00BA073A"/>
    <w:rsid w:val="00BC0337"/>
    <w:rsid w:val="00BF2F50"/>
    <w:rsid w:val="00C008DB"/>
    <w:rsid w:val="00C92901"/>
    <w:rsid w:val="00CA5E99"/>
    <w:rsid w:val="00CB3623"/>
    <w:rsid w:val="00CD199E"/>
    <w:rsid w:val="00D24448"/>
    <w:rsid w:val="00D55EF5"/>
    <w:rsid w:val="00DA26A8"/>
    <w:rsid w:val="00DF4133"/>
    <w:rsid w:val="00E406B2"/>
    <w:rsid w:val="00E86AD1"/>
    <w:rsid w:val="00EF2BD7"/>
    <w:rsid w:val="00F05685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B110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rsid w:val="00186F9A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86F9A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B110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rsid w:val="00186F9A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86F9A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Dindofferová, Alexandra</cp:lastModifiedBy>
  <cp:revision>34</cp:revision>
  <dcterms:created xsi:type="dcterms:W3CDTF">2017-01-17T12:22:00Z</dcterms:created>
  <dcterms:modified xsi:type="dcterms:W3CDTF">2017-03-02T13:55:00Z</dcterms:modified>
</cp:coreProperties>
</file>