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E" w:rsidRPr="008E125E" w:rsidRDefault="008E125E" w:rsidP="008E125E">
      <w:pPr>
        <w:rPr>
          <w:vanish/>
          <w:color w:val="auto"/>
        </w:rPr>
      </w:pPr>
    </w:p>
    <w:tbl>
      <w:tblPr>
        <w:tblW w:w="152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646"/>
        <w:gridCol w:w="851"/>
        <w:gridCol w:w="992"/>
        <w:gridCol w:w="1134"/>
        <w:gridCol w:w="4536"/>
        <w:gridCol w:w="850"/>
        <w:gridCol w:w="2247"/>
      </w:tblGrid>
      <w:tr w:rsidR="00D775E4" w:rsidRPr="00EE5D28" w:rsidTr="00D33691">
        <w:trPr>
          <w:trHeight w:val="512"/>
        </w:trPr>
        <w:tc>
          <w:tcPr>
            <w:tcW w:w="152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E4" w:rsidRPr="00EE5D28" w:rsidRDefault="00D775E4" w:rsidP="00D33691">
            <w:pPr>
              <w:pStyle w:val="Nadpis1"/>
              <w:rPr>
                <w:sz w:val="20"/>
                <w:szCs w:val="20"/>
              </w:rPr>
            </w:pPr>
            <w:r w:rsidRPr="00B2451D">
              <w:rPr>
                <w:sz w:val="20"/>
                <w:szCs w:val="20"/>
              </w:rPr>
              <w:t>TABUĽKA</w:t>
            </w:r>
            <w:r>
              <w:rPr>
                <w:sz w:val="20"/>
                <w:szCs w:val="20"/>
              </w:rPr>
              <w:t xml:space="preserve"> </w:t>
            </w:r>
            <w:r w:rsidRPr="00B2451D">
              <w:rPr>
                <w:sz w:val="20"/>
                <w:szCs w:val="20"/>
              </w:rPr>
              <w:t xml:space="preserve">ZHODY NA ÚČELY OZNÁMENIA TRANSPOZÍCIE SMERNICE </w:t>
            </w:r>
            <w:r>
              <w:rPr>
                <w:sz w:val="20"/>
                <w:szCs w:val="20"/>
              </w:rPr>
              <w:t>KOMISIE (EÚ) 2016/2037</w:t>
            </w:r>
          </w:p>
        </w:tc>
      </w:tr>
      <w:tr w:rsidR="00D775E4" w:rsidRPr="00EE5D28" w:rsidTr="00D33691">
        <w:trPr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5E4" w:rsidRDefault="00D775E4" w:rsidP="00D33691">
            <w:pPr>
              <w:jc w:val="center"/>
              <w:rPr>
                <w:b/>
                <w:sz w:val="20"/>
                <w:szCs w:val="20"/>
              </w:rPr>
            </w:pPr>
            <w:r w:rsidRPr="001A093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MERNICA KOMISIE</w:t>
            </w:r>
            <w:r w:rsidRPr="001A093E">
              <w:rPr>
                <w:b/>
                <w:sz w:val="20"/>
                <w:szCs w:val="20"/>
              </w:rPr>
              <w:t xml:space="preserve"> </w:t>
            </w:r>
          </w:p>
          <w:p w:rsidR="00D775E4" w:rsidRPr="0015035B" w:rsidRDefault="00D775E4" w:rsidP="00D33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č. </w:t>
            </w:r>
            <w:r w:rsidRPr="001A093E">
              <w:rPr>
                <w:b/>
                <w:sz w:val="20"/>
                <w:szCs w:val="20"/>
              </w:rPr>
              <w:t>2016/2037 z 21. novembra 2016, ktorou sa mení a dopĺňa smernica Rady 75/324/EHS o aproximácii právnych predpisov členských štátov týkajúcich sa aerosólových rozprašovačov s</w:t>
            </w:r>
            <w:r>
              <w:rPr>
                <w:b/>
                <w:sz w:val="20"/>
                <w:szCs w:val="20"/>
              </w:rPr>
              <w:t> </w:t>
            </w:r>
            <w:r w:rsidRPr="001A093E">
              <w:rPr>
                <w:b/>
                <w:sz w:val="20"/>
                <w:szCs w:val="20"/>
              </w:rPr>
              <w:t>cieľom prispôsobiť jej ustanovenia o označovaní nariadeniu Európskeho parlam</w:t>
            </w:r>
            <w:r>
              <w:rPr>
                <w:b/>
                <w:sz w:val="20"/>
                <w:szCs w:val="20"/>
              </w:rPr>
              <w:t>entu a Rady (ES) č. 1272/2008 o </w:t>
            </w:r>
            <w:r w:rsidRPr="001A093E">
              <w:rPr>
                <w:b/>
                <w:sz w:val="20"/>
                <w:szCs w:val="20"/>
              </w:rPr>
              <w:t>klasifikácii, označovaní a balení látok a zmesí (Ú</w:t>
            </w:r>
            <w:r>
              <w:rPr>
                <w:b/>
                <w:sz w:val="20"/>
                <w:szCs w:val="20"/>
              </w:rPr>
              <w:t>. v. EÚ L 314, 22. 11. 2016)</w:t>
            </w:r>
          </w:p>
        </w:tc>
        <w:tc>
          <w:tcPr>
            <w:tcW w:w="9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732A14" w:rsidRDefault="00D775E4" w:rsidP="002F5322">
            <w:pPr>
              <w:ind w:left="239" w:hanging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ab/>
            </w:r>
            <w:r w:rsidR="002F5322" w:rsidRPr="002F5322">
              <w:rPr>
                <w:b/>
                <w:bCs/>
                <w:sz w:val="20"/>
                <w:szCs w:val="20"/>
              </w:rPr>
              <w:t>Nariadeni</w:t>
            </w:r>
            <w:r w:rsidR="002F5322">
              <w:rPr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2F5322" w:rsidRPr="002F5322">
              <w:rPr>
                <w:b/>
                <w:bCs/>
                <w:sz w:val="20"/>
                <w:szCs w:val="20"/>
              </w:rPr>
              <w:t xml:space="preserve"> vlády Slovenskej republiky, ktorým sa mení nariadenie vlády Slovenskej republiky č. 46/2009 Z. z., ktorým sa ustanovujú požiadavky na aerosólové rozprašovače v znení nariadenia vlády Slovenskej republiky č. 300/2013 Z. z.</w:t>
            </w: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</w:pPr>
            <w:r w:rsidRPr="00EE5D28">
              <w:t>Článok</w:t>
            </w:r>
          </w:p>
          <w:p w:rsidR="00D775E4" w:rsidRPr="00EE5D28" w:rsidRDefault="00D775E4" w:rsidP="00D33691">
            <w:pPr>
              <w:pStyle w:val="Normlny0"/>
            </w:pPr>
            <w:r w:rsidRPr="00EE5D28">
              <w:t>(Č, O,</w:t>
            </w:r>
          </w:p>
          <w:p w:rsidR="00D775E4" w:rsidRPr="00EE5D28" w:rsidRDefault="00D775E4" w:rsidP="00D33691">
            <w:pPr>
              <w:pStyle w:val="Normlny0"/>
            </w:pPr>
            <w:r w:rsidRPr="00EE5D28">
              <w:t>V, P)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 xml:space="preserve">Spôsob </w:t>
            </w:r>
            <w:proofErr w:type="spellStart"/>
            <w:r w:rsidRPr="00EE5D28">
              <w:t>transp</w:t>
            </w:r>
            <w:proofErr w:type="spellEnd"/>
            <w:r w:rsidRPr="00EE5D28">
              <w:t>.</w:t>
            </w:r>
          </w:p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 xml:space="preserve">(N, O, D, </w:t>
            </w:r>
            <w:proofErr w:type="spellStart"/>
            <w:r w:rsidRPr="00EE5D28">
              <w:t>n.a</w:t>
            </w:r>
            <w:proofErr w:type="spellEnd"/>
            <w:r w:rsidRPr="00EE5D28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ormlny0"/>
            </w:pPr>
            <w:r w:rsidRPr="00EE5D28">
              <w:t>Poznámky</w:t>
            </w:r>
          </w:p>
          <w:p w:rsidR="00D775E4" w:rsidRPr="00EE5D28" w:rsidRDefault="00D775E4" w:rsidP="00D33691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Č:</w:t>
            </w:r>
            <w:r>
              <w:rPr>
                <w:sz w:val="20"/>
                <w:szCs w:val="20"/>
              </w:rPr>
              <w:t xml:space="preserve"> </w:t>
            </w:r>
            <w:r w:rsidRPr="00EE5D28">
              <w:rPr>
                <w:sz w:val="20"/>
                <w:szCs w:val="20"/>
              </w:rPr>
              <w:t>1</w:t>
            </w:r>
          </w:p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E5D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pStyle w:val="tl10ptPodaokraja"/>
              <w:ind w:right="63"/>
            </w:pPr>
            <w:r>
              <w:t xml:space="preserve">Zmeny smernice 75/324/EHS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right="63"/>
              <w:jc w:val="left"/>
            </w:pPr>
            <w:r>
              <w:t xml:space="preserve">Príloha k smernici 75/324/EHS sa mení takto: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right="63"/>
              <w:jc w:val="left"/>
            </w:pPr>
            <w:r w:rsidRPr="00B65D6E">
              <w:t xml:space="preserve">a) Bod 2.2 sa nahrádza takto: „2.2.Označovanie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right="63"/>
            </w:pPr>
            <w:r w:rsidRPr="00B65D6E">
              <w:t xml:space="preserve">Bez toho, aby boli dotknuté ustanovenia nariadenia (ES) č. 1272/2008, musí byť každý aerosólový rozprašovač viditeľne, zreteľne a nezmazateľne označený týmto spôsobom: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left="201" w:right="63" w:hanging="201"/>
            </w:pPr>
            <w:r>
              <w:t>a)</w:t>
            </w:r>
            <w:r>
              <w:tab/>
            </w:r>
            <w:r w:rsidRPr="00B65D6E">
              <w:t>ak je aerosól podľa kritérií bodu 1.9 klasifikovaný ako ‚nehorľav</w:t>
            </w:r>
            <w:r>
              <w:t>ý‘, výstražným slovom ‚Pozor‘ a </w:t>
            </w:r>
            <w:r w:rsidRPr="00B65D6E">
              <w:t>os</w:t>
            </w:r>
            <w:r>
              <w:t>tatnými prvkami označovania pre </w:t>
            </w:r>
            <w:r w:rsidRPr="00B65D6E">
              <w:t>aerosóly kategórie 3 stanovenými v tabuľke 2.3.1 prílohy</w:t>
            </w:r>
            <w:r>
              <w:t> </w:t>
            </w:r>
            <w:r w:rsidRPr="00B65D6E">
              <w:t>I k nariadeniu (ES) č.</w:t>
            </w:r>
            <w:r>
              <w:t> </w:t>
            </w:r>
            <w:r w:rsidRPr="00B65D6E">
              <w:t xml:space="preserve">1272/2008;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left="201" w:right="63" w:hanging="201"/>
            </w:pPr>
            <w:r>
              <w:t>b)</w:t>
            </w:r>
            <w:r>
              <w:tab/>
            </w:r>
            <w:r w:rsidRPr="00B65D6E">
              <w:t>ak je aerosól podľa kritérií bodu 1.9 klasifikovaný ako ‚horľavý‘, výstražným slovom ‚Pozor‘ a</w:t>
            </w:r>
            <w:r>
              <w:t> </w:t>
            </w:r>
            <w:r w:rsidRPr="00B65D6E">
              <w:t>os</w:t>
            </w:r>
            <w:r>
              <w:t>tatnými prvkami označovania pre </w:t>
            </w:r>
            <w:r w:rsidRPr="00B65D6E">
              <w:t>aerosóly kategórie 2 stanovenými v tabuľke 2.3.1 prílohy I</w:t>
            </w:r>
            <w:r>
              <w:t> </w:t>
            </w:r>
            <w:r w:rsidRPr="00B65D6E">
              <w:t>k</w:t>
            </w:r>
            <w:r>
              <w:t> </w:t>
            </w:r>
            <w:r w:rsidRPr="00B65D6E">
              <w:t xml:space="preserve">nariadeniu (ES) č. 1272/2008;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left="201" w:right="63" w:hanging="201"/>
            </w:pPr>
            <w:r>
              <w:lastRenderedPageBreak/>
              <w:t>c)</w:t>
            </w:r>
            <w:r>
              <w:tab/>
            </w:r>
            <w:r w:rsidRPr="00B65D6E">
              <w:t>ak je aerosól podľa kritérií bodu 1.9 klasifikovaný ako ‚extrémne horľavý‘, výstražným slovom ‚Nebezpečenstvo‘ a</w:t>
            </w:r>
            <w:r>
              <w:t> </w:t>
            </w:r>
            <w:r w:rsidRPr="00B65D6E">
              <w:t>os</w:t>
            </w:r>
            <w:r>
              <w:t>tatnými prvkami označovania pre </w:t>
            </w:r>
            <w:r w:rsidRPr="00B65D6E">
              <w:t>aer</w:t>
            </w:r>
            <w:r>
              <w:t>osóly kategórie 1 stanovenými v </w:t>
            </w:r>
            <w:r w:rsidRPr="00B65D6E">
              <w:t>tabuľke 2.3.1 prílohy I k nariadeniu (ES) č.</w:t>
            </w:r>
            <w:r>
              <w:t> </w:t>
            </w:r>
            <w:r w:rsidRPr="00B65D6E">
              <w:t xml:space="preserve">1272/2008; </w:t>
            </w:r>
          </w:p>
          <w:p w:rsidR="00D775E4" w:rsidRDefault="00D775E4" w:rsidP="00D33691">
            <w:pPr>
              <w:pStyle w:val="tl10ptPodaokraja"/>
              <w:autoSpaceDE/>
              <w:autoSpaceDN/>
              <w:ind w:left="201" w:right="63" w:hanging="201"/>
            </w:pPr>
            <w:r w:rsidRPr="00B65D6E">
              <w:t>d)</w:t>
            </w:r>
            <w:r>
              <w:tab/>
            </w:r>
            <w:r w:rsidRPr="00B65D6E">
              <w:t>ak je aerosólový rozprašovač spotrebným výrobkom, bezpečnostným upozornením P102 stanoveným v</w:t>
            </w:r>
            <w:r>
              <w:t> </w:t>
            </w:r>
            <w:r w:rsidRPr="00B65D6E">
              <w:t>t</w:t>
            </w:r>
            <w:r>
              <w:t>abuľke 6.1 časti 1 prílohy IV k </w:t>
            </w:r>
            <w:r w:rsidRPr="00B65D6E">
              <w:t>nariadeniu (ES) č.</w:t>
            </w:r>
            <w:r>
              <w:t> </w:t>
            </w:r>
            <w:r w:rsidRPr="00B65D6E">
              <w:t xml:space="preserve">1272/2008; </w:t>
            </w:r>
          </w:p>
          <w:p w:rsidR="00D775E4" w:rsidRPr="00EE5D28" w:rsidRDefault="00D775E4" w:rsidP="00D33691">
            <w:pPr>
              <w:pStyle w:val="tl10ptPodaokraja"/>
              <w:autoSpaceDE/>
              <w:autoSpaceDN/>
              <w:ind w:left="201" w:right="63" w:hanging="201"/>
            </w:pPr>
            <w:r w:rsidRPr="00B65D6E">
              <w:t>e)</w:t>
            </w:r>
            <w:r>
              <w:tab/>
            </w:r>
            <w:r w:rsidRPr="00B65D6E">
              <w:t>všetky dodatočné upozornenia týkajúce sa zaobchádzania s</w:t>
            </w:r>
            <w:r>
              <w:t> </w:t>
            </w:r>
            <w:r w:rsidRPr="00B65D6E">
              <w:t>výrobkom, ktoré upozornia spotrebiteľov na osobitné nebezpečenstvá výrobku. Ak je k</w:t>
            </w:r>
            <w:r>
              <w:t> </w:t>
            </w:r>
            <w:r w:rsidRPr="00B65D6E">
              <w:t>aerosólovému rozprašovaču priložený samostatný návod</w:t>
            </w:r>
            <w:r>
              <w:t xml:space="preserve"> </w:t>
            </w:r>
            <w:r w:rsidRPr="00A36BC2">
              <w:t>na</w:t>
            </w:r>
            <w:r>
              <w:t> </w:t>
            </w:r>
            <w:r w:rsidRPr="00A36BC2">
              <w:t>používanie, musí byť takisto zohľadnený v daných upozorneniach týkajúcich sa zaobchádzania s</w:t>
            </w:r>
            <w:r>
              <w:t> </w:t>
            </w:r>
            <w:r w:rsidRPr="00A36BC2">
              <w:t>výrobkom</w:t>
            </w:r>
            <w:r>
              <w:t>.“.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04792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1</w:t>
            </w:r>
          </w:p>
          <w:p w:rsidR="00D775E4" w:rsidRPr="00E04792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1</w:t>
            </w: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Pr="00E04792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  <w:p w:rsidR="00D775E4" w:rsidRPr="00EE5D28" w:rsidRDefault="00D775E4" w:rsidP="00D3369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lastRenderedPageBreak/>
              <w:t>1.</w:t>
            </w:r>
            <w:r w:rsidRPr="00B65D6E">
              <w:rPr>
                <w:sz w:val="20"/>
                <w:szCs w:val="20"/>
              </w:rPr>
              <w:tab/>
              <w:t>V prílohe č. 1 sa bod 2.2 sa nahrádza takto: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„2.2.</w:t>
            </w:r>
            <w:r>
              <w:rPr>
                <w:sz w:val="20"/>
                <w:szCs w:val="20"/>
              </w:rPr>
              <w:t xml:space="preserve"> </w:t>
            </w:r>
            <w:r w:rsidRPr="00B65D6E">
              <w:rPr>
                <w:sz w:val="20"/>
                <w:szCs w:val="20"/>
              </w:rPr>
              <w:t>Označovanie</w:t>
            </w:r>
          </w:p>
          <w:p w:rsidR="00D775E4" w:rsidRPr="00B65D6E" w:rsidRDefault="00D775E4" w:rsidP="00D33691">
            <w:pPr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Každý aerosólový rozprašovač musí byť bez toho, aby</w:t>
            </w:r>
            <w:r>
              <w:rPr>
                <w:sz w:val="20"/>
                <w:szCs w:val="20"/>
              </w:rPr>
              <w:t> </w:t>
            </w:r>
            <w:r w:rsidRPr="00B65D6E">
              <w:rPr>
                <w:sz w:val="20"/>
                <w:szCs w:val="20"/>
              </w:rPr>
              <w:t>boli dotknuté požiadavky osobitného predpisu,</w:t>
            </w:r>
            <w:r w:rsidRPr="00BB3147">
              <w:rPr>
                <w:sz w:val="20"/>
                <w:szCs w:val="20"/>
                <w:vertAlign w:val="superscript"/>
              </w:rPr>
              <w:t>1)</w:t>
            </w:r>
            <w:r w:rsidRPr="00B65D6E">
              <w:rPr>
                <w:sz w:val="20"/>
                <w:szCs w:val="20"/>
              </w:rPr>
              <w:t xml:space="preserve"> viditeľne, zreteľne a nezmazateľne označený: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a)</w:t>
            </w:r>
            <w:r w:rsidRPr="00B65D6E">
              <w:rPr>
                <w:sz w:val="20"/>
                <w:szCs w:val="20"/>
              </w:rPr>
              <w:tab/>
              <w:t>výstražným slovom „Pozor“ a ostatnými prvkami označovania pre aerosóly kategórie 3 stanovenými v</w:t>
            </w:r>
            <w:r>
              <w:rPr>
                <w:sz w:val="20"/>
                <w:szCs w:val="20"/>
              </w:rPr>
              <w:t> </w:t>
            </w:r>
            <w:r w:rsidRPr="00B65D6E">
              <w:rPr>
                <w:sz w:val="20"/>
                <w:szCs w:val="20"/>
              </w:rPr>
              <w:t>tabuľke 2.3.1 osobitného predpisu,</w:t>
            </w:r>
            <w:r w:rsidRPr="00BB3147">
              <w:rPr>
                <w:sz w:val="20"/>
                <w:szCs w:val="20"/>
                <w:vertAlign w:val="superscript"/>
              </w:rPr>
              <w:t>2)</w:t>
            </w:r>
            <w:r w:rsidRPr="00B65D6E">
              <w:rPr>
                <w:sz w:val="20"/>
                <w:szCs w:val="20"/>
              </w:rPr>
              <w:t xml:space="preserve"> ak je aerosól podľa kritérií bodu 1.9. klasifikovaný ako „nehorľavý“,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b)</w:t>
            </w:r>
            <w:r w:rsidRPr="00B65D6E">
              <w:rPr>
                <w:sz w:val="20"/>
                <w:szCs w:val="20"/>
              </w:rPr>
              <w:tab/>
              <w:t>výstražným slovom „Pozor“ a ostatnými prvkami označovania pre aerosóly kategórie 2 stanovenými v tabuľke 2.3.1 osobitného predpisu,</w:t>
            </w:r>
            <w:r w:rsidRPr="00BB3147">
              <w:rPr>
                <w:sz w:val="20"/>
                <w:szCs w:val="20"/>
                <w:vertAlign w:val="superscript"/>
              </w:rPr>
              <w:t>2)</w:t>
            </w:r>
            <w:r w:rsidRPr="00B65D6E">
              <w:rPr>
                <w:sz w:val="20"/>
                <w:szCs w:val="20"/>
              </w:rPr>
              <w:t xml:space="preserve"> ak je aerosól podľa kritérií bodu 1.9. klasifikovaný ako „horľavý“,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lastRenderedPageBreak/>
              <w:t>c)</w:t>
            </w:r>
            <w:r w:rsidRPr="00B65D6E">
              <w:rPr>
                <w:sz w:val="20"/>
                <w:szCs w:val="20"/>
              </w:rPr>
              <w:tab/>
              <w:t>výstražným slovom „Nebezpečenstvo“ a ostatnými prvkami označovania pre aerosóly kategórie 1 stanovenými v tabuľke 2.3.1 osobitného predpisu,</w:t>
            </w:r>
            <w:r w:rsidRPr="00BB3147">
              <w:rPr>
                <w:sz w:val="20"/>
                <w:szCs w:val="20"/>
                <w:vertAlign w:val="superscript"/>
              </w:rPr>
              <w:t>2)</w:t>
            </w:r>
            <w:r w:rsidRPr="00B65D6E">
              <w:rPr>
                <w:sz w:val="20"/>
                <w:szCs w:val="20"/>
              </w:rPr>
              <w:t xml:space="preserve"> ak je aerosól podľa kritérií bodu 1.9 klasifikovaný ako „mimoriadne horľavý“,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Pr="00B65D6E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d)</w:t>
            </w:r>
            <w:r w:rsidRPr="00B65D6E">
              <w:rPr>
                <w:sz w:val="20"/>
                <w:szCs w:val="20"/>
              </w:rPr>
              <w:tab/>
              <w:t>bezpečnostným upozornením P102 uvedeným v</w:t>
            </w:r>
            <w:r>
              <w:rPr>
                <w:sz w:val="20"/>
                <w:szCs w:val="20"/>
              </w:rPr>
              <w:t> </w:t>
            </w:r>
            <w:r w:rsidRPr="00B65D6E">
              <w:rPr>
                <w:sz w:val="20"/>
                <w:szCs w:val="20"/>
              </w:rPr>
              <w:t>tabuľke 6.1 osobitného predpisu,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BB3147">
              <w:rPr>
                <w:sz w:val="20"/>
                <w:szCs w:val="20"/>
                <w:vertAlign w:val="superscript"/>
              </w:rPr>
              <w:t>)</w:t>
            </w:r>
            <w:r w:rsidRPr="00B65D6E">
              <w:rPr>
                <w:sz w:val="20"/>
                <w:szCs w:val="20"/>
              </w:rPr>
              <w:t xml:space="preserve"> ak je aerosólový rozprašovač spotrebným výrobkom,</w:t>
            </w: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</w:p>
          <w:p w:rsidR="00D775E4" w:rsidRDefault="00D775E4" w:rsidP="00D33691">
            <w:pPr>
              <w:ind w:left="240" w:hanging="240"/>
              <w:jc w:val="both"/>
              <w:rPr>
                <w:sz w:val="20"/>
                <w:szCs w:val="20"/>
              </w:rPr>
            </w:pPr>
            <w:r w:rsidRPr="00B65D6E">
              <w:rPr>
                <w:sz w:val="20"/>
                <w:szCs w:val="20"/>
              </w:rPr>
              <w:t>e)</w:t>
            </w:r>
            <w:r w:rsidRPr="00B65D6E">
              <w:rPr>
                <w:sz w:val="20"/>
                <w:szCs w:val="20"/>
              </w:rPr>
              <w:tab/>
              <w:t>ďalšími upozorneniami o zaobchádzaní, ktoré upozorňujú spotrebiteľov na</w:t>
            </w:r>
            <w:r>
              <w:rPr>
                <w:sz w:val="20"/>
                <w:szCs w:val="20"/>
              </w:rPr>
              <w:t> </w:t>
            </w:r>
            <w:r w:rsidRPr="00B65D6E">
              <w:rPr>
                <w:sz w:val="20"/>
                <w:szCs w:val="20"/>
              </w:rPr>
              <w:t xml:space="preserve">osobitné </w:t>
            </w:r>
            <w:r>
              <w:rPr>
                <w:sz w:val="20"/>
                <w:szCs w:val="20"/>
              </w:rPr>
              <w:t>nebezpečenstvá produktu; ak je k </w:t>
            </w:r>
            <w:r w:rsidRPr="00B65D6E">
              <w:rPr>
                <w:sz w:val="20"/>
                <w:szCs w:val="20"/>
              </w:rPr>
              <w:t>aerosólovému rozprašovaču priložený samostatný návod na</w:t>
            </w:r>
            <w:r>
              <w:rPr>
                <w:sz w:val="20"/>
                <w:szCs w:val="20"/>
              </w:rPr>
              <w:t> </w:t>
            </w:r>
            <w:r w:rsidRPr="00B65D6E">
              <w:rPr>
                <w:sz w:val="20"/>
                <w:szCs w:val="20"/>
              </w:rPr>
              <w:t xml:space="preserve">použitie, ten musí </w:t>
            </w:r>
            <w:r>
              <w:rPr>
                <w:sz w:val="20"/>
                <w:szCs w:val="20"/>
              </w:rPr>
              <w:t>obsahovať uvedené upozornenia.“</w:t>
            </w:r>
          </w:p>
          <w:p w:rsidR="00D775E4" w:rsidRPr="006B1E54" w:rsidRDefault="00D775E4" w:rsidP="00D33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CD7BD6" w:rsidRDefault="00D775E4" w:rsidP="00D33691">
            <w:pPr>
              <w:ind w:left="170" w:hanging="170"/>
              <w:rPr>
                <w:rFonts w:ascii="inherit" w:hAnsi="inherit"/>
                <w:sz w:val="20"/>
                <w:szCs w:val="20"/>
              </w:rPr>
            </w:pPr>
            <w:r w:rsidRPr="005A0553">
              <w:rPr>
                <w:rFonts w:ascii="inherit" w:hAnsi="inherit"/>
                <w:sz w:val="20"/>
                <w:szCs w:val="20"/>
              </w:rPr>
              <w:t>„</w:t>
            </w:r>
            <w:r w:rsidRPr="00CD7BD6">
              <w:rPr>
                <w:rFonts w:ascii="inherit" w:hAnsi="inherit"/>
                <w:sz w:val="20"/>
                <w:szCs w:val="20"/>
                <w:vertAlign w:val="superscript"/>
              </w:rPr>
              <w:t>1</w:t>
            </w:r>
            <w:r w:rsidRPr="00CD7BD6">
              <w:rPr>
                <w:rFonts w:ascii="inherit" w:hAnsi="inherit"/>
                <w:sz w:val="20"/>
                <w:szCs w:val="20"/>
              </w:rPr>
              <w:t>) Nariadenie (ES) č.</w:t>
            </w:r>
            <w:r>
              <w:rPr>
                <w:rFonts w:ascii="inherit" w:hAnsi="inherit" w:hint="eastAsia"/>
                <w:sz w:val="20"/>
                <w:szCs w:val="20"/>
              </w:rPr>
              <w:t> </w:t>
            </w:r>
            <w:r w:rsidRPr="00CD7BD6">
              <w:rPr>
                <w:rFonts w:ascii="inherit" w:hAnsi="inherit"/>
                <w:sz w:val="20"/>
                <w:szCs w:val="20"/>
              </w:rPr>
              <w:t>1272/2008 v platnom znení.</w:t>
            </w:r>
          </w:p>
          <w:p w:rsidR="00D775E4" w:rsidRPr="00CD7BD6" w:rsidRDefault="00D775E4" w:rsidP="00D33691">
            <w:pPr>
              <w:ind w:left="170" w:hanging="170"/>
              <w:rPr>
                <w:rFonts w:ascii="inherit" w:hAnsi="inherit"/>
                <w:sz w:val="20"/>
                <w:szCs w:val="20"/>
              </w:rPr>
            </w:pPr>
            <w:r w:rsidRPr="005A0553">
              <w:rPr>
                <w:rFonts w:ascii="inherit" w:hAnsi="inherit"/>
                <w:sz w:val="20"/>
                <w:szCs w:val="20"/>
                <w:vertAlign w:val="superscript"/>
              </w:rPr>
              <w:t>2</w:t>
            </w:r>
            <w:r w:rsidRPr="00CD7BD6">
              <w:rPr>
                <w:rFonts w:ascii="inherit" w:hAnsi="inherit"/>
                <w:sz w:val="20"/>
                <w:szCs w:val="20"/>
              </w:rPr>
              <w:t>) Príloha I k nariadeniu (ES) č. 1272/2008 v platnom znení</w:t>
            </w:r>
          </w:p>
          <w:p w:rsidR="00D775E4" w:rsidRPr="00321C84" w:rsidRDefault="00D775E4" w:rsidP="00D33691">
            <w:pPr>
              <w:ind w:left="170" w:hanging="170"/>
              <w:rPr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inherit" w:hAnsi="inherit"/>
                <w:sz w:val="20"/>
                <w:szCs w:val="20"/>
              </w:rPr>
              <w:t xml:space="preserve">) </w:t>
            </w:r>
            <w:r w:rsidRPr="008E125E">
              <w:rPr>
                <w:rFonts w:ascii="inherit" w:hAnsi="inherit"/>
                <w:sz w:val="20"/>
                <w:szCs w:val="20"/>
              </w:rPr>
              <w:t>Časť 1 prílohy IV k</w:t>
            </w:r>
            <w:r>
              <w:rPr>
                <w:rFonts w:ascii="inherit" w:hAnsi="inherit" w:hint="eastAsia"/>
                <w:sz w:val="20"/>
                <w:szCs w:val="20"/>
              </w:rPr>
              <w:t> </w:t>
            </w:r>
            <w:r w:rsidRPr="008E125E">
              <w:rPr>
                <w:rFonts w:ascii="inherit" w:hAnsi="inherit"/>
                <w:sz w:val="20"/>
                <w:szCs w:val="20"/>
              </w:rPr>
              <w:t>nariadeniu (ES) č.</w:t>
            </w:r>
            <w:r>
              <w:rPr>
                <w:rFonts w:ascii="inherit" w:hAnsi="inherit"/>
                <w:sz w:val="20"/>
                <w:szCs w:val="20"/>
              </w:rPr>
              <w:t> </w:t>
            </w:r>
            <w:r w:rsidRPr="008E125E">
              <w:rPr>
                <w:rFonts w:ascii="inherit" w:hAnsi="inherit"/>
                <w:sz w:val="20"/>
                <w:szCs w:val="20"/>
              </w:rPr>
              <w:t>1272/2008 v platnom znení.“.</w:t>
            </w: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Č:</w:t>
            </w:r>
            <w:r>
              <w:rPr>
                <w:sz w:val="20"/>
                <w:szCs w:val="20"/>
              </w:rPr>
              <w:t xml:space="preserve"> </w:t>
            </w:r>
            <w:r w:rsidRPr="00EE5D28">
              <w:rPr>
                <w:sz w:val="20"/>
                <w:szCs w:val="20"/>
              </w:rPr>
              <w:t>1</w:t>
            </w:r>
          </w:p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pStyle w:val="tl10ptPodaokraja"/>
              <w:autoSpaceDE/>
              <w:autoSpaceDN/>
              <w:ind w:right="63"/>
            </w:pPr>
            <w:r w:rsidRPr="00EC2462">
              <w:t xml:space="preserve">b) Bod 3.1.2 sa nahrádza takto: 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73"/>
            </w:tblGrid>
            <w:tr w:rsidR="00D775E4" w:rsidRPr="00EC2462" w:rsidTr="00D33691">
              <w:trPr>
                <w:gridAfter w:val="1"/>
                <w:wAfter w:w="180" w:type="dxa"/>
                <w:tblCellSpacing w:w="0" w:type="dxa"/>
              </w:trPr>
              <w:tc>
                <w:tcPr>
                  <w:tcW w:w="8892" w:type="dxa"/>
                  <w:shd w:val="clear" w:color="auto" w:fill="FFFFFF"/>
                  <w:hideMark/>
                </w:tcPr>
                <w:p w:rsidR="00D775E4" w:rsidRDefault="00D775E4" w:rsidP="00D3369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775E4" w:rsidRPr="00EC2462" w:rsidRDefault="00D775E4" w:rsidP="00D33691">
                  <w:pPr>
                    <w:jc w:val="both"/>
                    <w:rPr>
                      <w:sz w:val="20"/>
                      <w:szCs w:val="20"/>
                    </w:rPr>
                  </w:pPr>
                  <w:r w:rsidRPr="00EC2462">
                    <w:rPr>
                      <w:sz w:val="20"/>
                      <w:szCs w:val="20"/>
                    </w:rPr>
                    <w:t>„3.1.2. Pri teplote 50 °C nesmie tlak v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EC2462">
                    <w:rPr>
                      <w:sz w:val="20"/>
                      <w:szCs w:val="20"/>
                    </w:rPr>
                    <w:t>aerosólovom rozprašovači presiahnuť hod</w:t>
                  </w:r>
                  <w:r>
                    <w:rPr>
                      <w:sz w:val="20"/>
                      <w:szCs w:val="20"/>
                    </w:rPr>
                    <w:t>noty uvedené v tejto tabuľke, v </w:t>
                  </w:r>
                  <w:r w:rsidRPr="00EC2462">
                    <w:rPr>
                      <w:sz w:val="20"/>
                      <w:szCs w:val="20"/>
                    </w:rPr>
                    <w:t>závislos</w:t>
                  </w:r>
                  <w:r>
                    <w:rPr>
                      <w:sz w:val="20"/>
                      <w:szCs w:val="20"/>
                    </w:rPr>
                    <w:t>ti od obsahu plynov v </w:t>
                  </w:r>
                  <w:r w:rsidRPr="00EC2462">
                    <w:rPr>
                      <w:sz w:val="20"/>
                      <w:szCs w:val="20"/>
                    </w:rPr>
                    <w:t>aerosólovom rozprašovači:</w:t>
                  </w:r>
                </w:p>
              </w:tc>
            </w:tr>
            <w:tr w:rsidR="00D775E4" w:rsidRPr="00EC2462" w:rsidTr="00D33691">
              <w:trPr>
                <w:tblCellSpacing w:w="0" w:type="dxa"/>
              </w:trPr>
              <w:tc>
                <w:tcPr>
                  <w:tcW w:w="9072" w:type="dxa"/>
                  <w:gridSpan w:val="2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6"/>
                    <w:gridCol w:w="1068"/>
                  </w:tblGrid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right="19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b/>
                            <w:bCs/>
                            <w:sz w:val="20"/>
                            <w:szCs w:val="20"/>
                          </w:rPr>
                          <w:t>Obsah plynov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27" w:right="134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b/>
                            <w:bCs/>
                            <w:sz w:val="20"/>
                            <w:szCs w:val="20"/>
                          </w:rPr>
                          <w:t>Tlak pri teplote 50 °C</w:t>
                        </w:r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19" w:right="12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Skvapalnený plyn alebo plynná zmes, ktorá má na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>vzduchu pri teplote 20 °C a štandardnom tlaku 1,013 baru hranicu horľavosti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27" w:right="13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12 barov</w:t>
                        </w:r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19" w:right="12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lastRenderedPageBreak/>
                          <w:t>Skvapalnený plyn alebo plynná zmes, ktorá nemá na vzduchu pri teplote 20 °C a štandardnom tlaku 1,013 baru hranicu horľavosti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27" w:right="13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13,2 barov</w:t>
                        </w:r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2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19" w:right="12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Stlačené plyny alebo plyny rozpustené pod tlakom, ktoré nemajú na vzduchu pri teplote 20 °C a štandardnom tlaku 1,013 baru hranicu horľavosti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27" w:right="13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15 barov“</w:t>
                        </w:r>
                      </w:p>
                    </w:tc>
                  </w:tr>
                </w:tbl>
                <w:p w:rsidR="00D775E4" w:rsidRPr="00EC2462" w:rsidRDefault="00D775E4" w:rsidP="00D33691">
                  <w:pPr>
                    <w:spacing w:before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775E4" w:rsidRPr="00EE5D28" w:rsidRDefault="00D775E4" w:rsidP="00D33691">
            <w:pPr>
              <w:pStyle w:val="tl10ptPodaokraja"/>
              <w:autoSpaceDE/>
              <w:autoSpaceDN/>
              <w:ind w:right="6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C2462" w:rsidRDefault="00D775E4" w:rsidP="00D33691">
            <w:pPr>
              <w:jc w:val="center"/>
              <w:rPr>
                <w:sz w:val="20"/>
                <w:szCs w:val="20"/>
              </w:rPr>
            </w:pPr>
            <w:r w:rsidRPr="00EC2462">
              <w:rPr>
                <w:sz w:val="20"/>
                <w:szCs w:val="20"/>
              </w:rPr>
              <w:t>Príloha č. 1</w:t>
            </w:r>
          </w:p>
          <w:p w:rsidR="00D775E4" w:rsidRPr="00EC2462" w:rsidRDefault="00D775E4" w:rsidP="00D33691">
            <w:pPr>
              <w:jc w:val="center"/>
              <w:rPr>
                <w:sz w:val="20"/>
                <w:szCs w:val="20"/>
              </w:rPr>
            </w:pPr>
            <w:r w:rsidRPr="00EC2462">
              <w:rPr>
                <w:sz w:val="20"/>
                <w:szCs w:val="20"/>
              </w:rPr>
              <w:t xml:space="preserve">Bod </w:t>
            </w:r>
            <w:r>
              <w:rPr>
                <w:sz w:val="20"/>
                <w:szCs w:val="20"/>
              </w:rPr>
              <w:t>3.1</w:t>
            </w:r>
            <w:r w:rsidRPr="00EC2462">
              <w:rPr>
                <w:sz w:val="20"/>
                <w:szCs w:val="20"/>
              </w:rPr>
              <w:t>.2</w:t>
            </w:r>
          </w:p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91"/>
            </w:tblGrid>
            <w:tr w:rsidR="00D775E4" w:rsidRPr="00CE3353" w:rsidTr="00D33691">
              <w:trPr>
                <w:gridAfter w:val="1"/>
                <w:wAfter w:w="180" w:type="dxa"/>
                <w:tblCellSpacing w:w="0" w:type="dxa"/>
              </w:trPr>
              <w:tc>
                <w:tcPr>
                  <w:tcW w:w="8892" w:type="dxa"/>
                  <w:shd w:val="clear" w:color="auto" w:fill="FFFFFF"/>
                  <w:hideMark/>
                </w:tcPr>
                <w:p w:rsidR="00D775E4" w:rsidRPr="00EC2462" w:rsidRDefault="00D775E4" w:rsidP="00D33691">
                  <w:pPr>
                    <w:jc w:val="both"/>
                    <w:rPr>
                      <w:sz w:val="20"/>
                      <w:szCs w:val="20"/>
                    </w:rPr>
                  </w:pPr>
                  <w:r w:rsidRPr="00EC2462">
                    <w:rPr>
                      <w:bCs/>
                      <w:sz w:val="20"/>
                      <w:szCs w:val="20"/>
                    </w:rPr>
                    <w:t>V prílohe č. 1 sa bod</w:t>
                  </w:r>
                  <w:r w:rsidRPr="00EC2462">
                    <w:rPr>
                      <w:sz w:val="20"/>
                      <w:szCs w:val="20"/>
                    </w:rPr>
                    <w:t xml:space="preserve"> 3.1.2 nahrádza takto:</w:t>
                  </w:r>
                </w:p>
                <w:p w:rsidR="00D775E4" w:rsidRDefault="00D775E4" w:rsidP="00D3369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775E4" w:rsidRPr="00EC2462" w:rsidRDefault="00D775E4" w:rsidP="00D33691">
                  <w:pPr>
                    <w:jc w:val="both"/>
                    <w:rPr>
                      <w:sz w:val="20"/>
                      <w:szCs w:val="20"/>
                    </w:rPr>
                  </w:pPr>
                  <w:r w:rsidRPr="00EC2462">
                    <w:rPr>
                      <w:sz w:val="20"/>
                      <w:szCs w:val="20"/>
                    </w:rPr>
                    <w:t>„3.1.2. Pri teplote 50 °C nesmie tlak v aerosólovom rozprašovači presiahnuť hodnoty uvedené v tejto tabuľke, v závislosti od obsahu plynov v aerosólovom rozprašovači:</w:t>
                  </w:r>
                </w:p>
              </w:tc>
            </w:tr>
            <w:tr w:rsidR="00D775E4" w:rsidRPr="00365180" w:rsidTr="00D33691">
              <w:trPr>
                <w:tblCellSpacing w:w="0" w:type="dxa"/>
              </w:trPr>
              <w:tc>
                <w:tcPr>
                  <w:tcW w:w="9072" w:type="dxa"/>
                  <w:gridSpan w:val="2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9"/>
                    <w:gridCol w:w="1225"/>
                  </w:tblGrid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32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right="19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b/>
                            <w:bCs/>
                            <w:sz w:val="20"/>
                            <w:szCs w:val="20"/>
                          </w:rPr>
                          <w:t>Obsah plynov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73" w:right="19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b/>
                            <w:bCs/>
                            <w:sz w:val="20"/>
                            <w:szCs w:val="20"/>
                          </w:rPr>
                          <w:t>Tlak pri teplote 50 °C</w:t>
                        </w:r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32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Default="00D775E4" w:rsidP="00D33691">
                        <w:pPr>
                          <w:spacing w:before="60" w:after="60"/>
                          <w:ind w:left="119"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Skvapalnený plyn alebo plynn</w:t>
                        </w:r>
                        <w:r>
                          <w:rPr>
                            <w:sz w:val="20"/>
                            <w:szCs w:val="20"/>
                          </w:rPr>
                          <w:t>á zmes, ktorá má na vzduchu pri 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 xml:space="preserve">teplote 20 °C a štandardnom tlaku </w:t>
                        </w:r>
                        <w:r w:rsidRPr="0031296F">
                          <w:rPr>
                            <w:sz w:val="20"/>
                            <w:szCs w:val="20"/>
                          </w:rPr>
                          <w:t xml:space="preserve">0,1013 </w:t>
                        </w:r>
                        <w:proofErr w:type="spellStart"/>
                        <w:r w:rsidRPr="0031296F"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  <w:r w:rsidRPr="003129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>hranicu horľavosti</w:t>
                        </w:r>
                      </w:p>
                      <w:p w:rsidR="00D775E4" w:rsidRDefault="00D775E4" w:rsidP="00D33691">
                        <w:pPr>
                          <w:spacing w:before="60" w:after="60"/>
                          <w:ind w:left="119"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775E4" w:rsidRPr="00EC2462" w:rsidRDefault="00D775E4" w:rsidP="00D33691">
                        <w:pPr>
                          <w:spacing w:before="60" w:after="60"/>
                          <w:ind w:left="119"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1,2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32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Default="00D775E4" w:rsidP="00D33691">
                        <w:pPr>
                          <w:spacing w:before="60" w:after="60"/>
                          <w:ind w:left="119"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lastRenderedPageBreak/>
                          <w:t>Skvapalnený plyn alebo plynná zmes, ktorá nemá na vzduchu pri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 xml:space="preserve">teplote 20 °C a štandardnom tlaku </w:t>
                        </w:r>
                        <w:r w:rsidRPr="0031296F">
                          <w:rPr>
                            <w:sz w:val="20"/>
                            <w:szCs w:val="20"/>
                          </w:rPr>
                          <w:t xml:space="preserve">0,1013 </w:t>
                        </w:r>
                        <w:proofErr w:type="spellStart"/>
                        <w:r w:rsidRPr="0031296F"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  <w:r w:rsidRPr="003129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>hranicu horľavosti</w:t>
                        </w:r>
                      </w:p>
                      <w:p w:rsidR="00D775E4" w:rsidRPr="00EC2462" w:rsidRDefault="00D775E4" w:rsidP="00D33691">
                        <w:pPr>
                          <w:spacing w:before="60" w:after="60"/>
                          <w:ind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1,32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</w:p>
                    </w:tc>
                  </w:tr>
                  <w:tr w:rsidR="00D775E4" w:rsidRPr="00EC2462" w:rsidTr="00D33691">
                    <w:trPr>
                      <w:tblCellSpacing w:w="0" w:type="dxa"/>
                    </w:trPr>
                    <w:tc>
                      <w:tcPr>
                        <w:tcW w:w="32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19" w:right="127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2462">
                          <w:rPr>
                            <w:sz w:val="20"/>
                            <w:szCs w:val="20"/>
                          </w:rPr>
                          <w:t>Stlačené plyny alebo plyny rozpustené pod tlakom, ktoré</w:t>
                        </w: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 xml:space="preserve">nemajú na vzduchu pri teplote 20 °C a štandardnom tlaku </w:t>
                        </w:r>
                        <w:r w:rsidRPr="0031296F">
                          <w:rPr>
                            <w:sz w:val="20"/>
                            <w:szCs w:val="20"/>
                          </w:rPr>
                          <w:t xml:space="preserve">0,1013 </w:t>
                        </w:r>
                        <w:proofErr w:type="spellStart"/>
                        <w:r w:rsidRPr="0031296F"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  <w:r w:rsidRPr="003129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2462">
                          <w:rPr>
                            <w:sz w:val="20"/>
                            <w:szCs w:val="20"/>
                          </w:rPr>
                          <w:t>hranicu horľavosti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775E4" w:rsidRPr="00EC2462" w:rsidRDefault="00D775E4" w:rsidP="00D33691">
                        <w:pPr>
                          <w:spacing w:before="60" w:after="60"/>
                          <w:ind w:left="17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1,5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  <w:r w:rsidRPr="00EC2462">
                          <w:rPr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775E4" w:rsidRPr="00EC2462" w:rsidRDefault="00D775E4" w:rsidP="00D33691">
                  <w:pPr>
                    <w:spacing w:before="12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775E4" w:rsidRPr="006B1E54" w:rsidRDefault="00D775E4" w:rsidP="00D33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Default="00D775E4" w:rsidP="00D33691">
            <w:pPr>
              <w:rPr>
                <w:sz w:val="20"/>
                <w:szCs w:val="20"/>
              </w:rPr>
            </w:pPr>
          </w:p>
          <w:p w:rsidR="00D775E4" w:rsidRPr="006145AD" w:rsidRDefault="00D775E4" w:rsidP="00D33691">
            <w:pPr>
              <w:rPr>
                <w:sz w:val="20"/>
                <w:szCs w:val="20"/>
              </w:rPr>
            </w:pP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Č:2</w:t>
            </w: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pStyle w:val="tl10ptPodaokraja"/>
              <w:autoSpaceDE/>
              <w:autoSpaceDN/>
              <w:ind w:right="63"/>
            </w:pPr>
            <w:r>
              <w:t>Transpozícia</w:t>
            </w:r>
          </w:p>
          <w:p w:rsidR="00D775E4" w:rsidRPr="0007272D" w:rsidRDefault="00D775E4" w:rsidP="00D33691">
            <w:pPr>
              <w:pStyle w:val="tl10ptPodaokraja"/>
              <w:autoSpaceDE/>
              <w:autoSpaceDN/>
              <w:ind w:right="63"/>
            </w:pPr>
            <w:r w:rsidRPr="0007272D">
              <w:t>1.Členské štáty prijmú a uverejnia najneskôr do 12. decembra 2017 zákony, iné právne predpisy a správne opatrenia potrebné na dosiahnutie súladu s touto smernicou. Komisii bezodkladne oznámia znenie týchto ustanovení. Tieto ustanovenia uplatňujú od 12. februára 2018. Členské štáty uvedú priamo v</w:t>
            </w:r>
            <w:r>
              <w:t> </w:t>
            </w:r>
            <w:r w:rsidRPr="0007272D">
              <w:t xml:space="preserve">prijatých ustanoveniach alebo pri ich úradnom uverejnení odkaz na túto smernicu. Podrobnosti o odkaze upravia členské štáty.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A50F03">
              <w:rPr>
                <w:sz w:val="20"/>
                <w:szCs w:val="20"/>
              </w:rPr>
              <w:t>Toto nariadenie vlády nadobúda účinnosť 12. februára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</w:t>
            </w:r>
          </w:p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07272D" w:rsidRDefault="00D775E4" w:rsidP="00D33691">
            <w:pPr>
              <w:pStyle w:val="tl10ptPodaokraja"/>
              <w:autoSpaceDE/>
              <w:autoSpaceDN/>
              <w:ind w:right="63"/>
            </w:pPr>
            <w:r w:rsidRPr="0007272D">
              <w:t>2.</w:t>
            </w:r>
            <w:r>
              <w:t xml:space="preserve"> </w:t>
            </w:r>
            <w:r w:rsidRPr="0007272D">
              <w:t>Členské štáty oznámia Komisii znenie hlavných ustanovení vnútroštátnych právnych predpisov, ktoré prijmú v</w:t>
            </w:r>
            <w:r>
              <w:t> </w:t>
            </w:r>
            <w:r w:rsidRPr="0007272D">
              <w:t>oblasti pôsobnosti tejto smernice.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775E4" w:rsidRPr="00EE5D28" w:rsidTr="00D3369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07272D" w:rsidRDefault="00D775E4" w:rsidP="00D33691">
            <w:pPr>
              <w:pStyle w:val="tl10ptPodaokraja"/>
              <w:autoSpaceDE/>
              <w:autoSpaceDN/>
              <w:ind w:right="63"/>
            </w:pPr>
            <w:r w:rsidRPr="0007272D">
              <w:t xml:space="preserve">Nadobudnutie účinnosti </w:t>
            </w:r>
          </w:p>
          <w:p w:rsidR="00D775E4" w:rsidRPr="0007272D" w:rsidRDefault="00D775E4" w:rsidP="00D33691">
            <w:pPr>
              <w:pStyle w:val="tl10ptPodaokraja"/>
              <w:autoSpaceDE/>
              <w:autoSpaceDN/>
              <w:ind w:right="63"/>
            </w:pPr>
            <w:r w:rsidRPr="0007272D">
              <w:t>Táto smernica nadobúda účinnosť dvad</w:t>
            </w:r>
            <w:r>
              <w:t>siatym dňom po jej uverejnení v </w:t>
            </w:r>
            <w:r w:rsidRPr="0007272D">
              <w:t>Úradnom vestníku Európskej únie. Táto smernica je určená členským štátom.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Default="00D775E4" w:rsidP="00D3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4" w:rsidRPr="00EE5D28" w:rsidRDefault="00D775E4" w:rsidP="00D33691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46626" w:rsidRDefault="00446626"/>
    <w:sectPr w:rsidR="00446626" w:rsidSect="00F4792C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  <w:r w:rsidRPr="00571D17">
      <w:rPr>
        <w:rFonts w:eastAsia="Calibri"/>
        <w:color w:val="auto"/>
        <w:sz w:val="22"/>
        <w:szCs w:val="22"/>
        <w:lang w:val="en-GB" w:eastAsia="en-US"/>
      </w:rPr>
      <w:fldChar w:fldCharType="begin"/>
    </w:r>
    <w:r w:rsidRPr="00571D17">
      <w:rPr>
        <w:rFonts w:eastAsia="Calibri"/>
        <w:color w:val="auto"/>
        <w:sz w:val="22"/>
        <w:szCs w:val="22"/>
        <w:lang w:val="en-GB" w:eastAsia="en-US"/>
      </w:rPr>
      <w:instrText xml:space="preserve"> PAGE </w:instrText>
    </w:r>
    <w:r w:rsidRPr="00571D17">
      <w:rPr>
        <w:rFonts w:eastAsia="Calibri"/>
        <w:color w:val="auto"/>
        <w:sz w:val="22"/>
        <w:szCs w:val="22"/>
        <w:lang w:val="en-GB" w:eastAsia="en-US"/>
      </w:rPr>
      <w:fldChar w:fldCharType="separate"/>
    </w:r>
    <w:r w:rsidR="002F5322">
      <w:rPr>
        <w:rFonts w:eastAsia="Calibri"/>
        <w:noProof/>
        <w:color w:val="auto"/>
        <w:sz w:val="22"/>
        <w:szCs w:val="22"/>
        <w:lang w:val="en-GB" w:eastAsia="en-US"/>
      </w:rPr>
      <w:t>3</w:t>
    </w:r>
    <w:r w:rsidRPr="00571D17">
      <w:rPr>
        <w:rFonts w:eastAsia="Calibri"/>
        <w:color w:val="auto"/>
        <w:sz w:val="22"/>
        <w:szCs w:val="22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6718"/>
    <w:rsid w:val="00283EFA"/>
    <w:rsid w:val="00287F70"/>
    <w:rsid w:val="00290932"/>
    <w:rsid w:val="002B5A53"/>
    <w:rsid w:val="002B5AB4"/>
    <w:rsid w:val="002C33AB"/>
    <w:rsid w:val="002C75CF"/>
    <w:rsid w:val="002D499B"/>
    <w:rsid w:val="002F2A5B"/>
    <w:rsid w:val="002F5322"/>
    <w:rsid w:val="002F6EF0"/>
    <w:rsid w:val="0032196D"/>
    <w:rsid w:val="00341D89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014F5"/>
    <w:rsid w:val="00425FF6"/>
    <w:rsid w:val="00431DFA"/>
    <w:rsid w:val="00446626"/>
    <w:rsid w:val="00460461"/>
    <w:rsid w:val="00461113"/>
    <w:rsid w:val="004636C0"/>
    <w:rsid w:val="00466DAA"/>
    <w:rsid w:val="00470D0C"/>
    <w:rsid w:val="0047757C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575B3"/>
    <w:rsid w:val="00571D17"/>
    <w:rsid w:val="00576A31"/>
    <w:rsid w:val="00582F71"/>
    <w:rsid w:val="0058301E"/>
    <w:rsid w:val="00586996"/>
    <w:rsid w:val="005962D3"/>
    <w:rsid w:val="005B017D"/>
    <w:rsid w:val="005B31A7"/>
    <w:rsid w:val="005B3630"/>
    <w:rsid w:val="005B53F3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21D1F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775E4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770D"/>
    <w:rsid w:val="00F4792C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65FE-CB72-40D9-A1DC-07D5F22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4</cp:revision>
  <cp:lastPrinted>2017-06-20T07:26:00Z</cp:lastPrinted>
  <dcterms:created xsi:type="dcterms:W3CDTF">2017-05-24T09:59:00Z</dcterms:created>
  <dcterms:modified xsi:type="dcterms:W3CDTF">2017-06-20T07:35:00Z</dcterms:modified>
</cp:coreProperties>
</file>