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Default="00446626" w:rsidP="00446626">
      <w:pPr>
        <w:jc w:val="center"/>
        <w:rPr>
          <w:b/>
          <w:color w:val="auto"/>
        </w:rPr>
      </w:pPr>
      <w:r>
        <w:rPr>
          <w:b/>
          <w:color w:val="auto"/>
        </w:rPr>
        <w:t>Návrh</w:t>
      </w:r>
    </w:p>
    <w:p w:rsidR="00446626" w:rsidRDefault="00446626" w:rsidP="00446626">
      <w:pPr>
        <w:jc w:val="center"/>
        <w:rPr>
          <w:b/>
          <w:color w:val="auto"/>
        </w:rPr>
      </w:pPr>
    </w:p>
    <w:p w:rsidR="00446626" w:rsidRPr="00B12BAF" w:rsidRDefault="00446626" w:rsidP="00446626">
      <w:pPr>
        <w:jc w:val="center"/>
        <w:rPr>
          <w:b/>
          <w:color w:val="auto"/>
        </w:rPr>
      </w:pPr>
      <w:r w:rsidRPr="00B12BAF">
        <w:rPr>
          <w:b/>
          <w:color w:val="auto"/>
        </w:rPr>
        <w:t xml:space="preserve">NARIADENIE VLÁDY </w:t>
      </w:r>
    </w:p>
    <w:p w:rsidR="00446626" w:rsidRPr="00B12BAF" w:rsidRDefault="00446626" w:rsidP="00446626">
      <w:pPr>
        <w:jc w:val="center"/>
        <w:rPr>
          <w:b/>
          <w:color w:val="auto"/>
        </w:rPr>
      </w:pPr>
      <w:r w:rsidRPr="00B12BAF">
        <w:rPr>
          <w:b/>
          <w:color w:val="auto"/>
        </w:rPr>
        <w:t>Slovenskej republiky</w:t>
      </w:r>
    </w:p>
    <w:p w:rsidR="00446626" w:rsidRPr="00B12BAF" w:rsidRDefault="00446626" w:rsidP="00446626">
      <w:pPr>
        <w:jc w:val="center"/>
        <w:rPr>
          <w:color w:val="auto"/>
        </w:rPr>
      </w:pPr>
    </w:p>
    <w:p w:rsidR="00446626" w:rsidRPr="00B12BAF" w:rsidRDefault="00446626" w:rsidP="00446626">
      <w:pPr>
        <w:jc w:val="center"/>
        <w:rPr>
          <w:color w:val="auto"/>
        </w:rPr>
      </w:pPr>
      <w:r w:rsidRPr="00B12BAF">
        <w:rPr>
          <w:color w:val="auto"/>
        </w:rPr>
        <w:t>z ...................... 201</w:t>
      </w:r>
      <w:r w:rsidR="008E125E">
        <w:rPr>
          <w:color w:val="auto"/>
        </w:rPr>
        <w:t>7</w:t>
      </w:r>
      <w:r w:rsidR="0084652D">
        <w:rPr>
          <w:color w:val="auto"/>
        </w:rPr>
        <w:t>,</w:t>
      </w:r>
    </w:p>
    <w:p w:rsidR="00446626" w:rsidRPr="00B12BAF" w:rsidRDefault="00446626" w:rsidP="00446626">
      <w:pPr>
        <w:jc w:val="center"/>
        <w:rPr>
          <w:color w:val="auto"/>
        </w:rPr>
      </w:pPr>
    </w:p>
    <w:p w:rsidR="0084652D" w:rsidRDefault="008E125E" w:rsidP="008E125E">
      <w:pPr>
        <w:shd w:val="clear" w:color="auto" w:fill="FFFFFF"/>
        <w:spacing w:line="276" w:lineRule="auto"/>
        <w:jc w:val="center"/>
        <w:rPr>
          <w:b/>
          <w:bCs/>
        </w:rPr>
      </w:pPr>
      <w:r w:rsidRPr="008E125E">
        <w:rPr>
          <w:b/>
          <w:bCs/>
        </w:rPr>
        <w:t>ktorým sa mení nariadenie vlády Slovenskej republiky č. 46/2009 Z. z.,</w:t>
      </w:r>
      <w:r w:rsidR="0084652D">
        <w:rPr>
          <w:b/>
          <w:bCs/>
        </w:rPr>
        <w:t xml:space="preserve"> </w:t>
      </w:r>
      <w:r w:rsidR="0084652D" w:rsidRPr="0084652D">
        <w:rPr>
          <w:b/>
          <w:bCs/>
        </w:rPr>
        <w:t>ktorým sa ustanovujú požiadavky na aerosólové rozprašovače</w:t>
      </w:r>
      <w:r w:rsidR="0084652D">
        <w:rPr>
          <w:b/>
          <w:bCs/>
        </w:rPr>
        <w:t xml:space="preserve"> </w:t>
      </w:r>
      <w:r w:rsidR="0084652D" w:rsidRPr="0084652D">
        <w:rPr>
          <w:b/>
          <w:bCs/>
        </w:rPr>
        <w:t xml:space="preserve">v znení nariadenia vlády </w:t>
      </w:r>
    </w:p>
    <w:p w:rsidR="008E125E" w:rsidRPr="008E125E" w:rsidRDefault="0084652D" w:rsidP="008E125E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Slovenskej republiky </w:t>
      </w:r>
      <w:r w:rsidRPr="0084652D">
        <w:rPr>
          <w:b/>
          <w:bCs/>
        </w:rPr>
        <w:t>č. 300/2013 Z. z.</w:t>
      </w:r>
    </w:p>
    <w:p w:rsidR="008E125E" w:rsidRPr="008E125E" w:rsidRDefault="008E125E" w:rsidP="008E125E">
      <w:pPr>
        <w:shd w:val="clear" w:color="auto" w:fill="FFFFFF"/>
        <w:jc w:val="center"/>
        <w:rPr>
          <w:b/>
          <w:bCs/>
        </w:rPr>
      </w:pPr>
    </w:p>
    <w:p w:rsidR="008E125E" w:rsidRPr="008E125E" w:rsidRDefault="008E125E" w:rsidP="008E125E">
      <w:pPr>
        <w:shd w:val="clear" w:color="auto" w:fill="FFFFFF"/>
        <w:spacing w:after="200" w:line="276" w:lineRule="auto"/>
        <w:jc w:val="both"/>
        <w:rPr>
          <w:bCs/>
        </w:rPr>
      </w:pPr>
      <w:r w:rsidRPr="008E125E">
        <w:rPr>
          <w:bCs/>
        </w:rPr>
        <w:t>Vláda Slovenskej republiky podľa § 2 ods. 1 písm. h) zákona č. 19/2002 Z.</w:t>
      </w:r>
      <w:r w:rsidR="009414C0">
        <w:rPr>
          <w:bCs/>
        </w:rPr>
        <w:t> </w:t>
      </w:r>
      <w:r w:rsidRPr="008E125E">
        <w:rPr>
          <w:bCs/>
        </w:rPr>
        <w:t>z., ktorým sa ustanovujú podmienky vydávania aproximačných nariadení vlády Slovenskej republiky</w:t>
      </w:r>
      <w:r w:rsidR="00EC37A9">
        <w:rPr>
          <w:bCs/>
        </w:rPr>
        <w:t xml:space="preserve"> v znení </w:t>
      </w:r>
      <w:r w:rsidR="0084652D">
        <w:rPr>
          <w:bCs/>
        </w:rPr>
        <w:t xml:space="preserve">zákona </w:t>
      </w:r>
      <w:r w:rsidR="0084652D" w:rsidRPr="008E125E">
        <w:rPr>
          <w:bCs/>
        </w:rPr>
        <w:t>č.</w:t>
      </w:r>
      <w:r w:rsidR="0084652D">
        <w:rPr>
          <w:bCs/>
        </w:rPr>
        <w:t xml:space="preserve"> 607/2004 Z. z. </w:t>
      </w:r>
      <w:r w:rsidRPr="008E125E">
        <w:rPr>
          <w:bCs/>
        </w:rPr>
        <w:t>nariaďuje:</w:t>
      </w:r>
    </w:p>
    <w:p w:rsidR="008E125E" w:rsidRPr="008E125E" w:rsidRDefault="008E125E" w:rsidP="008E125E">
      <w:pPr>
        <w:shd w:val="clear" w:color="auto" w:fill="FFFFFF"/>
        <w:spacing w:after="200" w:line="276" w:lineRule="auto"/>
        <w:jc w:val="center"/>
        <w:rPr>
          <w:b/>
          <w:bCs/>
        </w:rPr>
      </w:pPr>
      <w:r w:rsidRPr="008E125E">
        <w:rPr>
          <w:b/>
          <w:bCs/>
        </w:rPr>
        <w:t>Čl. I</w:t>
      </w:r>
    </w:p>
    <w:p w:rsidR="008E125E" w:rsidRPr="008E125E" w:rsidRDefault="008E125E" w:rsidP="009414C0">
      <w:pPr>
        <w:shd w:val="clear" w:color="auto" w:fill="FFFFFF"/>
        <w:spacing w:line="276" w:lineRule="auto"/>
        <w:jc w:val="both"/>
        <w:rPr>
          <w:bCs/>
        </w:rPr>
      </w:pPr>
      <w:r w:rsidRPr="008E125E">
        <w:rPr>
          <w:bCs/>
        </w:rPr>
        <w:t>Nariadenie vlády Slovenskej republiky č. 46/2009 Z. z.</w:t>
      </w:r>
      <w:r w:rsidR="0084652D">
        <w:rPr>
          <w:bCs/>
        </w:rPr>
        <w:t xml:space="preserve"> </w:t>
      </w:r>
      <w:r w:rsidR="0084652D" w:rsidRPr="008E125E">
        <w:rPr>
          <w:bCs/>
        </w:rPr>
        <w:t>kto</w:t>
      </w:r>
      <w:r w:rsidR="0084652D">
        <w:rPr>
          <w:bCs/>
        </w:rPr>
        <w:t>rým sa ustanovujú požiadavky na </w:t>
      </w:r>
      <w:r w:rsidR="0084652D" w:rsidRPr="008E125E">
        <w:rPr>
          <w:bCs/>
        </w:rPr>
        <w:t>aerosólové rozprašovače</w:t>
      </w:r>
      <w:r w:rsidR="0084652D">
        <w:rPr>
          <w:bCs/>
        </w:rPr>
        <w:t xml:space="preserve"> v znení nariadenia vlády Slovenskej republiky </w:t>
      </w:r>
      <w:bookmarkStart w:id="0" w:name="_GoBack"/>
      <w:bookmarkEnd w:id="0"/>
      <w:r w:rsidR="0084652D">
        <w:rPr>
          <w:bCs/>
        </w:rPr>
        <w:t xml:space="preserve">č. 300/2013 Z. z. </w:t>
      </w:r>
      <w:r w:rsidRPr="008E125E">
        <w:rPr>
          <w:bCs/>
        </w:rPr>
        <w:t xml:space="preserve"> sa mení takto: </w:t>
      </w:r>
    </w:p>
    <w:p w:rsidR="008E125E" w:rsidRPr="008E125E" w:rsidRDefault="008E125E" w:rsidP="008E125E">
      <w:pPr>
        <w:shd w:val="clear" w:color="auto" w:fill="FFFFFF"/>
        <w:spacing w:before="120"/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8865"/>
      </w:tblGrid>
      <w:tr w:rsidR="008E125E" w:rsidRPr="008E125E" w:rsidTr="00431DFA">
        <w:trPr>
          <w:tblCellSpacing w:w="0" w:type="dxa"/>
        </w:trPr>
        <w:tc>
          <w:tcPr>
            <w:tcW w:w="114" w:type="pct"/>
            <w:shd w:val="clear" w:color="auto" w:fill="FFFFFF"/>
          </w:tcPr>
          <w:p w:rsidR="008E125E" w:rsidRPr="008E125E" w:rsidRDefault="008E125E" w:rsidP="008E125E">
            <w:pPr>
              <w:spacing w:line="276" w:lineRule="auto"/>
            </w:pPr>
            <w:r w:rsidRPr="008E125E">
              <w:t>1.</w:t>
            </w:r>
          </w:p>
        </w:tc>
        <w:tc>
          <w:tcPr>
            <w:tcW w:w="4886" w:type="pct"/>
            <w:shd w:val="clear" w:color="auto" w:fill="FFFFFF"/>
          </w:tcPr>
          <w:p w:rsidR="008E125E" w:rsidRPr="008E125E" w:rsidRDefault="008E125E" w:rsidP="0084652D">
            <w:pPr>
              <w:shd w:val="clear" w:color="auto" w:fill="FFFFFF"/>
              <w:spacing w:after="200" w:line="276" w:lineRule="auto"/>
              <w:rPr>
                <w:b/>
                <w:bCs/>
              </w:rPr>
            </w:pPr>
            <w:r w:rsidRPr="008E125E">
              <w:rPr>
                <w:bCs/>
              </w:rPr>
              <w:t xml:space="preserve">V prílohe č. 1 bod </w:t>
            </w:r>
            <w:r w:rsidRPr="008E125E">
              <w:t xml:space="preserve">2.2 </w:t>
            </w:r>
            <w:r w:rsidR="00EC37A9">
              <w:t>znie</w:t>
            </w:r>
          </w:p>
        </w:tc>
      </w:tr>
      <w:tr w:rsidR="008E125E" w:rsidRPr="008E125E" w:rsidTr="00431DFA">
        <w:trPr>
          <w:tblCellSpacing w:w="0" w:type="dxa"/>
        </w:trPr>
        <w:tc>
          <w:tcPr>
            <w:tcW w:w="114" w:type="pct"/>
            <w:shd w:val="clear" w:color="auto" w:fill="FFFFFF"/>
            <w:hideMark/>
          </w:tcPr>
          <w:p w:rsidR="008E125E" w:rsidRPr="008E125E" w:rsidRDefault="008E125E" w:rsidP="009414C0">
            <w:pPr>
              <w:spacing w:before="120"/>
              <w:jc w:val="both"/>
              <w:rPr>
                <w:rFonts w:ascii="inherit" w:hAnsi="inherit"/>
              </w:rPr>
            </w:pPr>
          </w:p>
        </w:tc>
        <w:tc>
          <w:tcPr>
            <w:tcW w:w="4886" w:type="pct"/>
            <w:shd w:val="clear" w:color="auto" w:fill="FFFFFF"/>
            <w:hideMark/>
          </w:tcPr>
          <w:p w:rsidR="008E125E" w:rsidRPr="008E125E" w:rsidRDefault="008E125E" w:rsidP="009414C0">
            <w:pPr>
              <w:spacing w:after="120"/>
              <w:jc w:val="both"/>
              <w:rPr>
                <w:rFonts w:ascii="inherit" w:hAnsi="inherit"/>
                <w:bCs/>
              </w:rPr>
            </w:pPr>
            <w:r w:rsidRPr="008E125E">
              <w:rPr>
                <w:rFonts w:ascii="inherit" w:hAnsi="inherit"/>
                <w:bCs/>
              </w:rPr>
              <w:t>„2.2.</w:t>
            </w:r>
            <w:r w:rsidR="00A36BC2">
              <w:rPr>
                <w:rFonts w:ascii="inherit" w:hAnsi="inherit"/>
                <w:bCs/>
              </w:rPr>
              <w:t xml:space="preserve"> </w:t>
            </w:r>
            <w:r w:rsidRPr="008E125E">
              <w:rPr>
                <w:rFonts w:ascii="inherit" w:hAnsi="inherit"/>
                <w:bCs/>
              </w:rPr>
              <w:t>Označovanie</w:t>
            </w:r>
          </w:p>
          <w:p w:rsidR="008E125E" w:rsidRPr="008E125E" w:rsidRDefault="00AE64E0" w:rsidP="009414C0">
            <w:pPr>
              <w:spacing w:after="200"/>
              <w:jc w:val="both"/>
              <w:rPr>
                <w:rFonts w:ascii="inherit" w:hAnsi="inherit"/>
              </w:rPr>
            </w:pPr>
            <w:r w:rsidRPr="008E125E">
              <w:rPr>
                <w:rFonts w:ascii="inherit" w:hAnsi="inherit"/>
              </w:rPr>
              <w:t>Každý aerosólový rozprašovač musí byť bez toho, aby boli dotknuté požiadavky osobitného predpisu,</w:t>
            </w:r>
            <w:r w:rsidR="0084652D">
              <w:rPr>
                <w:rFonts w:ascii="inherit" w:hAnsi="inherit"/>
                <w:vertAlign w:val="superscript"/>
              </w:rPr>
              <w:t>3</w:t>
            </w:r>
            <w:r w:rsidRPr="008E125E">
              <w:rPr>
                <w:rFonts w:ascii="inherit" w:hAnsi="inherit"/>
              </w:rPr>
              <w:t>) viditeľne, zreteľne a nezmazateľne označený: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78"/>
            </w:tblGrid>
            <w:tr w:rsidR="008E125E" w:rsidRPr="008E125E" w:rsidTr="009414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9414C0">
                  <w:pPr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84652D">
                  <w:pPr>
                    <w:ind w:left="173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výstražným slovom „Pozor“ a ostatnými prvkami označovania pre aerosóly kategórie 3 stanovenými v tabuľke 2.3.1 osobitného predpisu,</w:t>
                  </w:r>
                  <w:r w:rsidR="0084652D">
                    <w:rPr>
                      <w:rFonts w:ascii="inherit" w:hAnsi="inherit"/>
                      <w:vertAlign w:val="superscript"/>
                    </w:rPr>
                    <w:t>5</w:t>
                  </w:r>
                  <w:r w:rsidRPr="008E125E">
                    <w:rPr>
                      <w:rFonts w:ascii="inherit" w:hAnsi="inherit"/>
                    </w:rPr>
                    <w:t>) ak je aerosól podľa kritérií bodu 1.9. klasifikovaný ako „nehorľavý“,</w:t>
                  </w:r>
                </w:p>
              </w:tc>
            </w:tr>
          </w:tbl>
          <w:p w:rsidR="008E125E" w:rsidRPr="008E125E" w:rsidRDefault="008E125E" w:rsidP="009414C0">
            <w:pPr>
              <w:jc w:val="both"/>
              <w:rPr>
                <w:rFonts w:ascii="inherit" w:hAnsi="inherit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665"/>
            </w:tblGrid>
            <w:tr w:rsidR="008E125E" w:rsidRPr="008E125E" w:rsidTr="00431D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9414C0">
                  <w:pPr>
                    <w:spacing w:before="120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84652D">
                  <w:pPr>
                    <w:spacing w:before="120"/>
                    <w:ind w:left="160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výstražným slovom „Pozor“ a ostatnými prvkami označovania pre aerosóly kategórie 2 stanovenými v tabuľke 2.3.1 osobitného predpisu,</w:t>
                  </w:r>
                  <w:r w:rsidR="0084652D">
                    <w:rPr>
                      <w:rFonts w:ascii="inherit" w:hAnsi="inherit"/>
                      <w:vertAlign w:val="superscript"/>
                    </w:rPr>
                    <w:t>5</w:t>
                  </w:r>
                  <w:r w:rsidRPr="008E125E">
                    <w:rPr>
                      <w:rFonts w:ascii="inherit" w:hAnsi="inherit"/>
                    </w:rPr>
                    <w:t>) ak je aerosól podľa kritérií bodu 1.9. klasifikovaný ako „horľavý“,</w:t>
                  </w:r>
                </w:p>
              </w:tc>
            </w:tr>
          </w:tbl>
          <w:p w:rsidR="008E125E" w:rsidRPr="008E125E" w:rsidRDefault="008E125E" w:rsidP="009414C0">
            <w:pPr>
              <w:jc w:val="both"/>
              <w:rPr>
                <w:rFonts w:ascii="inherit" w:hAnsi="inherit"/>
                <w:vanish/>
                <w:color w:val="C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78"/>
            </w:tblGrid>
            <w:tr w:rsidR="008E125E" w:rsidRPr="008E125E" w:rsidTr="00431D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9414C0">
                  <w:pPr>
                    <w:spacing w:before="120"/>
                    <w:jc w:val="both"/>
                    <w:rPr>
                      <w:rFonts w:ascii="inherit" w:hAnsi="inherit"/>
                      <w:color w:val="C00000"/>
                    </w:rPr>
                  </w:pPr>
                  <w:r w:rsidRPr="008E125E">
                    <w:rPr>
                      <w:rFonts w:ascii="inherit" w:hAnsi="inherit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84652D">
                  <w:pPr>
                    <w:spacing w:before="120"/>
                    <w:ind w:left="173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výstražným slovom „Nebezpečenstvo“ a ostatnými prvkami označovania pre aerosóly kategórie 1 stanovenými v tabuľke 2.3.1 osobitného predpisu,</w:t>
                  </w:r>
                  <w:r w:rsidR="0084652D">
                    <w:rPr>
                      <w:rFonts w:ascii="inherit" w:hAnsi="inherit"/>
                      <w:vertAlign w:val="superscript"/>
                    </w:rPr>
                    <w:t>5</w:t>
                  </w:r>
                  <w:r w:rsidRPr="008E125E">
                    <w:rPr>
                      <w:rFonts w:ascii="inherit" w:hAnsi="inherit"/>
                    </w:rPr>
                    <w:t>) ak je aerosól podľa</w:t>
                  </w:r>
                  <w:r>
                    <w:rPr>
                      <w:rFonts w:ascii="inherit" w:hAnsi="inherit" w:hint="eastAsia"/>
                    </w:rPr>
                    <w:t> </w:t>
                  </w:r>
                  <w:r w:rsidRPr="008E125E">
                    <w:rPr>
                      <w:rFonts w:ascii="inherit" w:hAnsi="inherit"/>
                    </w:rPr>
                    <w:t>kritérií bodu 1.9 klasifikovaný ako „mimoriadne horľavý“,</w:t>
                  </w:r>
                </w:p>
              </w:tc>
            </w:tr>
          </w:tbl>
          <w:p w:rsidR="008E125E" w:rsidRPr="008E125E" w:rsidRDefault="008E125E" w:rsidP="009414C0">
            <w:pPr>
              <w:jc w:val="both"/>
              <w:rPr>
                <w:rFonts w:ascii="inherit" w:hAnsi="inherit"/>
                <w:vanish/>
                <w:color w:val="C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665"/>
            </w:tblGrid>
            <w:tr w:rsidR="008E125E" w:rsidRPr="008E125E" w:rsidTr="00431D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9414C0">
                  <w:pPr>
                    <w:spacing w:before="120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d)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84652D">
                  <w:pPr>
                    <w:spacing w:before="120"/>
                    <w:ind w:left="160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bezpečnostným upozornením P102 uvedeným v tabuľke 6.1 osobitného predpisu,</w:t>
                  </w:r>
                  <w:r w:rsidR="0084652D">
                    <w:rPr>
                      <w:rFonts w:ascii="inherit" w:hAnsi="inherit"/>
                      <w:vertAlign w:val="superscript"/>
                    </w:rPr>
                    <w:t>4</w:t>
                  </w:r>
                  <w:r w:rsidRPr="008E125E">
                    <w:rPr>
                      <w:rFonts w:ascii="inherit" w:hAnsi="inherit"/>
                    </w:rPr>
                    <w:t>) ak</w:t>
                  </w:r>
                  <w:r>
                    <w:rPr>
                      <w:rFonts w:ascii="inherit" w:hAnsi="inherit" w:hint="eastAsia"/>
                    </w:rPr>
                    <w:t> </w:t>
                  </w:r>
                  <w:r w:rsidRPr="008E125E">
                    <w:rPr>
                      <w:rFonts w:ascii="inherit" w:hAnsi="inherit"/>
                    </w:rPr>
                    <w:t>je aerosólový rozprašovač spotrebným výrobkom,</w:t>
                  </w:r>
                </w:p>
              </w:tc>
            </w:tr>
          </w:tbl>
          <w:p w:rsidR="008E125E" w:rsidRPr="008E125E" w:rsidRDefault="008E125E" w:rsidP="009414C0">
            <w:pPr>
              <w:jc w:val="both"/>
              <w:rPr>
                <w:rFonts w:ascii="inherit" w:hAnsi="inherit"/>
                <w:vanish/>
                <w:color w:val="C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78"/>
            </w:tblGrid>
            <w:tr w:rsidR="008E125E" w:rsidRPr="008E125E" w:rsidTr="00431D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9414C0">
                  <w:pPr>
                    <w:spacing w:before="120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e)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9414C0">
                  <w:pPr>
                    <w:spacing w:before="120" w:after="200"/>
                    <w:ind w:left="173"/>
                    <w:jc w:val="both"/>
                    <w:rPr>
                      <w:rFonts w:ascii="inherit" w:hAnsi="inherit"/>
                    </w:rPr>
                  </w:pPr>
                  <w:r w:rsidRPr="008E125E">
                    <w:rPr>
                      <w:rFonts w:ascii="inherit" w:hAnsi="inherit"/>
                    </w:rPr>
                    <w:t>ďalšími upozorneniami o zaobchádzaní, ktoré upozorňujú spotrebiteľov na</w:t>
                  </w:r>
                  <w:r>
                    <w:rPr>
                      <w:rFonts w:ascii="inherit" w:hAnsi="inherit" w:hint="eastAsia"/>
                    </w:rPr>
                    <w:t> </w:t>
                  </w:r>
                  <w:r w:rsidRPr="008E125E">
                    <w:rPr>
                      <w:rFonts w:ascii="inherit" w:hAnsi="inherit"/>
                    </w:rPr>
                    <w:t xml:space="preserve">osobitné nebezpečenstvá </w:t>
                  </w:r>
                  <w:r>
                    <w:rPr>
                      <w:rFonts w:ascii="inherit" w:hAnsi="inherit"/>
                    </w:rPr>
                    <w:t>produktu</w:t>
                  </w:r>
                  <w:r w:rsidRPr="008E125E">
                    <w:rPr>
                      <w:rFonts w:ascii="inherit" w:hAnsi="inherit"/>
                    </w:rPr>
                    <w:t>; ak je k aerosólovému rozprašovaču priložený samostatný návod na použitie, ten musí obsahovať uvedené upozornenia.“</w:t>
                  </w:r>
                  <w:r>
                    <w:rPr>
                      <w:rFonts w:ascii="inherit" w:hAnsi="inherit"/>
                    </w:rPr>
                    <w:t>.</w:t>
                  </w:r>
                </w:p>
              </w:tc>
            </w:tr>
          </w:tbl>
          <w:p w:rsidR="008E125E" w:rsidRPr="008E125E" w:rsidRDefault="008E125E" w:rsidP="009414C0">
            <w:pPr>
              <w:jc w:val="both"/>
              <w:rPr>
                <w:rFonts w:ascii="inherit" w:hAnsi="inherit"/>
              </w:rPr>
            </w:pPr>
          </w:p>
        </w:tc>
      </w:tr>
      <w:tr w:rsidR="008E125E" w:rsidRPr="008E125E" w:rsidTr="00431DFA">
        <w:trPr>
          <w:tblCellSpacing w:w="0" w:type="dxa"/>
        </w:trPr>
        <w:tc>
          <w:tcPr>
            <w:tcW w:w="114" w:type="pct"/>
            <w:shd w:val="clear" w:color="auto" w:fill="FFFFFF"/>
          </w:tcPr>
          <w:p w:rsidR="008E125E" w:rsidRPr="008E125E" w:rsidRDefault="008E125E" w:rsidP="008E125E">
            <w:pPr>
              <w:spacing w:before="120"/>
              <w:jc w:val="both"/>
              <w:rPr>
                <w:rFonts w:ascii="inherit" w:hAnsi="inherit"/>
              </w:rPr>
            </w:pPr>
          </w:p>
        </w:tc>
        <w:tc>
          <w:tcPr>
            <w:tcW w:w="4886" w:type="pct"/>
            <w:shd w:val="clear" w:color="auto" w:fill="FFFFFF"/>
          </w:tcPr>
          <w:p w:rsidR="008E125E" w:rsidRPr="008E125E" w:rsidRDefault="008E125E" w:rsidP="008E125E">
            <w:pPr>
              <w:shd w:val="clear" w:color="auto" w:fill="FFFFFF"/>
              <w:spacing w:before="60" w:after="60"/>
              <w:rPr>
                <w:rFonts w:ascii="inherit" w:hAnsi="inherit"/>
              </w:rPr>
            </w:pPr>
            <w:r w:rsidRPr="008E125E">
              <w:rPr>
                <w:rFonts w:ascii="inherit" w:hAnsi="inherit"/>
              </w:rPr>
              <w:t xml:space="preserve">Poznámky pod čiarou k odkazom </w:t>
            </w:r>
            <w:r w:rsidR="0084652D">
              <w:rPr>
                <w:rFonts w:ascii="inherit" w:hAnsi="inherit"/>
              </w:rPr>
              <w:t>3</w:t>
            </w:r>
            <w:r w:rsidRPr="008E125E">
              <w:rPr>
                <w:rFonts w:ascii="inherit" w:hAnsi="inherit"/>
              </w:rPr>
              <w:t xml:space="preserve"> a</w:t>
            </w:r>
            <w:r w:rsidR="00AE64E0">
              <w:rPr>
                <w:rFonts w:ascii="inherit" w:hAnsi="inherit"/>
              </w:rPr>
              <w:t>ž</w:t>
            </w:r>
            <w:r w:rsidRPr="008E125E">
              <w:rPr>
                <w:rFonts w:ascii="inherit" w:hAnsi="inherit"/>
              </w:rPr>
              <w:t xml:space="preserve"> </w:t>
            </w:r>
            <w:r w:rsidR="0084652D">
              <w:rPr>
                <w:rFonts w:ascii="inherit" w:hAnsi="inherit"/>
              </w:rPr>
              <w:t>5</w:t>
            </w:r>
            <w:r w:rsidRPr="008E125E">
              <w:rPr>
                <w:rFonts w:ascii="inherit" w:hAnsi="inherit"/>
              </w:rPr>
              <w:t xml:space="preserve"> znejú:</w:t>
            </w:r>
          </w:p>
          <w:p w:rsidR="008E125E" w:rsidRPr="008E125E" w:rsidRDefault="008E125E" w:rsidP="0084652D">
            <w:pPr>
              <w:shd w:val="clear" w:color="auto" w:fill="FFFFFF"/>
              <w:spacing w:before="60" w:after="60"/>
              <w:jc w:val="both"/>
              <w:rPr>
                <w:rFonts w:ascii="inherit" w:hAnsi="inherit"/>
                <w:sz w:val="20"/>
                <w:szCs w:val="20"/>
              </w:rPr>
            </w:pPr>
            <w:r w:rsidRPr="008E125E">
              <w:rPr>
                <w:rFonts w:ascii="inherit" w:hAnsi="inherit"/>
                <w:sz w:val="20"/>
                <w:szCs w:val="20"/>
              </w:rPr>
              <w:t>„</w:t>
            </w:r>
            <w:r w:rsidR="0084652D">
              <w:rPr>
                <w:rFonts w:ascii="inherit" w:hAnsi="inherit"/>
                <w:sz w:val="20"/>
                <w:szCs w:val="20"/>
                <w:vertAlign w:val="superscript"/>
              </w:rPr>
              <w:t>3</w:t>
            </w:r>
            <w:r w:rsidRPr="008E125E">
              <w:rPr>
                <w:rFonts w:ascii="inherit" w:hAnsi="inherit"/>
                <w:sz w:val="20"/>
                <w:szCs w:val="20"/>
              </w:rPr>
              <w:t xml:space="preserve">) </w:t>
            </w:r>
            <w:r w:rsidR="0084652D" w:rsidRPr="0084652D">
              <w:rPr>
                <w:rFonts w:ascii="inherit" w:hAnsi="inherit"/>
                <w:sz w:val="20"/>
                <w:szCs w:val="20"/>
              </w:rPr>
              <w:t>Nariadenie Európskeho parlamentu a Rady (ES) č. 1272/2008 z</w:t>
            </w:r>
            <w:r w:rsidR="0084652D">
              <w:rPr>
                <w:rFonts w:ascii="inherit" w:hAnsi="inherit"/>
                <w:sz w:val="20"/>
                <w:szCs w:val="20"/>
              </w:rPr>
              <w:t>o</w:t>
            </w:r>
            <w:r w:rsidR="0084652D" w:rsidRPr="0084652D">
              <w:rPr>
                <w:rFonts w:ascii="inherit" w:hAnsi="inherit"/>
                <w:sz w:val="20"/>
                <w:szCs w:val="20"/>
              </w:rPr>
              <w:t xml:space="preserve"> 16. decembra 2008 o klasifikácii, označovaní a balení látok a zmesí, o zmene, doplnení a zrušení smerníc 67/548/EHS a 1999/45/ES a o zmene a doplnení nariadenia (ES) č. 1907/2006</w:t>
            </w:r>
            <w:r w:rsidR="0084652D">
              <w:rPr>
                <w:rFonts w:ascii="inherit" w:hAnsi="inherit"/>
                <w:sz w:val="20"/>
                <w:szCs w:val="20"/>
              </w:rPr>
              <w:t>.</w:t>
            </w:r>
          </w:p>
          <w:p w:rsidR="0084652D" w:rsidRDefault="003A6C09" w:rsidP="00AE64E0">
            <w:pPr>
              <w:spacing w:after="120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  <w:vertAlign w:val="superscript"/>
              </w:rPr>
              <w:t xml:space="preserve">  </w:t>
            </w:r>
            <w:r w:rsidR="0084652D">
              <w:rPr>
                <w:rFonts w:ascii="inherit" w:hAnsi="inherit"/>
                <w:sz w:val="20"/>
                <w:szCs w:val="20"/>
                <w:vertAlign w:val="superscript"/>
              </w:rPr>
              <w:t xml:space="preserve"> </w:t>
            </w:r>
            <w:r w:rsidR="0084652D">
              <w:rPr>
                <w:rFonts w:ascii="inherit" w:hAnsi="inherit"/>
                <w:sz w:val="20"/>
                <w:szCs w:val="20"/>
                <w:vertAlign w:val="superscript"/>
              </w:rPr>
              <w:t>4</w:t>
            </w:r>
            <w:r w:rsidR="0084652D">
              <w:rPr>
                <w:rFonts w:ascii="inherit" w:hAnsi="inherit"/>
                <w:sz w:val="20"/>
                <w:szCs w:val="20"/>
              </w:rPr>
              <w:t xml:space="preserve">) </w:t>
            </w:r>
            <w:r w:rsidR="0084652D" w:rsidRPr="00AE64E0">
              <w:rPr>
                <w:rFonts w:ascii="inherit" w:hAnsi="inherit"/>
                <w:sz w:val="20"/>
                <w:szCs w:val="20"/>
              </w:rPr>
              <w:t>Časť</w:t>
            </w:r>
            <w:r w:rsidR="0084652D" w:rsidRPr="008E125E">
              <w:rPr>
                <w:rFonts w:ascii="inherit" w:hAnsi="inherit"/>
                <w:sz w:val="20"/>
                <w:szCs w:val="20"/>
              </w:rPr>
              <w:t xml:space="preserve"> 1 prílohy IV k nariadeniu (ES) č. 1272/2008 v platnom znení.</w:t>
            </w:r>
            <w:r w:rsidR="0084652D">
              <w:rPr>
                <w:rFonts w:ascii="inherit" w:hAnsi="inherit"/>
                <w:sz w:val="20"/>
                <w:szCs w:val="20"/>
              </w:rPr>
              <w:t xml:space="preserve"> </w:t>
            </w:r>
          </w:p>
          <w:p w:rsidR="00AE64E0" w:rsidRPr="008E125E" w:rsidRDefault="0084652D" w:rsidP="0084652D">
            <w:pPr>
              <w:spacing w:after="120"/>
              <w:rPr>
                <w:rFonts w:ascii="inherit" w:hAnsi="inherit"/>
                <w:bCs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  </w:t>
            </w:r>
            <w:r>
              <w:rPr>
                <w:rFonts w:ascii="inherit" w:hAnsi="inherit"/>
                <w:sz w:val="20"/>
                <w:szCs w:val="20"/>
                <w:vertAlign w:val="superscript"/>
              </w:rPr>
              <w:t>5</w:t>
            </w:r>
            <w:r w:rsidR="008E125E" w:rsidRPr="008E125E">
              <w:rPr>
                <w:rFonts w:ascii="inherit" w:hAnsi="inherit"/>
                <w:sz w:val="20"/>
                <w:szCs w:val="20"/>
              </w:rPr>
              <w:t xml:space="preserve">) </w:t>
            </w:r>
            <w:r w:rsidR="00AE64E0">
              <w:rPr>
                <w:rFonts w:ascii="inherit" w:hAnsi="inherit"/>
                <w:sz w:val="20"/>
                <w:szCs w:val="20"/>
              </w:rPr>
              <w:t>Príloha I k nariadeniu (ES) č. 1272/2008 v platnom znení.</w:t>
            </w:r>
            <w:r w:rsidR="00AE64E0" w:rsidRPr="008E125E">
              <w:rPr>
                <w:rFonts w:ascii="inherit" w:hAnsi="inherit"/>
                <w:sz w:val="20"/>
                <w:szCs w:val="20"/>
              </w:rPr>
              <w:t>“.</w:t>
            </w:r>
          </w:p>
        </w:tc>
      </w:tr>
    </w:tbl>
    <w:p w:rsidR="008E125E" w:rsidRPr="008E125E" w:rsidRDefault="008E125E" w:rsidP="008E125E">
      <w:pPr>
        <w:rPr>
          <w:vanish/>
          <w:color w:val="aut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92"/>
      </w:tblGrid>
      <w:tr w:rsidR="008E125E" w:rsidRPr="008E125E" w:rsidTr="00431DF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E125E" w:rsidRPr="008E125E" w:rsidRDefault="008E125E" w:rsidP="008E125E">
            <w:pPr>
              <w:spacing w:before="120"/>
              <w:jc w:val="both"/>
              <w:rPr>
                <w:rFonts w:ascii="inherit" w:hAnsi="inherit"/>
              </w:rPr>
            </w:pPr>
            <w:r w:rsidRPr="008E125E">
              <w:rPr>
                <w:rFonts w:ascii="inherit" w:hAnsi="inherit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E125E" w:rsidRPr="008E125E" w:rsidRDefault="008E125E" w:rsidP="008E125E">
            <w:pPr>
              <w:spacing w:before="120" w:after="200"/>
              <w:jc w:val="both"/>
              <w:rPr>
                <w:rFonts w:ascii="inherit" w:hAnsi="inherit"/>
              </w:rPr>
            </w:pPr>
            <w:r w:rsidRPr="008E125E">
              <w:rPr>
                <w:bCs/>
              </w:rPr>
              <w:t>V prílohe č. 1 bod</w:t>
            </w:r>
            <w:r w:rsidRPr="008E125E">
              <w:rPr>
                <w:rFonts w:ascii="inherit" w:hAnsi="inherit"/>
              </w:rPr>
              <w:t xml:space="preserve"> 3.1.2 </w:t>
            </w:r>
            <w:r w:rsidR="00EC37A9">
              <w:rPr>
                <w:rFonts w:ascii="inherit" w:hAnsi="inherit"/>
              </w:rPr>
              <w:t>znie</w:t>
            </w:r>
            <w:r w:rsidRPr="008E125E">
              <w:rPr>
                <w:rFonts w:ascii="inherit" w:hAnsi="inherit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8245"/>
            </w:tblGrid>
            <w:tr w:rsidR="008E125E" w:rsidRPr="008E125E" w:rsidTr="00431D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125E" w:rsidRPr="008E125E" w:rsidRDefault="008E125E" w:rsidP="008E125E">
                  <w:pPr>
                    <w:spacing w:after="200"/>
                    <w:jc w:val="both"/>
                    <w:rPr>
                      <w:rFonts w:ascii="inherit" w:hAnsi="inherit"/>
                      <w:color w:val="auto"/>
                    </w:rPr>
                  </w:pPr>
                  <w:r w:rsidRPr="008E125E">
                    <w:rPr>
                      <w:rFonts w:ascii="inherit" w:hAnsi="inherit"/>
                      <w:color w:val="auto"/>
                    </w:rPr>
                    <w:t>„3.1.2.</w:t>
                  </w:r>
                </w:p>
              </w:tc>
              <w:tc>
                <w:tcPr>
                  <w:tcW w:w="0" w:type="auto"/>
                  <w:hideMark/>
                </w:tcPr>
                <w:p w:rsidR="008E125E" w:rsidRPr="008E125E" w:rsidRDefault="00AE64E0" w:rsidP="00AE64E0">
                  <w:pPr>
                    <w:spacing w:after="200"/>
                    <w:ind w:left="24"/>
                    <w:jc w:val="both"/>
                    <w:rPr>
                      <w:rFonts w:ascii="inherit" w:hAnsi="inherit"/>
                      <w:color w:val="auto"/>
                    </w:rPr>
                  </w:pPr>
                  <w:r>
                    <w:rPr>
                      <w:rFonts w:ascii="inherit" w:hAnsi="inherit"/>
                      <w:color w:val="auto"/>
                    </w:rPr>
                    <w:t xml:space="preserve"> </w:t>
                  </w:r>
                  <w:r w:rsidRPr="008E125E">
                    <w:rPr>
                      <w:rFonts w:ascii="inherit" w:hAnsi="inherit"/>
                      <w:color w:val="auto"/>
                    </w:rPr>
                    <w:t>Pri teplote 50 °C nesmie tlak v aerosólovom rozprašovači presiahnuť hodnoty uvedené v tejto tabuľke, v závislosti od obsahu plynov v aerosólovom rozprašovači:</w:t>
                  </w:r>
                  <w:r w:rsidR="008E125E" w:rsidRPr="008E125E">
                    <w:rPr>
                      <w:rFonts w:ascii="inherit" w:hAnsi="inherit"/>
                      <w:color w:val="auto"/>
                    </w:rPr>
                    <w:t xml:space="preserve"> </w:t>
                  </w:r>
                </w:p>
              </w:tc>
            </w:tr>
          </w:tbl>
          <w:p w:rsidR="008E125E" w:rsidRPr="008E125E" w:rsidRDefault="008E125E" w:rsidP="008E125E">
            <w:pPr>
              <w:rPr>
                <w:rFonts w:ascii="inherit" w:hAnsi="inherit"/>
              </w:rPr>
            </w:pPr>
          </w:p>
        </w:tc>
      </w:tr>
      <w:tr w:rsidR="008E125E" w:rsidRPr="008E125E" w:rsidTr="00431DFA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0"/>
              <w:gridCol w:w="1736"/>
            </w:tblGrid>
            <w:tr w:rsidR="008E125E" w:rsidRPr="008E125E" w:rsidTr="009414C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8E125E" w:rsidP="009414C0">
                  <w:pPr>
                    <w:spacing w:before="60" w:after="60"/>
                    <w:ind w:right="195"/>
                    <w:jc w:val="center"/>
                    <w:rPr>
                      <w:rFonts w:ascii="inherit" w:hAnsi="inherit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b/>
                      <w:bCs/>
                      <w:color w:val="auto"/>
                      <w:sz w:val="22"/>
                      <w:szCs w:val="22"/>
                    </w:rPr>
                    <w:t>Obsah plynov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8E125E" w:rsidP="009414C0">
                  <w:pPr>
                    <w:spacing w:before="60" w:after="60"/>
                    <w:ind w:left="173" w:right="195"/>
                    <w:jc w:val="center"/>
                    <w:rPr>
                      <w:rFonts w:ascii="inherit" w:hAnsi="inherit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b/>
                      <w:bCs/>
                      <w:color w:val="auto"/>
                      <w:sz w:val="22"/>
                      <w:szCs w:val="22"/>
                    </w:rPr>
                    <w:t>Tlak pri teplote 50 °C</w:t>
                  </w:r>
                </w:p>
              </w:tc>
            </w:tr>
            <w:tr w:rsidR="008E125E" w:rsidRPr="008E125E" w:rsidTr="009414C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AE64E0" w:rsidP="009414C0">
                  <w:pPr>
                    <w:spacing w:before="60" w:after="60"/>
                    <w:ind w:left="119" w:right="68"/>
                    <w:jc w:val="both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Skvapalnený plyn alebo plynná zmes, ktorá má na vzduchu pri teplote 20 °C a štandardnom tlaku </w:t>
                  </w:r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0,1013 </w:t>
                  </w:r>
                  <w:proofErr w:type="spellStart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MPa</w:t>
                  </w:r>
                  <w:proofErr w:type="spellEnd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 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hranicu horľavosti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8E125E" w:rsidP="00AE64E0">
                  <w:pPr>
                    <w:spacing w:before="60" w:after="60"/>
                    <w:ind w:left="173"/>
                    <w:jc w:val="center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1</w:t>
                  </w:r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,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2 </w:t>
                  </w:r>
                  <w:proofErr w:type="spellStart"/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MPa</w:t>
                  </w:r>
                  <w:proofErr w:type="spellEnd"/>
                </w:p>
              </w:tc>
            </w:tr>
            <w:tr w:rsidR="008E125E" w:rsidRPr="008E125E" w:rsidTr="009414C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AE64E0" w:rsidP="009414C0">
                  <w:pPr>
                    <w:spacing w:before="60" w:after="60"/>
                    <w:ind w:left="119" w:right="68"/>
                    <w:jc w:val="both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Skvapalnený plyn alebo plynná zmes, ktorá nemá na vzduchu pri teplote 20 °C a štandardnom tlaku </w:t>
                  </w:r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0,1013 </w:t>
                  </w:r>
                  <w:proofErr w:type="spellStart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MPa</w:t>
                  </w:r>
                  <w:proofErr w:type="spellEnd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 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hranicu horľavosti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8E125E" w:rsidP="00AE64E0">
                  <w:pPr>
                    <w:spacing w:before="60" w:after="60"/>
                    <w:ind w:left="173"/>
                    <w:jc w:val="center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1</w:t>
                  </w:r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,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32 </w:t>
                  </w:r>
                  <w:proofErr w:type="spellStart"/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MPa</w:t>
                  </w:r>
                  <w:proofErr w:type="spellEnd"/>
                </w:p>
              </w:tc>
            </w:tr>
            <w:tr w:rsidR="008E125E" w:rsidRPr="008E125E" w:rsidTr="009414C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AE64E0" w:rsidP="009414C0">
                  <w:pPr>
                    <w:spacing w:before="60" w:after="60"/>
                    <w:ind w:left="119" w:right="68"/>
                    <w:jc w:val="both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Stlačené plyny alebo plyny rozpustené pod tlakom, ktoré nemajú na vzduchu pri</w:t>
                  </w:r>
                  <w:r>
                    <w:rPr>
                      <w:rFonts w:ascii="inherit" w:hAnsi="inherit" w:hint="eastAsia"/>
                      <w:color w:val="auto"/>
                      <w:sz w:val="22"/>
                      <w:szCs w:val="22"/>
                    </w:rPr>
                    <w:t> 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teplote 20 °C a štandardnom tlaku </w:t>
                  </w:r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0,1013 </w:t>
                  </w:r>
                  <w:proofErr w:type="spellStart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MPa</w:t>
                  </w:r>
                  <w:proofErr w:type="spellEnd"/>
                  <w:r w:rsidRPr="0031296F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 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hranicu horľavosti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E125E" w:rsidRPr="008E125E" w:rsidRDefault="008E125E" w:rsidP="00AE64E0">
                  <w:pPr>
                    <w:spacing w:before="60" w:after="60"/>
                    <w:ind w:left="173"/>
                    <w:jc w:val="center"/>
                    <w:rPr>
                      <w:rFonts w:ascii="inherit" w:hAnsi="inherit"/>
                      <w:color w:val="auto"/>
                      <w:sz w:val="22"/>
                      <w:szCs w:val="22"/>
                    </w:rPr>
                  </w:pP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1</w:t>
                  </w:r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,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 xml:space="preserve">5 </w:t>
                  </w:r>
                  <w:proofErr w:type="spellStart"/>
                  <w:r w:rsidR="00AE64E0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MP</w:t>
                  </w:r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a</w:t>
                  </w:r>
                  <w:proofErr w:type="spellEnd"/>
                  <w:r w:rsidRPr="008E125E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“</w:t>
                  </w:r>
                  <w:r w:rsidR="003A6C09">
                    <w:rPr>
                      <w:rFonts w:ascii="inherit" w:hAnsi="inherit"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E125E" w:rsidRPr="008E125E" w:rsidRDefault="008E125E" w:rsidP="008E125E">
            <w:pPr>
              <w:spacing w:before="120" w:after="200"/>
              <w:jc w:val="both"/>
              <w:rPr>
                <w:bCs/>
              </w:rPr>
            </w:pPr>
          </w:p>
        </w:tc>
      </w:tr>
    </w:tbl>
    <w:p w:rsidR="008E125E" w:rsidRPr="008E125E" w:rsidRDefault="008E125E" w:rsidP="008E125E">
      <w:pPr>
        <w:shd w:val="clear" w:color="auto" w:fill="FFFFFF"/>
        <w:spacing w:before="240" w:after="200" w:line="276" w:lineRule="auto"/>
        <w:rPr>
          <w:bCs/>
        </w:rPr>
      </w:pPr>
      <w:r w:rsidRPr="008E125E">
        <w:rPr>
          <w:bCs/>
        </w:rPr>
        <w:t xml:space="preserve">3. V prílohe č. 2 </w:t>
      </w:r>
      <w:r w:rsidR="00EC37A9">
        <w:rPr>
          <w:bCs/>
        </w:rPr>
        <w:t xml:space="preserve">prvý </w:t>
      </w:r>
      <w:r w:rsidRPr="008E125E">
        <w:rPr>
          <w:bCs/>
        </w:rPr>
        <w:t xml:space="preserve">bod </w:t>
      </w:r>
      <w:r w:rsidR="00EC37A9">
        <w:rPr>
          <w:bCs/>
        </w:rPr>
        <w:t>znie</w:t>
      </w:r>
      <w:r w:rsidRPr="008E125E">
        <w:rPr>
          <w:bCs/>
        </w:rPr>
        <w:t>:</w:t>
      </w:r>
    </w:p>
    <w:p w:rsidR="008E125E" w:rsidRPr="008E125E" w:rsidRDefault="008E125E" w:rsidP="008E125E">
      <w:pPr>
        <w:shd w:val="clear" w:color="auto" w:fill="FFFFFF"/>
        <w:spacing w:after="200" w:line="276" w:lineRule="auto"/>
        <w:jc w:val="both"/>
        <w:rPr>
          <w:bCs/>
          <w:color w:val="auto"/>
        </w:rPr>
      </w:pPr>
      <w:r w:rsidRPr="008E125E">
        <w:rPr>
          <w:bCs/>
        </w:rPr>
        <w:t xml:space="preserve">„1. </w:t>
      </w:r>
      <w:r w:rsidR="00AE64E0" w:rsidRPr="008E125E">
        <w:rPr>
          <w:bCs/>
        </w:rPr>
        <w:t>Smernica Rady 75/324/EHS z 20. mája 1975 o aproximácii právnych predpisov členských štátov týkajúcich sa aerosólových rozprašovačov (Mimoriadne vydanie Ú.</w:t>
      </w:r>
      <w:r w:rsidR="00AE64E0">
        <w:rPr>
          <w:bCs/>
        </w:rPr>
        <w:t> v. </w:t>
      </w:r>
      <w:r w:rsidR="00AE64E0" w:rsidRPr="008E125E">
        <w:rPr>
          <w:bCs/>
        </w:rPr>
        <w:t xml:space="preserve">EÚ, kap. 13/zv. 2) v znení smernice Komisie 94/1/ES zo 6. januára 1994 zohľadňujúcej niektoré technické stránky smernice Rady 75/324/EHS o aproximácii právnych predpisov členských štátov týkajúcich sa aerosólových rozprašovačov (Mimoriadne vydanie Ú. v. EÚ, kap. 13/zv. 13), smernice Komisie 2008/47/ES z 8. apríla 2008, ktorou sa na účely prispôsobenia technickému pokroku mení a dopĺňa smernica Rady 75/324/EHS o aproximácii právnych predpisov členských štátov týkajúcich sa aerosólových rozprašovačov (Ú. v. EÚ L 96, 9. 4. 2008), smernice Komisie 2013/10/EÚ z 19. marca 2013, ktorou sa mení a dopĺňa smernica Rady 75/324/EHS o aproximácii právnych predpisov členských štátov týkajúcich sa aerosólových rozprašovačov </w:t>
      </w:r>
      <w:r w:rsidR="00AE64E0" w:rsidRPr="008E125E">
        <w:rPr>
          <w:bCs/>
          <w:color w:val="auto"/>
        </w:rPr>
        <w:t>s cieľom prispôsobiť jej ustanovenia o označovaní nariadeniu Európskeho parlamentu a Rady (ES) č. 1272/2008 o klasifikác</w:t>
      </w:r>
      <w:r w:rsidR="00AE64E0">
        <w:rPr>
          <w:bCs/>
          <w:color w:val="auto"/>
        </w:rPr>
        <w:t>ii, označovaní a balení látok a </w:t>
      </w:r>
      <w:r w:rsidR="00AE64E0" w:rsidRPr="008E125E">
        <w:rPr>
          <w:bCs/>
          <w:color w:val="auto"/>
        </w:rPr>
        <w:t>zmesí (Ú. v. EÚ L 77, 20. 3. 2013) a</w:t>
      </w:r>
      <w:r w:rsidR="00AE64E0" w:rsidRPr="008E125E">
        <w:rPr>
          <w:bCs/>
        </w:rPr>
        <w:t xml:space="preserve"> </w:t>
      </w:r>
      <w:r w:rsidR="00AE64E0" w:rsidRPr="008E125E">
        <w:rPr>
          <w:bCs/>
          <w:color w:val="auto"/>
        </w:rPr>
        <w:t xml:space="preserve">smernice Komisie </w:t>
      </w:r>
      <w:r w:rsidR="00AE64E0">
        <w:rPr>
          <w:bCs/>
          <w:color w:val="auto"/>
        </w:rPr>
        <w:t xml:space="preserve">(EÚ) </w:t>
      </w:r>
      <w:r w:rsidR="00AE64E0" w:rsidRPr="008E125E">
        <w:rPr>
          <w:bCs/>
          <w:color w:val="auto"/>
        </w:rPr>
        <w:t xml:space="preserve">2016/2037 z 21. novembra 2016, ktorou sa mení a </w:t>
      </w:r>
      <w:r w:rsidR="00AE64E0">
        <w:rPr>
          <w:bCs/>
          <w:color w:val="auto"/>
        </w:rPr>
        <w:t>dopĺňa smernica Rady 75/324/EHS, pokiaľ ide o maximálny povolený tlak</w:t>
      </w:r>
      <w:r w:rsidR="00AE64E0" w:rsidRPr="008E125E">
        <w:rPr>
          <w:bCs/>
          <w:color w:val="auto"/>
        </w:rPr>
        <w:t xml:space="preserve"> aerosólových rozprašovačov </w:t>
      </w:r>
      <w:r w:rsidR="00AE64E0">
        <w:rPr>
          <w:bCs/>
          <w:color w:val="auto"/>
        </w:rPr>
        <w:t xml:space="preserve">a </w:t>
      </w:r>
      <w:r w:rsidR="00AE64E0" w:rsidRPr="008E125E">
        <w:rPr>
          <w:bCs/>
          <w:color w:val="auto"/>
        </w:rPr>
        <w:t>s cieľom prispôsobiť jej ustanovenia o označovaní nariadeniu Európskeho parlamentu a Rady (ES) č. 1272/2008 o klasifikácii, ozna</w:t>
      </w:r>
      <w:r w:rsidR="00AE64E0">
        <w:rPr>
          <w:bCs/>
          <w:color w:val="auto"/>
        </w:rPr>
        <w:t>čovaní a </w:t>
      </w:r>
      <w:r w:rsidR="00AE64E0" w:rsidRPr="008E125E">
        <w:rPr>
          <w:bCs/>
          <w:color w:val="auto"/>
        </w:rPr>
        <w:t>balení látok a zmesí (Ú. v. EÚ L 314, 22. 11. 2016).“.</w:t>
      </w:r>
    </w:p>
    <w:p w:rsidR="008E125E" w:rsidRPr="008E125E" w:rsidRDefault="008E125E" w:rsidP="008E125E">
      <w:pPr>
        <w:shd w:val="clear" w:color="auto" w:fill="FFFFFF"/>
        <w:spacing w:after="200" w:line="276" w:lineRule="auto"/>
        <w:jc w:val="center"/>
        <w:rPr>
          <w:b/>
          <w:bCs/>
        </w:rPr>
      </w:pPr>
      <w:r w:rsidRPr="008E125E">
        <w:rPr>
          <w:b/>
          <w:bCs/>
        </w:rPr>
        <w:t>Čl. II</w:t>
      </w:r>
    </w:p>
    <w:p w:rsidR="00446626" w:rsidRDefault="008E125E" w:rsidP="00341D89">
      <w:pPr>
        <w:tabs>
          <w:tab w:val="left" w:pos="567"/>
        </w:tabs>
        <w:rPr>
          <w:color w:val="auto"/>
        </w:rPr>
      </w:pPr>
      <w:r w:rsidRPr="008E125E">
        <w:rPr>
          <w:color w:val="auto"/>
        </w:rPr>
        <w:t>Toto nariadenie vlády nadobúda účinnosť 12. februára 2018.</w:t>
      </w:r>
    </w:p>
    <w:p w:rsidR="00446626" w:rsidRDefault="00EC37A9" w:rsidP="00EC37A9">
      <w:pPr>
        <w:jc w:val="center"/>
      </w:pPr>
      <w:r>
        <w:t xml:space="preserve"> </w:t>
      </w:r>
    </w:p>
    <w:sectPr w:rsidR="00446626" w:rsidSect="00EC37A9">
      <w:footerReference w:type="even" r:id="rId9"/>
      <w:footerReference w:type="default" r:id="rId10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  <w:r w:rsidRPr="00571D17">
      <w:rPr>
        <w:rFonts w:eastAsia="Calibri"/>
        <w:color w:val="auto"/>
        <w:sz w:val="22"/>
        <w:szCs w:val="22"/>
        <w:lang w:val="en-GB" w:eastAsia="en-US"/>
      </w:rPr>
      <w:fldChar w:fldCharType="begin"/>
    </w:r>
    <w:r w:rsidRPr="00571D17">
      <w:rPr>
        <w:rFonts w:eastAsia="Calibri"/>
        <w:color w:val="auto"/>
        <w:sz w:val="22"/>
        <w:szCs w:val="22"/>
        <w:lang w:val="en-GB" w:eastAsia="en-US"/>
      </w:rPr>
      <w:instrText xml:space="preserve"> PAGE </w:instrText>
    </w:r>
    <w:r w:rsidRPr="00571D17">
      <w:rPr>
        <w:rFonts w:eastAsia="Calibri"/>
        <w:color w:val="auto"/>
        <w:sz w:val="22"/>
        <w:szCs w:val="22"/>
        <w:lang w:val="en-GB" w:eastAsia="en-US"/>
      </w:rPr>
      <w:fldChar w:fldCharType="separate"/>
    </w:r>
    <w:r w:rsidR="0084652D">
      <w:rPr>
        <w:rFonts w:eastAsia="Calibri"/>
        <w:noProof/>
        <w:color w:val="auto"/>
        <w:sz w:val="22"/>
        <w:szCs w:val="22"/>
        <w:lang w:val="en-GB" w:eastAsia="en-US"/>
      </w:rPr>
      <w:t>1</w:t>
    </w:r>
    <w:r w:rsidRPr="00571D17">
      <w:rPr>
        <w:rFonts w:eastAsia="Calibri"/>
        <w:color w:val="auto"/>
        <w:sz w:val="22"/>
        <w:szCs w:val="22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6718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E5C8D"/>
    <w:rsid w:val="003F1832"/>
    <w:rsid w:val="003F54B8"/>
    <w:rsid w:val="004014F5"/>
    <w:rsid w:val="00425FF6"/>
    <w:rsid w:val="00431DFA"/>
    <w:rsid w:val="00446626"/>
    <w:rsid w:val="00460461"/>
    <w:rsid w:val="00461113"/>
    <w:rsid w:val="004636C0"/>
    <w:rsid w:val="00466DAA"/>
    <w:rsid w:val="00470D0C"/>
    <w:rsid w:val="004773BB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4652D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4E0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C37A9"/>
    <w:rsid w:val="00EE3A28"/>
    <w:rsid w:val="00EF4AA5"/>
    <w:rsid w:val="00F0514B"/>
    <w:rsid w:val="00F05492"/>
    <w:rsid w:val="00F12ECE"/>
    <w:rsid w:val="00F24CEC"/>
    <w:rsid w:val="00F4770D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AEE5-6169-402F-8117-9D7ED17E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6</cp:revision>
  <cp:lastPrinted>2017-05-26T08:33:00Z</cp:lastPrinted>
  <dcterms:created xsi:type="dcterms:W3CDTF">2017-05-22T10:16:00Z</dcterms:created>
  <dcterms:modified xsi:type="dcterms:W3CDTF">2017-06-16T11:25:00Z</dcterms:modified>
</cp:coreProperties>
</file>