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E5D06" w14:textId="77777777" w:rsidR="0081708C" w:rsidRDefault="0081708C" w:rsidP="0081708C">
      <w:pPr>
        <w:jc w:val="center"/>
        <w:rPr>
          <w:rFonts w:ascii="Times New Roman" w:hAnsi="Times New Roman"/>
          <w:sz w:val="24"/>
          <w:szCs w:val="24"/>
          <w:lang w:val="en-US"/>
        </w:rPr>
      </w:pPr>
      <w:bookmarkStart w:id="0" w:name="_GoBack"/>
      <w:bookmarkEnd w:id="0"/>
      <w:r>
        <w:rPr>
          <w:noProof/>
          <w:szCs w:val="24"/>
        </w:rPr>
        <w:drawing>
          <wp:inline distT="0" distB="0" distL="0" distR="0" wp14:anchorId="7B9A7056" wp14:editId="6ED492B2">
            <wp:extent cx="6096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tbl>
      <w:tblPr>
        <w:tblW w:w="5000" w:type="pct"/>
        <w:tblCellSpacing w:w="15" w:type="dxa"/>
        <w:tblLook w:val="04A0" w:firstRow="1" w:lastRow="0" w:firstColumn="1" w:lastColumn="0" w:noHBand="0" w:noVBand="1"/>
      </w:tblPr>
      <w:tblGrid>
        <w:gridCol w:w="9496"/>
      </w:tblGrid>
      <w:tr w:rsidR="0081708C" w14:paraId="68CCB7E9" w14:textId="77777777" w:rsidTr="008073D9">
        <w:trPr>
          <w:tblCellSpacing w:w="15" w:type="dxa"/>
        </w:trPr>
        <w:tc>
          <w:tcPr>
            <w:tcW w:w="0" w:type="auto"/>
            <w:tcMar>
              <w:top w:w="15" w:type="dxa"/>
              <w:left w:w="15" w:type="dxa"/>
              <w:bottom w:w="15" w:type="dxa"/>
              <w:right w:w="15" w:type="dxa"/>
            </w:tcMar>
            <w:vAlign w:val="center"/>
            <w:hideMark/>
          </w:tcPr>
          <w:p w14:paraId="7B438831"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NÁVRH</w:t>
            </w:r>
          </w:p>
        </w:tc>
      </w:tr>
      <w:tr w:rsidR="0081708C" w14:paraId="08653E57" w14:textId="77777777" w:rsidTr="008073D9">
        <w:trPr>
          <w:tblCellSpacing w:w="15" w:type="dxa"/>
        </w:trPr>
        <w:tc>
          <w:tcPr>
            <w:tcW w:w="0" w:type="auto"/>
            <w:tcMar>
              <w:top w:w="15" w:type="dxa"/>
              <w:left w:w="15" w:type="dxa"/>
              <w:bottom w:w="15" w:type="dxa"/>
              <w:right w:w="15" w:type="dxa"/>
            </w:tcMar>
            <w:vAlign w:val="center"/>
            <w:hideMark/>
          </w:tcPr>
          <w:p w14:paraId="10B84615"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UZNESENIE VLÁDY SLOVENSKEJ REPUBLIKY</w:t>
            </w:r>
          </w:p>
        </w:tc>
      </w:tr>
      <w:tr w:rsidR="0081708C" w14:paraId="7C0DD78C" w14:textId="77777777" w:rsidTr="008073D9">
        <w:trPr>
          <w:tblCellSpacing w:w="15" w:type="dxa"/>
        </w:trPr>
        <w:tc>
          <w:tcPr>
            <w:tcW w:w="0" w:type="auto"/>
            <w:tcMar>
              <w:top w:w="15" w:type="dxa"/>
              <w:left w:w="15" w:type="dxa"/>
              <w:bottom w:w="15" w:type="dxa"/>
              <w:right w:w="15" w:type="dxa"/>
            </w:tcMar>
            <w:vAlign w:val="center"/>
            <w:hideMark/>
          </w:tcPr>
          <w:tbl>
            <w:tblPr>
              <w:tblW w:w="0" w:type="auto"/>
              <w:jc w:val="center"/>
              <w:tblCellSpacing w:w="15" w:type="dxa"/>
              <w:tblLook w:val="04A0" w:firstRow="1" w:lastRow="0" w:firstColumn="1" w:lastColumn="0" w:noHBand="0" w:noVBand="1"/>
            </w:tblPr>
            <w:tblGrid>
              <w:gridCol w:w="635"/>
            </w:tblGrid>
            <w:tr w:rsidR="0081708C" w14:paraId="60CEEADD" w14:textId="77777777" w:rsidTr="008073D9">
              <w:trPr>
                <w:tblCellSpacing w:w="15" w:type="dxa"/>
                <w:jc w:val="center"/>
              </w:trPr>
              <w:tc>
                <w:tcPr>
                  <w:tcW w:w="0" w:type="auto"/>
                  <w:noWrap/>
                  <w:tcMar>
                    <w:top w:w="15" w:type="dxa"/>
                    <w:left w:w="15" w:type="dxa"/>
                    <w:bottom w:w="15" w:type="dxa"/>
                    <w:right w:w="15" w:type="dxa"/>
                  </w:tcMar>
                  <w:vAlign w:val="center"/>
                  <w:hideMark/>
                </w:tcPr>
                <w:p w14:paraId="2F15579D" w14:textId="77777777" w:rsidR="0081708C" w:rsidRDefault="0081708C" w:rsidP="008073D9">
                  <w:pPr>
                    <w:spacing w:line="276" w:lineRule="auto"/>
                    <w:jc w:val="center"/>
                    <w:rPr>
                      <w:sz w:val="28"/>
                      <w:szCs w:val="28"/>
                    </w:rPr>
                  </w:pPr>
                  <w:r>
                    <w:rPr>
                      <w:b/>
                      <w:bCs/>
                      <w:sz w:val="28"/>
                      <w:szCs w:val="28"/>
                    </w:rPr>
                    <w:t>č. ...</w:t>
                  </w:r>
                </w:p>
              </w:tc>
            </w:tr>
            <w:tr w:rsidR="0081708C" w14:paraId="2BFCCA92" w14:textId="77777777" w:rsidTr="008073D9">
              <w:trPr>
                <w:tblCellSpacing w:w="15" w:type="dxa"/>
                <w:jc w:val="center"/>
              </w:trPr>
              <w:tc>
                <w:tcPr>
                  <w:tcW w:w="0" w:type="auto"/>
                  <w:tcMar>
                    <w:top w:w="15" w:type="dxa"/>
                    <w:left w:w="15" w:type="dxa"/>
                    <w:bottom w:w="15" w:type="dxa"/>
                    <w:right w:w="15" w:type="dxa"/>
                  </w:tcMar>
                  <w:vAlign w:val="center"/>
                  <w:hideMark/>
                </w:tcPr>
                <w:p w14:paraId="7D150F67" w14:textId="77777777" w:rsidR="0081708C" w:rsidRDefault="0081708C" w:rsidP="008073D9">
                  <w:pPr>
                    <w:spacing w:line="276" w:lineRule="auto"/>
                    <w:jc w:val="center"/>
                  </w:pPr>
                  <w:r>
                    <w:rPr>
                      <w:sz w:val="22"/>
                      <w:szCs w:val="22"/>
                    </w:rPr>
                    <w:t>z ...</w:t>
                  </w:r>
                </w:p>
              </w:tc>
            </w:tr>
          </w:tbl>
          <w:p w14:paraId="1BF40919" w14:textId="77777777" w:rsidR="0081708C" w:rsidRDefault="0081708C" w:rsidP="008073D9">
            <w:pPr>
              <w:widowControl/>
              <w:autoSpaceDE/>
              <w:autoSpaceDN/>
              <w:adjustRightInd/>
              <w:spacing w:line="276" w:lineRule="auto"/>
              <w:jc w:val="center"/>
              <w:rPr>
                <w:sz w:val="22"/>
                <w:szCs w:val="22"/>
              </w:rPr>
            </w:pPr>
          </w:p>
        </w:tc>
      </w:tr>
      <w:tr w:rsidR="0081708C" w14:paraId="0A4F57E6" w14:textId="77777777" w:rsidTr="008073D9">
        <w:trPr>
          <w:tblCellSpacing w:w="15" w:type="dxa"/>
        </w:trPr>
        <w:tc>
          <w:tcPr>
            <w:tcW w:w="0" w:type="auto"/>
            <w:tcMar>
              <w:top w:w="15" w:type="dxa"/>
              <w:left w:w="15" w:type="dxa"/>
              <w:bottom w:w="15" w:type="dxa"/>
              <w:right w:w="15" w:type="dxa"/>
            </w:tcMar>
            <w:vAlign w:val="center"/>
            <w:hideMark/>
          </w:tcPr>
          <w:tbl>
            <w:tblPr>
              <w:tblW w:w="9238" w:type="dxa"/>
              <w:jc w:val="center"/>
              <w:tblCellSpacing w:w="15" w:type="dxa"/>
              <w:tblLook w:val="04A0" w:firstRow="1" w:lastRow="0" w:firstColumn="1" w:lastColumn="0" w:noHBand="0" w:noVBand="1"/>
            </w:tblPr>
            <w:tblGrid>
              <w:gridCol w:w="9238"/>
            </w:tblGrid>
            <w:tr w:rsidR="0081708C" w14:paraId="0B41DE8B" w14:textId="77777777" w:rsidTr="008073D9">
              <w:trPr>
                <w:trHeight w:val="54"/>
                <w:tblCellSpacing w:w="15" w:type="dxa"/>
                <w:jc w:val="center"/>
              </w:trPr>
              <w:tc>
                <w:tcPr>
                  <w:tcW w:w="0" w:type="auto"/>
                  <w:tcMar>
                    <w:top w:w="15" w:type="dxa"/>
                    <w:left w:w="15" w:type="dxa"/>
                    <w:bottom w:w="15" w:type="dxa"/>
                    <w:right w:w="15" w:type="dxa"/>
                  </w:tcMar>
                  <w:hideMark/>
                </w:tcPr>
                <w:p w14:paraId="3A132366" w14:textId="4464CCC6" w:rsidR="0081708C" w:rsidRPr="00CA6E29" w:rsidRDefault="00C0662A" w:rsidP="00233936">
                  <w:pPr>
                    <w:spacing w:line="276" w:lineRule="auto"/>
                    <w:jc w:val="center"/>
                    <w:rPr>
                      <w:rFonts w:ascii="Times New Roman" w:hAnsi="Times New Roman" w:cs="Times New Roman"/>
                      <w:b/>
                      <w:sz w:val="28"/>
                      <w:szCs w:val="28"/>
                    </w:rPr>
                  </w:pPr>
                  <w:r>
                    <w:rPr>
                      <w:rFonts w:ascii="Times New Roman" w:hAnsi="Times New Roman" w:cs="Times New Roman"/>
                      <w:b/>
                      <w:bCs/>
                      <w:sz w:val="28"/>
                      <w:szCs w:val="28"/>
                    </w:rPr>
                    <w:t xml:space="preserve">k </w:t>
                  </w:r>
                  <w:r w:rsidR="00233936">
                    <w:rPr>
                      <w:rFonts w:ascii="Times" w:hAnsi="Times" w:cs="Times"/>
                      <w:b/>
                      <w:bCs/>
                      <w:sz w:val="28"/>
                      <w:szCs w:val="28"/>
                    </w:rPr>
                    <w:t>návrhu zákona Návrh zákona, ktorým sa mení a dopĺňa zákon č. 492/2009 Z. z. o platobných službách a o zmene a doplnení niektorých zákonov v znení neskorších predpisov</w:t>
                  </w:r>
                </w:p>
              </w:tc>
            </w:tr>
          </w:tbl>
          <w:p w14:paraId="79032FD8" w14:textId="77777777" w:rsidR="0081708C" w:rsidRDefault="0081708C" w:rsidP="008073D9">
            <w:pPr>
              <w:widowControl/>
              <w:autoSpaceDE/>
              <w:autoSpaceDN/>
              <w:adjustRightInd/>
              <w:spacing w:line="276" w:lineRule="auto"/>
              <w:jc w:val="center"/>
              <w:rPr>
                <w:sz w:val="22"/>
                <w:szCs w:val="22"/>
              </w:rPr>
            </w:pPr>
          </w:p>
        </w:tc>
      </w:tr>
    </w:tbl>
    <w:p w14:paraId="20EBD1B9" w14:textId="77777777" w:rsidR="0081708C" w:rsidRDefault="0081708C" w:rsidP="0081708C">
      <w:pPr>
        <w:jc w:val="center"/>
        <w:rPr>
          <w:rFonts w:ascii="Times New Roman" w:hAnsi="Times New Roman"/>
          <w:sz w:val="24"/>
          <w:szCs w:val="24"/>
          <w:lang w:val="en-US"/>
        </w:rPr>
      </w:pPr>
    </w:p>
    <w:p w14:paraId="11D95E68" w14:textId="77777777" w:rsidR="0081708C" w:rsidRDefault="0081708C" w:rsidP="0081708C">
      <w:pPr>
        <w:rPr>
          <w:rFonts w:ascii="Times New Roman" w:hAnsi="Times New Roman"/>
          <w:sz w:val="24"/>
          <w:szCs w:val="24"/>
          <w:lang w:val="en-US"/>
        </w:rPr>
      </w:pP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1742"/>
        <w:gridCol w:w="7801"/>
      </w:tblGrid>
      <w:tr w:rsidR="0081708C" w14:paraId="6C8170CA" w14:textId="77777777" w:rsidTr="008073D9">
        <w:trPr>
          <w:tblCellSpacing w:w="15" w:type="dxa"/>
        </w:trPr>
        <w:tc>
          <w:tcPr>
            <w:tcW w:w="1697" w:type="dxa"/>
            <w:hideMark/>
          </w:tcPr>
          <w:p w14:paraId="5B077819" w14:textId="77777777" w:rsidR="0081708C" w:rsidRDefault="0081708C" w:rsidP="008073D9">
            <w:pPr>
              <w:rPr>
                <w:rFonts w:ascii="Times" w:hAnsi="Times" w:cs="Times"/>
                <w:sz w:val="25"/>
                <w:szCs w:val="25"/>
              </w:rPr>
            </w:pPr>
            <w:r>
              <w:rPr>
                <w:rFonts w:ascii="Times" w:hAnsi="Times" w:cs="Times"/>
                <w:sz w:val="25"/>
                <w:szCs w:val="25"/>
              </w:rPr>
              <w:t>Číslo materiálu: </w:t>
            </w:r>
          </w:p>
        </w:tc>
        <w:tc>
          <w:tcPr>
            <w:tcW w:w="7756" w:type="dxa"/>
            <w:hideMark/>
          </w:tcPr>
          <w:p w14:paraId="48973963" w14:textId="304406A3" w:rsidR="0081708C" w:rsidRPr="00CA6E29" w:rsidRDefault="0081708C" w:rsidP="008073D9">
            <w:pPr>
              <w:rPr>
                <w:rFonts w:ascii="Times New Roman" w:hAnsi="Times New Roman" w:cs="Times New Roman"/>
                <w:sz w:val="25"/>
                <w:szCs w:val="25"/>
              </w:rPr>
            </w:pPr>
          </w:p>
        </w:tc>
      </w:tr>
      <w:tr w:rsidR="0081708C" w14:paraId="58F703CE" w14:textId="77777777" w:rsidTr="008073D9">
        <w:trPr>
          <w:tblCellSpacing w:w="15" w:type="dxa"/>
        </w:trPr>
        <w:tc>
          <w:tcPr>
            <w:tcW w:w="1697" w:type="dxa"/>
            <w:hideMark/>
          </w:tcPr>
          <w:p w14:paraId="3CD0EFD1" w14:textId="77777777" w:rsidR="0081708C" w:rsidRDefault="0081708C" w:rsidP="008073D9">
            <w:pPr>
              <w:rPr>
                <w:rFonts w:ascii="Times" w:hAnsi="Times" w:cs="Times"/>
                <w:sz w:val="25"/>
                <w:szCs w:val="25"/>
              </w:rPr>
            </w:pPr>
            <w:r>
              <w:rPr>
                <w:rFonts w:ascii="Times" w:hAnsi="Times" w:cs="Times"/>
                <w:sz w:val="25"/>
                <w:szCs w:val="25"/>
              </w:rPr>
              <w:t>Predkladateľ: </w:t>
            </w:r>
          </w:p>
        </w:tc>
        <w:tc>
          <w:tcPr>
            <w:tcW w:w="7756" w:type="dxa"/>
            <w:hideMark/>
          </w:tcPr>
          <w:p w14:paraId="368CF746" w14:textId="117F10CA" w:rsidR="0081708C" w:rsidRPr="00ED412E" w:rsidRDefault="00ED412E" w:rsidP="008073D9">
            <w:pPr>
              <w:rPr>
                <w:rFonts w:ascii="Times New Roman" w:hAnsi="Times New Roman" w:cs="Times New Roman"/>
                <w:sz w:val="25"/>
                <w:szCs w:val="25"/>
              </w:rPr>
            </w:pPr>
            <w:r w:rsidRPr="00ED412E">
              <w:rPr>
                <w:rFonts w:ascii="Times New Roman" w:hAnsi="Times New Roman" w:cs="Times New Roman"/>
                <w:sz w:val="25"/>
                <w:szCs w:val="25"/>
              </w:rPr>
              <w:fldChar w:fldCharType="begin"/>
            </w:r>
            <w:r w:rsidRPr="00ED412E">
              <w:rPr>
                <w:rFonts w:ascii="Times New Roman" w:hAnsi="Times New Roman" w:cs="Times New Roman"/>
                <w:sz w:val="25"/>
                <w:szCs w:val="25"/>
              </w:rPr>
              <w:instrText xml:space="preserve"> DOCPROPERTY  FSC#SKEDITIONSLOVLEX@103.510:funkciaZodpPred\* MERGEFORMAT </w:instrText>
            </w:r>
            <w:r w:rsidRPr="00ED412E">
              <w:rPr>
                <w:rFonts w:ascii="Times New Roman" w:hAnsi="Times New Roman" w:cs="Times New Roman"/>
                <w:sz w:val="25"/>
                <w:szCs w:val="25"/>
              </w:rPr>
              <w:fldChar w:fldCharType="end"/>
            </w:r>
          </w:p>
        </w:tc>
      </w:tr>
    </w:tbl>
    <w:p w14:paraId="1759EBB3" w14:textId="77777777" w:rsidR="0081708C" w:rsidRDefault="00233936" w:rsidP="0081708C">
      <w:r>
        <w:pict w14:anchorId="3FBF5A77">
          <v:rect id="_x0000_i1025" style="width:0;height:1.5pt" o:hralign="center" o:hrstd="t" o:hr="t" fillcolor="gray" stroked="f"/>
        </w:pict>
      </w:r>
    </w:p>
    <w:p w14:paraId="6FB40126" w14:textId="77777777" w:rsidR="0081708C" w:rsidRDefault="0081708C" w:rsidP="0081708C"/>
    <w:p w14:paraId="28C3DD38" w14:textId="4A583F05" w:rsidR="009C4F6D" w:rsidRPr="009C4F6D" w:rsidRDefault="009C4F6D" w:rsidP="0081708C">
      <w:pPr>
        <w:rPr>
          <w:rFonts w:ascii="Times New Roman" w:hAnsi="Times New Roman" w:cs="Times New Roman"/>
          <w:b/>
          <w:sz w:val="32"/>
          <w:szCs w:val="32"/>
        </w:rPr>
      </w:pPr>
      <w:r w:rsidRPr="009C4F6D">
        <w:rPr>
          <w:rFonts w:ascii="Times New Roman" w:hAnsi="Times New Roman" w:cs="Times New Roman"/>
          <w:b/>
          <w:sz w:val="32"/>
          <w:szCs w:val="32"/>
        </w:rPr>
        <w:t>Vláda</w:t>
      </w:r>
    </w:p>
    <w:p w14:paraId="7D0A7D70" w14:textId="77777777" w:rsidR="009C4F6D" w:rsidRDefault="009C4F6D" w:rsidP="0081708C"/>
    <w:p w14:paraId="4D5F520C" w14:textId="47ED36E3" w:rsidR="00233936" w:rsidRDefault="00233936" w:rsidP="0081708C"/>
    <w:tbl>
      <w:tblPr>
        <w:tblW w:w="5000" w:type="pct"/>
        <w:jc w:val="center"/>
        <w:tblCellMar>
          <w:top w:w="120" w:type="dxa"/>
          <w:left w:w="120" w:type="dxa"/>
          <w:bottom w:w="120" w:type="dxa"/>
          <w:right w:w="120" w:type="dxa"/>
        </w:tblCellMar>
        <w:tblLook w:val="04A0" w:firstRow="1" w:lastRow="0" w:firstColumn="1" w:lastColumn="0" w:noHBand="0" w:noVBand="1"/>
      </w:tblPr>
      <w:tblGrid>
        <w:gridCol w:w="726"/>
        <w:gridCol w:w="726"/>
        <w:gridCol w:w="7620"/>
      </w:tblGrid>
      <w:tr w:rsidR="00233936" w14:paraId="0D2C1BD4" w14:textId="77777777">
        <w:trPr>
          <w:divId w:val="397677723"/>
          <w:trHeight w:val="450"/>
          <w:jc w:val="center"/>
        </w:trPr>
        <w:tc>
          <w:tcPr>
            <w:tcW w:w="400" w:type="pct"/>
            <w:tcBorders>
              <w:top w:val="nil"/>
              <w:left w:val="nil"/>
              <w:bottom w:val="nil"/>
              <w:right w:val="nil"/>
            </w:tcBorders>
            <w:hideMark/>
          </w:tcPr>
          <w:p w14:paraId="2E3B1096" w14:textId="77777777" w:rsidR="00233936" w:rsidRDefault="00233936">
            <w:pPr>
              <w:rPr>
                <w:rFonts w:ascii="Times" w:hAnsi="Times" w:cs="Times"/>
                <w:b/>
                <w:bCs/>
                <w:sz w:val="28"/>
                <w:szCs w:val="28"/>
              </w:rPr>
            </w:pPr>
            <w:r>
              <w:rPr>
                <w:rFonts w:ascii="Times" w:hAnsi="Times" w:cs="Times"/>
                <w:b/>
                <w:bCs/>
                <w:sz w:val="28"/>
                <w:szCs w:val="28"/>
              </w:rPr>
              <w:t>A.</w:t>
            </w:r>
          </w:p>
        </w:tc>
        <w:tc>
          <w:tcPr>
            <w:tcW w:w="4600" w:type="pct"/>
            <w:gridSpan w:val="2"/>
            <w:tcBorders>
              <w:top w:val="nil"/>
              <w:left w:val="nil"/>
              <w:bottom w:val="nil"/>
              <w:right w:val="nil"/>
            </w:tcBorders>
            <w:hideMark/>
          </w:tcPr>
          <w:p w14:paraId="2AF8283B" w14:textId="77777777" w:rsidR="00233936" w:rsidRDefault="00233936">
            <w:pPr>
              <w:rPr>
                <w:rFonts w:ascii="Times" w:hAnsi="Times" w:cs="Times"/>
                <w:b/>
                <w:bCs/>
                <w:sz w:val="28"/>
                <w:szCs w:val="28"/>
              </w:rPr>
            </w:pPr>
            <w:r>
              <w:rPr>
                <w:rFonts w:ascii="Times" w:hAnsi="Times" w:cs="Times"/>
                <w:b/>
                <w:bCs/>
                <w:sz w:val="28"/>
                <w:szCs w:val="28"/>
              </w:rPr>
              <w:t>schvaľuje</w:t>
            </w:r>
          </w:p>
        </w:tc>
      </w:tr>
      <w:tr w:rsidR="00233936" w14:paraId="5B4F9AD4" w14:textId="77777777">
        <w:trPr>
          <w:divId w:val="397677723"/>
          <w:trHeight w:val="450"/>
          <w:jc w:val="center"/>
        </w:trPr>
        <w:tc>
          <w:tcPr>
            <w:tcW w:w="400" w:type="pct"/>
            <w:tcBorders>
              <w:top w:val="nil"/>
              <w:left w:val="nil"/>
              <w:bottom w:val="nil"/>
              <w:right w:val="nil"/>
            </w:tcBorders>
            <w:hideMark/>
          </w:tcPr>
          <w:p w14:paraId="703456ED" w14:textId="77777777" w:rsidR="00233936" w:rsidRDefault="00233936">
            <w:pPr>
              <w:rPr>
                <w:rFonts w:ascii="Times" w:hAnsi="Times" w:cs="Times"/>
                <w:b/>
                <w:bCs/>
                <w:sz w:val="28"/>
                <w:szCs w:val="28"/>
              </w:rPr>
            </w:pPr>
          </w:p>
        </w:tc>
        <w:tc>
          <w:tcPr>
            <w:tcW w:w="400" w:type="pct"/>
            <w:tcBorders>
              <w:top w:val="nil"/>
              <w:left w:val="nil"/>
              <w:bottom w:val="nil"/>
              <w:right w:val="nil"/>
            </w:tcBorders>
            <w:hideMark/>
          </w:tcPr>
          <w:p w14:paraId="22F7A3CE" w14:textId="77777777" w:rsidR="00233936" w:rsidRDefault="00233936">
            <w:pPr>
              <w:rPr>
                <w:rFonts w:ascii="Times" w:hAnsi="Times" w:cs="Times"/>
                <w:sz w:val="25"/>
                <w:szCs w:val="25"/>
              </w:rPr>
            </w:pPr>
            <w:r>
              <w:rPr>
                <w:rFonts w:ascii="Times" w:hAnsi="Times" w:cs="Times"/>
                <w:sz w:val="25"/>
                <w:szCs w:val="25"/>
              </w:rPr>
              <w:t>A. 1.</w:t>
            </w:r>
          </w:p>
        </w:tc>
        <w:tc>
          <w:tcPr>
            <w:tcW w:w="4200" w:type="pct"/>
            <w:tcBorders>
              <w:top w:val="nil"/>
              <w:left w:val="nil"/>
              <w:bottom w:val="nil"/>
              <w:right w:val="nil"/>
            </w:tcBorders>
            <w:hideMark/>
          </w:tcPr>
          <w:p w14:paraId="1153EA49" w14:textId="77777777" w:rsidR="00233936" w:rsidRDefault="00233936">
            <w:pPr>
              <w:rPr>
                <w:rFonts w:ascii="Times" w:hAnsi="Times" w:cs="Times"/>
                <w:sz w:val="25"/>
                <w:szCs w:val="25"/>
              </w:rPr>
            </w:pPr>
            <w:r>
              <w:rPr>
                <w:rFonts w:ascii="Times" w:hAnsi="Times" w:cs="Times"/>
                <w:sz w:val="25"/>
                <w:szCs w:val="25"/>
              </w:rPr>
              <w:t>návrh zákona Návrh zákona, ktorým sa mení a dopĺňa zákon č. 492/2009 Z. z. o platobných službách a o zmene a doplnení niektorých zákonov v znení neskorších predpisov;</w:t>
            </w:r>
          </w:p>
        </w:tc>
      </w:tr>
      <w:tr w:rsidR="00233936" w14:paraId="7A308360" w14:textId="77777777">
        <w:trPr>
          <w:divId w:val="397677723"/>
          <w:trHeight w:val="450"/>
          <w:jc w:val="center"/>
        </w:trPr>
        <w:tc>
          <w:tcPr>
            <w:tcW w:w="5000" w:type="pct"/>
            <w:gridSpan w:val="3"/>
            <w:tcBorders>
              <w:top w:val="nil"/>
              <w:left w:val="nil"/>
              <w:bottom w:val="nil"/>
              <w:right w:val="nil"/>
            </w:tcBorders>
            <w:vAlign w:val="center"/>
            <w:hideMark/>
          </w:tcPr>
          <w:p w14:paraId="17F3AC95" w14:textId="77777777" w:rsidR="00233936" w:rsidRDefault="00233936">
            <w:pPr>
              <w:rPr>
                <w:rFonts w:ascii="Times" w:hAnsi="Times" w:cs="Times"/>
                <w:sz w:val="25"/>
                <w:szCs w:val="25"/>
              </w:rPr>
            </w:pPr>
          </w:p>
        </w:tc>
      </w:tr>
      <w:tr w:rsidR="00233936" w14:paraId="52CFD4E4" w14:textId="77777777">
        <w:trPr>
          <w:divId w:val="397677723"/>
          <w:trHeight w:val="450"/>
          <w:jc w:val="center"/>
        </w:trPr>
        <w:tc>
          <w:tcPr>
            <w:tcW w:w="400" w:type="pct"/>
            <w:tcBorders>
              <w:top w:val="nil"/>
              <w:left w:val="nil"/>
              <w:bottom w:val="nil"/>
              <w:right w:val="nil"/>
            </w:tcBorders>
            <w:hideMark/>
          </w:tcPr>
          <w:p w14:paraId="322D035F" w14:textId="77777777" w:rsidR="00233936" w:rsidRDefault="00233936">
            <w:pPr>
              <w:rPr>
                <w:rFonts w:ascii="Times" w:hAnsi="Times" w:cs="Times"/>
                <w:b/>
                <w:bCs/>
                <w:sz w:val="28"/>
                <w:szCs w:val="28"/>
              </w:rPr>
            </w:pPr>
            <w:r>
              <w:rPr>
                <w:rFonts w:ascii="Times" w:hAnsi="Times" w:cs="Times"/>
                <w:b/>
                <w:bCs/>
                <w:sz w:val="28"/>
                <w:szCs w:val="28"/>
              </w:rPr>
              <w:t>B.</w:t>
            </w:r>
          </w:p>
        </w:tc>
        <w:tc>
          <w:tcPr>
            <w:tcW w:w="4600" w:type="pct"/>
            <w:gridSpan w:val="2"/>
            <w:tcBorders>
              <w:top w:val="nil"/>
              <w:left w:val="nil"/>
              <w:bottom w:val="nil"/>
              <w:right w:val="nil"/>
            </w:tcBorders>
            <w:hideMark/>
          </w:tcPr>
          <w:p w14:paraId="03E712FB" w14:textId="77777777" w:rsidR="00233936" w:rsidRDefault="00233936">
            <w:pPr>
              <w:rPr>
                <w:rFonts w:ascii="Times" w:hAnsi="Times" w:cs="Times"/>
                <w:b/>
                <w:bCs/>
                <w:sz w:val="28"/>
                <w:szCs w:val="28"/>
              </w:rPr>
            </w:pPr>
            <w:r>
              <w:rPr>
                <w:rFonts w:ascii="Times" w:hAnsi="Times" w:cs="Times"/>
                <w:b/>
                <w:bCs/>
                <w:sz w:val="28"/>
                <w:szCs w:val="28"/>
              </w:rPr>
              <w:t>poveruje</w:t>
            </w:r>
          </w:p>
        </w:tc>
      </w:tr>
      <w:tr w:rsidR="00233936" w14:paraId="7E676949" w14:textId="77777777">
        <w:trPr>
          <w:divId w:val="397677723"/>
          <w:trHeight w:val="450"/>
          <w:jc w:val="center"/>
        </w:trPr>
        <w:tc>
          <w:tcPr>
            <w:tcW w:w="400" w:type="pct"/>
            <w:tcBorders>
              <w:top w:val="nil"/>
              <w:left w:val="nil"/>
              <w:bottom w:val="nil"/>
              <w:right w:val="nil"/>
            </w:tcBorders>
            <w:hideMark/>
          </w:tcPr>
          <w:p w14:paraId="0A270107" w14:textId="77777777" w:rsidR="00233936" w:rsidRDefault="00233936">
            <w:pPr>
              <w:rPr>
                <w:rFonts w:ascii="Times" w:hAnsi="Times" w:cs="Times"/>
                <w:b/>
                <w:bCs/>
                <w:sz w:val="28"/>
                <w:szCs w:val="28"/>
              </w:rPr>
            </w:pPr>
          </w:p>
        </w:tc>
        <w:tc>
          <w:tcPr>
            <w:tcW w:w="4600" w:type="pct"/>
            <w:gridSpan w:val="2"/>
            <w:tcBorders>
              <w:top w:val="nil"/>
              <w:left w:val="nil"/>
              <w:bottom w:val="nil"/>
              <w:right w:val="nil"/>
            </w:tcBorders>
            <w:hideMark/>
          </w:tcPr>
          <w:p w14:paraId="155F26FD" w14:textId="77777777" w:rsidR="00233936" w:rsidRDefault="00233936">
            <w:pPr>
              <w:rPr>
                <w:rFonts w:ascii="Times" w:hAnsi="Times" w:cs="Times"/>
                <w:b/>
                <w:bCs/>
                <w:sz w:val="25"/>
                <w:szCs w:val="25"/>
              </w:rPr>
            </w:pPr>
            <w:r>
              <w:rPr>
                <w:rFonts w:ascii="Times" w:hAnsi="Times" w:cs="Times"/>
                <w:b/>
                <w:bCs/>
                <w:sz w:val="25"/>
                <w:szCs w:val="25"/>
              </w:rPr>
              <w:t>predsedu vlády Slovenskej republiky</w:t>
            </w:r>
          </w:p>
        </w:tc>
      </w:tr>
      <w:tr w:rsidR="00233936" w14:paraId="77CD151E" w14:textId="77777777">
        <w:trPr>
          <w:divId w:val="397677723"/>
          <w:trHeight w:val="450"/>
          <w:jc w:val="center"/>
        </w:trPr>
        <w:tc>
          <w:tcPr>
            <w:tcW w:w="400" w:type="pct"/>
            <w:tcBorders>
              <w:top w:val="nil"/>
              <w:left w:val="nil"/>
              <w:bottom w:val="nil"/>
              <w:right w:val="nil"/>
            </w:tcBorders>
            <w:hideMark/>
          </w:tcPr>
          <w:p w14:paraId="603F0A42" w14:textId="77777777" w:rsidR="00233936" w:rsidRDefault="00233936">
            <w:pPr>
              <w:rPr>
                <w:rFonts w:ascii="Times" w:hAnsi="Times" w:cs="Times"/>
                <w:b/>
                <w:bCs/>
                <w:sz w:val="25"/>
                <w:szCs w:val="25"/>
              </w:rPr>
            </w:pPr>
          </w:p>
        </w:tc>
        <w:tc>
          <w:tcPr>
            <w:tcW w:w="400" w:type="pct"/>
            <w:tcBorders>
              <w:top w:val="nil"/>
              <w:left w:val="nil"/>
              <w:bottom w:val="nil"/>
              <w:right w:val="nil"/>
            </w:tcBorders>
            <w:hideMark/>
          </w:tcPr>
          <w:p w14:paraId="6D795FD0" w14:textId="77777777" w:rsidR="00233936" w:rsidRDefault="00233936">
            <w:pPr>
              <w:rPr>
                <w:rFonts w:ascii="Times" w:hAnsi="Times" w:cs="Times"/>
                <w:sz w:val="25"/>
                <w:szCs w:val="25"/>
              </w:rPr>
            </w:pPr>
            <w:r>
              <w:rPr>
                <w:rFonts w:ascii="Times" w:hAnsi="Times" w:cs="Times"/>
                <w:sz w:val="25"/>
                <w:szCs w:val="25"/>
              </w:rPr>
              <w:t>B. 1.</w:t>
            </w:r>
          </w:p>
        </w:tc>
        <w:tc>
          <w:tcPr>
            <w:tcW w:w="4200" w:type="pct"/>
            <w:tcBorders>
              <w:top w:val="nil"/>
              <w:left w:val="nil"/>
              <w:bottom w:val="nil"/>
              <w:right w:val="nil"/>
            </w:tcBorders>
            <w:hideMark/>
          </w:tcPr>
          <w:p w14:paraId="645DA699" w14:textId="77777777" w:rsidR="00233936" w:rsidRDefault="00233936">
            <w:pPr>
              <w:rPr>
                <w:rFonts w:ascii="Times" w:hAnsi="Times" w:cs="Times"/>
                <w:sz w:val="25"/>
                <w:szCs w:val="25"/>
              </w:rPr>
            </w:pPr>
            <w:r>
              <w:rPr>
                <w:rFonts w:ascii="Times" w:hAnsi="Times" w:cs="Times"/>
                <w:sz w:val="25"/>
                <w:szCs w:val="25"/>
              </w:rPr>
              <w:t>predložiť vládny návrh zákona predsedovi Národnej rady Slovenskej republiky na ďalšie ústavné prerokovanie,</w:t>
            </w:r>
          </w:p>
        </w:tc>
      </w:tr>
      <w:tr w:rsidR="00233936" w14:paraId="2D257342" w14:textId="77777777">
        <w:trPr>
          <w:divId w:val="397677723"/>
          <w:trHeight w:val="450"/>
          <w:jc w:val="center"/>
        </w:trPr>
        <w:tc>
          <w:tcPr>
            <w:tcW w:w="5000" w:type="pct"/>
            <w:gridSpan w:val="3"/>
            <w:tcBorders>
              <w:top w:val="nil"/>
              <w:left w:val="nil"/>
              <w:bottom w:val="nil"/>
              <w:right w:val="nil"/>
            </w:tcBorders>
            <w:vAlign w:val="center"/>
            <w:hideMark/>
          </w:tcPr>
          <w:p w14:paraId="11B0226D" w14:textId="77777777" w:rsidR="00233936" w:rsidRDefault="00233936">
            <w:pPr>
              <w:rPr>
                <w:rFonts w:ascii="Times" w:hAnsi="Times" w:cs="Times"/>
                <w:sz w:val="25"/>
                <w:szCs w:val="25"/>
              </w:rPr>
            </w:pPr>
          </w:p>
        </w:tc>
      </w:tr>
      <w:tr w:rsidR="00233936" w14:paraId="425BAEC5" w14:textId="77777777">
        <w:trPr>
          <w:divId w:val="397677723"/>
          <w:trHeight w:val="450"/>
          <w:jc w:val="center"/>
        </w:trPr>
        <w:tc>
          <w:tcPr>
            <w:tcW w:w="400" w:type="pct"/>
            <w:tcBorders>
              <w:top w:val="nil"/>
              <w:left w:val="nil"/>
              <w:bottom w:val="nil"/>
              <w:right w:val="nil"/>
            </w:tcBorders>
            <w:hideMark/>
          </w:tcPr>
          <w:p w14:paraId="10C385A5" w14:textId="77777777" w:rsidR="00233936" w:rsidRDefault="00233936"/>
        </w:tc>
        <w:tc>
          <w:tcPr>
            <w:tcW w:w="4600" w:type="pct"/>
            <w:gridSpan w:val="2"/>
            <w:tcBorders>
              <w:top w:val="nil"/>
              <w:left w:val="nil"/>
              <w:bottom w:val="nil"/>
              <w:right w:val="nil"/>
            </w:tcBorders>
            <w:hideMark/>
          </w:tcPr>
          <w:p w14:paraId="37EAB62D" w14:textId="77777777" w:rsidR="00233936" w:rsidRDefault="00233936">
            <w:pPr>
              <w:rPr>
                <w:rFonts w:ascii="Times" w:hAnsi="Times" w:cs="Times"/>
                <w:b/>
                <w:bCs/>
                <w:sz w:val="25"/>
                <w:szCs w:val="25"/>
              </w:rPr>
            </w:pPr>
            <w:r>
              <w:rPr>
                <w:rFonts w:ascii="Times" w:hAnsi="Times" w:cs="Times"/>
                <w:b/>
                <w:bCs/>
                <w:sz w:val="25"/>
                <w:szCs w:val="25"/>
              </w:rPr>
              <w:t>ministra financií Slovenskej republiky</w:t>
            </w:r>
          </w:p>
        </w:tc>
      </w:tr>
      <w:tr w:rsidR="00233936" w14:paraId="014E125C" w14:textId="77777777">
        <w:trPr>
          <w:divId w:val="397677723"/>
          <w:trHeight w:val="450"/>
          <w:jc w:val="center"/>
        </w:trPr>
        <w:tc>
          <w:tcPr>
            <w:tcW w:w="400" w:type="pct"/>
            <w:tcBorders>
              <w:top w:val="nil"/>
              <w:left w:val="nil"/>
              <w:bottom w:val="nil"/>
              <w:right w:val="nil"/>
            </w:tcBorders>
            <w:hideMark/>
          </w:tcPr>
          <w:p w14:paraId="524C8DE9" w14:textId="77777777" w:rsidR="00233936" w:rsidRDefault="00233936">
            <w:pPr>
              <w:rPr>
                <w:rFonts w:ascii="Times" w:hAnsi="Times" w:cs="Times"/>
                <w:b/>
                <w:bCs/>
                <w:sz w:val="25"/>
                <w:szCs w:val="25"/>
              </w:rPr>
            </w:pPr>
          </w:p>
        </w:tc>
        <w:tc>
          <w:tcPr>
            <w:tcW w:w="400" w:type="pct"/>
            <w:tcBorders>
              <w:top w:val="nil"/>
              <w:left w:val="nil"/>
              <w:bottom w:val="nil"/>
              <w:right w:val="nil"/>
            </w:tcBorders>
            <w:hideMark/>
          </w:tcPr>
          <w:p w14:paraId="5DED1562" w14:textId="77777777" w:rsidR="00233936" w:rsidRDefault="00233936">
            <w:pPr>
              <w:rPr>
                <w:rFonts w:ascii="Times" w:hAnsi="Times" w:cs="Times"/>
                <w:sz w:val="25"/>
                <w:szCs w:val="25"/>
              </w:rPr>
            </w:pPr>
            <w:r>
              <w:rPr>
                <w:rFonts w:ascii="Times" w:hAnsi="Times" w:cs="Times"/>
                <w:sz w:val="25"/>
                <w:szCs w:val="25"/>
              </w:rPr>
              <w:t>B. 2.</w:t>
            </w:r>
          </w:p>
        </w:tc>
        <w:tc>
          <w:tcPr>
            <w:tcW w:w="4200" w:type="pct"/>
            <w:tcBorders>
              <w:top w:val="nil"/>
              <w:left w:val="nil"/>
              <w:bottom w:val="nil"/>
              <w:right w:val="nil"/>
            </w:tcBorders>
            <w:hideMark/>
          </w:tcPr>
          <w:p w14:paraId="6B5A4676" w14:textId="77777777" w:rsidR="00233936" w:rsidRDefault="00233936">
            <w:pPr>
              <w:rPr>
                <w:rFonts w:ascii="Times" w:hAnsi="Times" w:cs="Times"/>
                <w:sz w:val="25"/>
                <w:szCs w:val="25"/>
              </w:rPr>
            </w:pPr>
            <w:r>
              <w:rPr>
                <w:rFonts w:ascii="Times" w:hAnsi="Times" w:cs="Times"/>
                <w:sz w:val="25"/>
                <w:szCs w:val="25"/>
              </w:rPr>
              <w:t>uviesť a odôvodniť vládny návrh zákona v Národnej rade Slovenskej republiky.</w:t>
            </w:r>
          </w:p>
        </w:tc>
      </w:tr>
      <w:tr w:rsidR="00233936" w14:paraId="78B883A4" w14:textId="77777777">
        <w:trPr>
          <w:divId w:val="397677723"/>
          <w:trHeight w:val="450"/>
          <w:jc w:val="center"/>
        </w:trPr>
        <w:tc>
          <w:tcPr>
            <w:tcW w:w="5000" w:type="pct"/>
            <w:gridSpan w:val="3"/>
            <w:tcBorders>
              <w:top w:val="nil"/>
              <w:left w:val="nil"/>
              <w:bottom w:val="nil"/>
              <w:right w:val="nil"/>
            </w:tcBorders>
            <w:vAlign w:val="center"/>
            <w:hideMark/>
          </w:tcPr>
          <w:p w14:paraId="2B22FFB5" w14:textId="77777777" w:rsidR="00233936" w:rsidRDefault="00233936">
            <w:pPr>
              <w:rPr>
                <w:rFonts w:ascii="Times" w:hAnsi="Times" w:cs="Times"/>
                <w:sz w:val="25"/>
                <w:szCs w:val="25"/>
              </w:rPr>
            </w:pPr>
          </w:p>
        </w:tc>
      </w:tr>
    </w:tbl>
    <w:p w14:paraId="58EF137F" w14:textId="725F8511" w:rsidR="00596D02" w:rsidRDefault="00596D02" w:rsidP="0081708C"/>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878"/>
      </w:tblGrid>
      <w:tr w:rsidR="00557779" w14:paraId="76EC7E75" w14:textId="77777777" w:rsidTr="005E1E88">
        <w:trPr>
          <w:cantSplit/>
        </w:trPr>
        <w:tc>
          <w:tcPr>
            <w:tcW w:w="1668" w:type="dxa"/>
          </w:tcPr>
          <w:p w14:paraId="545FD5E8" w14:textId="4BD8203D" w:rsidR="00557779" w:rsidRPr="00557779" w:rsidRDefault="00557779" w:rsidP="0081708C">
            <w:pPr>
              <w:rPr>
                <w:rFonts w:ascii="Times New Roman" w:hAnsi="Times New Roman" w:cs="Times New Roman"/>
                <w:b/>
                <w:sz w:val="25"/>
                <w:szCs w:val="25"/>
              </w:rPr>
            </w:pPr>
            <w:r w:rsidRPr="00557779">
              <w:rPr>
                <w:rFonts w:ascii="Times New Roman" w:hAnsi="Times New Roman" w:cs="Times New Roman"/>
                <w:b/>
                <w:sz w:val="25"/>
                <w:szCs w:val="25"/>
              </w:rPr>
              <w:t>Vykonajú:</w:t>
            </w:r>
          </w:p>
        </w:tc>
        <w:tc>
          <w:tcPr>
            <w:tcW w:w="7878" w:type="dxa"/>
          </w:tcPr>
          <w:p w14:paraId="295C8092" w14:textId="5E7DC9F7" w:rsidR="00233936" w:rsidRDefault="00233936">
            <w:pPr>
              <w:divId w:val="222713988"/>
              <w:rPr>
                <w:rFonts w:ascii="Times" w:hAnsi="Times" w:cs="Times"/>
                <w:sz w:val="25"/>
                <w:szCs w:val="25"/>
              </w:rPr>
            </w:pPr>
            <w:r>
              <w:rPr>
                <w:rFonts w:ascii="Times" w:hAnsi="Times" w:cs="Times"/>
                <w:sz w:val="25"/>
                <w:szCs w:val="25"/>
              </w:rPr>
              <w:t>predseda vlády Slovenskej republiky</w:t>
            </w:r>
          </w:p>
          <w:p w14:paraId="7B9DFC7F" w14:textId="1AB9FBE6" w:rsidR="00557779" w:rsidRPr="00557779" w:rsidRDefault="00233936" w:rsidP="00233936">
            <w:r>
              <w:rPr>
                <w:rFonts w:ascii="Times" w:hAnsi="Times" w:cs="Times"/>
                <w:sz w:val="25"/>
                <w:szCs w:val="25"/>
              </w:rPr>
              <w:t>minister financií Slovenskej republiky</w:t>
            </w:r>
          </w:p>
        </w:tc>
      </w:tr>
      <w:tr w:rsidR="00557779" w14:paraId="7FA2E7D9" w14:textId="77777777" w:rsidTr="005E1E88">
        <w:trPr>
          <w:cantSplit/>
        </w:trPr>
        <w:tc>
          <w:tcPr>
            <w:tcW w:w="1668" w:type="dxa"/>
          </w:tcPr>
          <w:p w14:paraId="69BC451D" w14:textId="77777777" w:rsidR="00557779" w:rsidRPr="00557779" w:rsidRDefault="00557779" w:rsidP="0081708C">
            <w:pPr>
              <w:rPr>
                <w:rFonts w:ascii="Times New Roman" w:hAnsi="Times New Roman" w:cs="Times New Roman"/>
                <w:b/>
                <w:sz w:val="25"/>
                <w:szCs w:val="25"/>
              </w:rPr>
            </w:pPr>
          </w:p>
        </w:tc>
        <w:tc>
          <w:tcPr>
            <w:tcW w:w="7878" w:type="dxa"/>
          </w:tcPr>
          <w:p w14:paraId="76B4580D" w14:textId="77777777" w:rsidR="00557779" w:rsidRDefault="00557779" w:rsidP="0081708C"/>
        </w:tc>
      </w:tr>
      <w:tr w:rsidR="00557779" w14:paraId="2E92D592" w14:textId="77777777" w:rsidTr="005E1E88">
        <w:trPr>
          <w:cantSplit/>
        </w:trPr>
        <w:tc>
          <w:tcPr>
            <w:tcW w:w="1668" w:type="dxa"/>
          </w:tcPr>
          <w:p w14:paraId="27A57D39" w14:textId="742F8CA9" w:rsidR="00557779" w:rsidRPr="0010780A" w:rsidRDefault="00233936" w:rsidP="00233936">
            <w:pPr>
              <w:rPr>
                <w:rFonts w:ascii="Times New Roman" w:hAnsi="Times New Roman" w:cs="Times New Roman"/>
                <w:b/>
                <w:sz w:val="10"/>
                <w:szCs w:val="10"/>
              </w:rPr>
            </w:pPr>
            <w:r>
              <w:rPr>
                <w:rFonts w:ascii="Times" w:hAnsi="Times" w:cs="Times"/>
                <w:b/>
                <w:bCs/>
                <w:sz w:val="25"/>
                <w:szCs w:val="25"/>
              </w:rPr>
              <w:t>Na vedomie:</w:t>
            </w:r>
          </w:p>
        </w:tc>
        <w:tc>
          <w:tcPr>
            <w:tcW w:w="7878" w:type="dxa"/>
          </w:tcPr>
          <w:p w14:paraId="6A35A7A9" w14:textId="3F772027" w:rsidR="00233936" w:rsidRDefault="00233936">
            <w:pPr>
              <w:divId w:val="1230266837"/>
              <w:rPr>
                <w:rFonts w:ascii="Times" w:hAnsi="Times" w:cs="Times"/>
                <w:sz w:val="25"/>
                <w:szCs w:val="25"/>
              </w:rPr>
            </w:pPr>
            <w:r>
              <w:rPr>
                <w:rFonts w:ascii="Times" w:hAnsi="Times" w:cs="Times"/>
                <w:sz w:val="25"/>
                <w:szCs w:val="25"/>
              </w:rPr>
              <w:t>predseda Národnej rady Slovenskej republiky</w:t>
            </w:r>
          </w:p>
          <w:p w14:paraId="12C1C442" w14:textId="58195EBE" w:rsidR="00557779" w:rsidRDefault="00233936" w:rsidP="00233936">
            <w:r>
              <w:rPr>
                <w:rFonts w:ascii="Times" w:hAnsi="Times" w:cs="Times"/>
                <w:sz w:val="25"/>
                <w:szCs w:val="25"/>
              </w:rPr>
              <w:t>guvernér Národnej banky Slovenska</w:t>
            </w:r>
          </w:p>
        </w:tc>
      </w:tr>
    </w:tbl>
    <w:p w14:paraId="4FF3A38B" w14:textId="77777777" w:rsidR="00557779" w:rsidRDefault="00557779" w:rsidP="0081708C"/>
    <w:sectPr w:rsidR="00557779" w:rsidSect="00C858E5">
      <w:pgSz w:w="12240" w:h="15840"/>
      <w:pgMar w:top="56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9"/>
  <w:hyphenationZone w:val="425"/>
  <w:doNotShadeFormData/>
  <w:characterSpacingControl w:val="doNotCompress"/>
  <w:doNotValidateAgainstSchema/>
  <w:updateFields w:val="true"/>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67"/>
    <w:rsid w:val="00061FED"/>
    <w:rsid w:val="00074658"/>
    <w:rsid w:val="0010780A"/>
    <w:rsid w:val="00175B8A"/>
    <w:rsid w:val="001D495F"/>
    <w:rsid w:val="00233936"/>
    <w:rsid w:val="00266B00"/>
    <w:rsid w:val="002B0D08"/>
    <w:rsid w:val="00356199"/>
    <w:rsid w:val="00372BCE"/>
    <w:rsid w:val="00376D2B"/>
    <w:rsid w:val="00402F32"/>
    <w:rsid w:val="00456D57"/>
    <w:rsid w:val="005151A4"/>
    <w:rsid w:val="00557779"/>
    <w:rsid w:val="00596D02"/>
    <w:rsid w:val="005E1E88"/>
    <w:rsid w:val="006740F9"/>
    <w:rsid w:val="006A2A39"/>
    <w:rsid w:val="006B6F58"/>
    <w:rsid w:val="006F2EA0"/>
    <w:rsid w:val="006F3C1D"/>
    <w:rsid w:val="006F6506"/>
    <w:rsid w:val="007C2AD6"/>
    <w:rsid w:val="0081708C"/>
    <w:rsid w:val="008462F5"/>
    <w:rsid w:val="008C3A96"/>
    <w:rsid w:val="0092640A"/>
    <w:rsid w:val="00976A51"/>
    <w:rsid w:val="009964F3"/>
    <w:rsid w:val="009C4F6D"/>
    <w:rsid w:val="00A3474E"/>
    <w:rsid w:val="00B07CB6"/>
    <w:rsid w:val="00BD2459"/>
    <w:rsid w:val="00BD562D"/>
    <w:rsid w:val="00BE47B1"/>
    <w:rsid w:val="00C0662A"/>
    <w:rsid w:val="00C604FB"/>
    <w:rsid w:val="00C82652"/>
    <w:rsid w:val="00C858E5"/>
    <w:rsid w:val="00CC3A18"/>
    <w:rsid w:val="00D26F72"/>
    <w:rsid w:val="00D30B43"/>
    <w:rsid w:val="00D912E3"/>
    <w:rsid w:val="00E22B67"/>
    <w:rsid w:val="00EA65D1"/>
    <w:rsid w:val="00EB7696"/>
    <w:rsid w:val="00ED412E"/>
    <w:rsid w:val="00F94F2B"/>
    <w:rsid w:val="00F972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9B848F"/>
  <w14:defaultImageDpi w14:val="96"/>
  <w15:docId w15:val="{A66D758F-D370-4053-9087-C386C3E0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utoSpaceDE w:val="0"/>
      <w:autoSpaceDN w:val="0"/>
      <w:adjustRightInd w:val="0"/>
      <w:spacing w:after="0" w:line="240" w:lineRule="auto"/>
    </w:pPr>
    <w:rPr>
      <w:sz w:val="20"/>
      <w:szCs w:val="20"/>
    </w:rPr>
  </w:style>
  <w:style w:type="paragraph" w:styleId="Nadpis1">
    <w:name w:val="heading 1"/>
    <w:basedOn w:val="Normlny"/>
    <w:link w:val="Nadpis1Char"/>
    <w:uiPriority w:val="99"/>
    <w:qFormat/>
    <w:pPr>
      <w:outlineLvl w:val="0"/>
    </w:pPr>
  </w:style>
  <w:style w:type="paragraph" w:styleId="Nadpis2">
    <w:name w:val="heading 2"/>
    <w:basedOn w:val="Normlny"/>
    <w:link w:val="Nadpis2Char"/>
    <w:uiPriority w:val="99"/>
    <w:qFormat/>
    <w:pPr>
      <w:outlineLvl w:val="1"/>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paragraph" w:styleId="Textbubliny">
    <w:name w:val="Balloon Text"/>
    <w:basedOn w:val="Normlny"/>
    <w:link w:val="TextbublinyChar"/>
    <w:uiPriority w:val="99"/>
    <w:semiHidden/>
    <w:unhideWhenUsed/>
    <w:rsid w:val="00EA65D1"/>
    <w:rPr>
      <w:rFonts w:ascii="Tahoma" w:hAnsi="Tahoma" w:cs="Tahoma"/>
      <w:sz w:val="16"/>
      <w:szCs w:val="16"/>
    </w:rPr>
  </w:style>
  <w:style w:type="character" w:customStyle="1" w:styleId="TextbublinyChar">
    <w:name w:val="Text bubliny Char"/>
    <w:basedOn w:val="Predvolenpsmoodseku"/>
    <w:link w:val="Textbubliny"/>
    <w:uiPriority w:val="99"/>
    <w:semiHidden/>
    <w:rsid w:val="00EA65D1"/>
    <w:rPr>
      <w:rFonts w:ascii="Tahoma" w:hAnsi="Tahoma" w:cs="Tahoma"/>
      <w:sz w:val="16"/>
      <w:szCs w:val="16"/>
    </w:rPr>
  </w:style>
  <w:style w:type="character" w:styleId="Odkaznakomentr">
    <w:name w:val="annotation reference"/>
    <w:basedOn w:val="Predvolenpsmoodseku"/>
    <w:uiPriority w:val="99"/>
    <w:semiHidden/>
    <w:unhideWhenUsed/>
    <w:rsid w:val="00EA65D1"/>
    <w:rPr>
      <w:sz w:val="16"/>
      <w:szCs w:val="16"/>
    </w:rPr>
  </w:style>
  <w:style w:type="paragraph" w:styleId="Textkomentra">
    <w:name w:val="annotation text"/>
    <w:basedOn w:val="Normlny"/>
    <w:link w:val="TextkomentraChar"/>
    <w:uiPriority w:val="99"/>
    <w:semiHidden/>
    <w:unhideWhenUsed/>
    <w:rsid w:val="00EA65D1"/>
  </w:style>
  <w:style w:type="character" w:customStyle="1" w:styleId="TextkomentraChar">
    <w:name w:val="Text komentára Char"/>
    <w:basedOn w:val="Predvolenpsmoodseku"/>
    <w:link w:val="Textkomentra"/>
    <w:uiPriority w:val="99"/>
    <w:semiHidden/>
    <w:rsid w:val="00EA65D1"/>
    <w:rPr>
      <w:sz w:val="20"/>
      <w:szCs w:val="20"/>
    </w:rPr>
  </w:style>
  <w:style w:type="paragraph" w:styleId="Predmetkomentra">
    <w:name w:val="annotation subject"/>
    <w:basedOn w:val="Textkomentra"/>
    <w:next w:val="Textkomentra"/>
    <w:link w:val="PredmetkomentraChar"/>
    <w:uiPriority w:val="99"/>
    <w:semiHidden/>
    <w:unhideWhenUsed/>
    <w:rsid w:val="00EA65D1"/>
    <w:rPr>
      <w:b/>
      <w:bCs/>
    </w:rPr>
  </w:style>
  <w:style w:type="character" w:customStyle="1" w:styleId="PredmetkomentraChar">
    <w:name w:val="Predmet komentára Char"/>
    <w:basedOn w:val="TextkomentraChar"/>
    <w:link w:val="Predmetkomentra"/>
    <w:uiPriority w:val="99"/>
    <w:semiHidden/>
    <w:rsid w:val="00EA65D1"/>
    <w:rPr>
      <w:b/>
      <w:bCs/>
      <w:sz w:val="20"/>
      <w:szCs w:val="20"/>
    </w:rPr>
  </w:style>
  <w:style w:type="paragraph" w:styleId="Pta">
    <w:name w:val="footer"/>
    <w:basedOn w:val="Normlny"/>
    <w:link w:val="PtaChar"/>
    <w:rsid w:val="00BD2459"/>
    <w:pPr>
      <w:keepNext/>
      <w:keepLines/>
      <w:widowControl/>
      <w:tabs>
        <w:tab w:val="center" w:pos="4536"/>
        <w:tab w:val="right" w:pos="9072"/>
      </w:tabs>
      <w:autoSpaceDE/>
      <w:autoSpaceDN/>
      <w:adjustRightInd/>
      <w:jc w:val="center"/>
    </w:pPr>
    <w:rPr>
      <w:rFonts w:eastAsia="Times New Roman" w:cs="Times New Roman"/>
      <w:sz w:val="24"/>
    </w:rPr>
  </w:style>
  <w:style w:type="character" w:customStyle="1" w:styleId="PtaChar">
    <w:name w:val="Päta Char"/>
    <w:basedOn w:val="Predvolenpsmoodseku"/>
    <w:link w:val="Pta"/>
    <w:rsid w:val="00BD2459"/>
    <w:rPr>
      <w:rFonts w:eastAsia="Times New Roman" w:cs="Times New Roman"/>
      <w:sz w:val="24"/>
      <w:szCs w:val="20"/>
    </w:rPr>
  </w:style>
  <w:style w:type="table" w:styleId="Mriekatabuky">
    <w:name w:val="Table Grid"/>
    <w:basedOn w:val="Normlnatabuka"/>
    <w:uiPriority w:val="99"/>
    <w:unhideWhenUsed/>
    <w:rsid w:val="00557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8386">
      <w:bodyDiv w:val="1"/>
      <w:marLeft w:val="0"/>
      <w:marRight w:val="0"/>
      <w:marTop w:val="0"/>
      <w:marBottom w:val="0"/>
      <w:divBdr>
        <w:top w:val="none" w:sz="0" w:space="0" w:color="auto"/>
        <w:left w:val="none" w:sz="0" w:space="0" w:color="auto"/>
        <w:bottom w:val="none" w:sz="0" w:space="0" w:color="auto"/>
        <w:right w:val="none" w:sz="0" w:space="0" w:color="auto"/>
      </w:divBdr>
    </w:div>
    <w:div w:id="222713988">
      <w:bodyDiv w:val="1"/>
      <w:marLeft w:val="0"/>
      <w:marRight w:val="0"/>
      <w:marTop w:val="0"/>
      <w:marBottom w:val="0"/>
      <w:divBdr>
        <w:top w:val="none" w:sz="0" w:space="0" w:color="auto"/>
        <w:left w:val="none" w:sz="0" w:space="0" w:color="auto"/>
        <w:bottom w:val="none" w:sz="0" w:space="0" w:color="auto"/>
        <w:right w:val="none" w:sz="0" w:space="0" w:color="auto"/>
      </w:divBdr>
    </w:div>
    <w:div w:id="397677723">
      <w:bodyDiv w:val="1"/>
      <w:marLeft w:val="0"/>
      <w:marRight w:val="0"/>
      <w:marTop w:val="0"/>
      <w:marBottom w:val="0"/>
      <w:divBdr>
        <w:top w:val="none" w:sz="0" w:space="0" w:color="auto"/>
        <w:left w:val="none" w:sz="0" w:space="0" w:color="auto"/>
        <w:bottom w:val="none" w:sz="0" w:space="0" w:color="auto"/>
        <w:right w:val="none" w:sz="0" w:space="0" w:color="auto"/>
      </w:divBdr>
    </w:div>
    <w:div w:id="878469789">
      <w:bodyDiv w:val="1"/>
      <w:marLeft w:val="0"/>
      <w:marRight w:val="0"/>
      <w:marTop w:val="0"/>
      <w:marBottom w:val="0"/>
      <w:divBdr>
        <w:top w:val="none" w:sz="0" w:space="0" w:color="auto"/>
        <w:left w:val="none" w:sz="0" w:space="0" w:color="auto"/>
        <w:bottom w:val="none" w:sz="0" w:space="0" w:color="auto"/>
        <w:right w:val="none" w:sz="0" w:space="0" w:color="auto"/>
      </w:divBdr>
      <w:divsChild>
        <w:div w:id="99108830">
          <w:marLeft w:val="0"/>
          <w:marRight w:val="0"/>
          <w:marTop w:val="0"/>
          <w:marBottom w:val="0"/>
          <w:divBdr>
            <w:top w:val="none" w:sz="0" w:space="0" w:color="auto"/>
            <w:left w:val="none" w:sz="0" w:space="0" w:color="auto"/>
            <w:bottom w:val="none" w:sz="0" w:space="0" w:color="auto"/>
            <w:right w:val="none" w:sz="0" w:space="0" w:color="auto"/>
          </w:divBdr>
        </w:div>
      </w:divsChild>
    </w:div>
    <w:div w:id="923800846">
      <w:bodyDiv w:val="1"/>
      <w:marLeft w:val="0"/>
      <w:marRight w:val="0"/>
      <w:marTop w:val="0"/>
      <w:marBottom w:val="0"/>
      <w:divBdr>
        <w:top w:val="none" w:sz="0" w:space="0" w:color="auto"/>
        <w:left w:val="none" w:sz="0" w:space="0" w:color="auto"/>
        <w:bottom w:val="none" w:sz="0" w:space="0" w:color="auto"/>
        <w:right w:val="none" w:sz="0" w:space="0" w:color="auto"/>
      </w:divBdr>
    </w:div>
    <w:div w:id="12302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Zákon - návrh uznesenia vlády"/>
    <f:field ref="objsubject" par="" edit="true" text="Zákon - návrh uznesenia vlády"/>
    <f:field ref="objcreatedby" par="" text="Administrator, System"/>
    <f:field ref="objcreatedat" par="" text="17.5.2017 15:01:09"/>
    <f:field ref="objchangedby" par="" text="Administrator, System"/>
    <f:field ref="objmodifiedat" par="" text="17.5.2017 15:01:11"/>
    <f:field ref="doc_FSCFOLIO_1_1001_FieldDocumentNumber" par="" text=""/>
    <f:field ref="doc_FSCFOLIO_1_1001_FieldSubject" par="" edit="true" text="Zákon - návrh uznesenia vlády"/>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ACA2E8D-18A0-49BE-B449-1B6723163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878</Characters>
  <Application>Microsoft Office Word</Application>
  <DocSecurity>4</DocSecurity>
  <Lines>7</Lines>
  <Paragraphs>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1029</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2017-05-17T13:01:00Z</dcterms:created>
  <dc:creator>Pavol Gibala</dc:creator>
  <lastModifiedBy>ms.slx.P.fscsrv</lastModifiedBy>
  <dcterms:modified xsi:type="dcterms:W3CDTF">2017-05-17T13:01:00Z</dcterms:modified>
  <revision>2</revision>
</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COO.2145.1000.3.1968099</vt:lpwstr>
  </property>
  <property name="FSC#FSCFOLIO@1.1001:docpropproject" pid="3" fmtid="{D5CDD505-2E9C-101B-9397-08002B2CF9AE}">
    <vt:lpwstr/>
  </property>
  <property name="FSC#SKEDITIONSLOVLEX@103.510:typpredpis" pid="4" fmtid="{D5CDD505-2E9C-101B-9397-08002B2CF9AE}">
    <vt:lpwstr>Zákon</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Bankové a finančné inštitúcie</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Ing. Tomáš Poloma</vt:lpwstr>
  </property>
  <property name="FSC#SKEDITIONSLOVLEX@103.510:zodppredkladatel" pid="11" fmtid="{D5CDD505-2E9C-101B-9397-08002B2CF9AE}">
    <vt:lpwstr>Peter Kažimír</vt:lpwstr>
  </property>
  <property name="FSC#SKEDITIONSLOVLEX@103.510:nazovpredpis" pid="12" fmtid="{D5CDD505-2E9C-101B-9397-08002B2CF9AE}">
    <vt:lpwstr> Návrh zákona, ktorým sa mení a dopĺňa zákon č. 492/2009 Z. z. o platobných službách a o zmene a doplnení niektorých zákonov v znení neskorších predpisov</vt:lpwstr>
  </property>
  <property name="FSC#SKEDITIONSLOVLEX@103.510:cislopredpis" pid="13" fmtid="{D5CDD505-2E9C-101B-9397-08002B2CF9AE}">
    <vt:lpwstr/>
  </property>
  <property name="FSC#SKEDITIONSLOVLEX@103.510:zodpinstitucia" pid="14" fmtid="{D5CDD505-2E9C-101B-9397-08002B2CF9AE}">
    <vt:lpwstr>Ministerstvo financií Slovenskej republiky</vt:lpwstr>
  </property>
  <property name="FSC#SKEDITIONSLOVLEX@103.510:pripomienkovatelia" pid="15" fmtid="{D5CDD505-2E9C-101B-9397-08002B2CF9AE}">
    <vt:lpwstr>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vt:lpwstr>
  </property>
  <property name="FSC#SKEDITIONSLOVLEX@103.510:autorpredpis" pid="16" fmtid="{D5CDD505-2E9C-101B-9397-08002B2CF9AE}">
    <vt:lpwstr/>
  </property>
  <property name="FSC#SKEDITIONSLOVLEX@103.510:podnetpredpis" pid="17" fmtid="{D5CDD505-2E9C-101B-9397-08002B2CF9AE}">
    <vt:lpwstr>Plán legislatívnych úloh vlády Slovenskej republiky na rok 2017_x000d__x000a_</vt:lpwstr>
  </property>
  <property name="FSC#SKEDITIONSLOVLEX@103.510:plnynazovpredpis" pid="18" fmtid="{D5CDD505-2E9C-101B-9397-08002B2CF9AE}">
    <vt:lpwstr> Zákon Návrh zákona, ktorým sa mení a dopĺňa zákon č. 492/2009 Z. z. o platobných službách a o zmene a doplnení niektorých zákonov v znení neskorších predpisov</vt:lpwstr>
  </property>
  <property name="FSC#SKEDITIONSLOVLEX@103.510:rezortcislopredpis" pid="19" fmtid="{D5CDD505-2E9C-101B-9397-08002B2CF9AE}">
    <vt:lpwstr>MF/006232/2017-632</vt:lpwstr>
  </property>
  <property name="FSC#SKEDITIONSLOVLEX@103.510:citaciapredpis" pid="20" fmtid="{D5CDD505-2E9C-101B-9397-08002B2CF9AE}">
    <vt:lpwstr/>
  </property>
  <property name="FSC#SKEDITIONSLOVLEX@103.510:spiscislouv" pid="21" fmtid="{D5CDD505-2E9C-101B-9397-08002B2CF9AE}">
    <vt:lpwstr/>
  </property>
  <property name="FSC#SKEDITIONSLOVLEX@103.510:datumschvalpredpis" pid="22" fmtid="{D5CDD505-2E9C-101B-9397-08002B2CF9AE}">
    <vt:lpwstr/>
  </property>
  <property name="FSC#SKEDITIONSLOVLEX@103.510:platneod" pid="23" fmtid="{D5CDD505-2E9C-101B-9397-08002B2CF9AE}">
    <vt:lpwstr/>
  </property>
  <property name="FSC#SKEDITIONSLOVLEX@103.510:platnedo" pid="24" fmtid="{D5CDD505-2E9C-101B-9397-08002B2CF9AE}">
    <vt:lpwstr/>
  </property>
  <property name="FSC#SKEDITIONSLOVLEX@103.510:ucinnostod" pid="25" fmtid="{D5CDD505-2E9C-101B-9397-08002B2CF9AE}">
    <vt:lpwstr/>
  </property>
  <property name="FSC#SKEDITIONSLOVLEX@103.510:ucinnostdo" pid="26" fmtid="{D5CDD505-2E9C-101B-9397-08002B2CF9AE}">
    <vt:lpwstr/>
  </property>
  <property name="FSC#SKEDITIONSLOVLEX@103.510:datumplatnosti" pid="27" fmtid="{D5CDD505-2E9C-101B-9397-08002B2CF9AE}">
    <vt:lpwstr/>
  </property>
  <property name="FSC#SKEDITIONSLOVLEX@103.510:cislolp" pid="28" fmtid="{D5CDD505-2E9C-101B-9397-08002B2CF9AE}">
    <vt:lpwstr>LP/2017/359</vt:lpwstr>
  </property>
  <property name="FSC#SKEDITIONSLOVLEX@103.510:typsprievdok" pid="29" fmtid="{D5CDD505-2E9C-101B-9397-08002B2CF9AE}">
    <vt:lpwstr>Návrh uznesenia vlády Slovenskej republiky</vt:lpwstr>
  </property>
  <property name="FSC#SKEDITIONSLOVLEX@103.510:cislopartlac" pid="30" fmtid="{D5CDD505-2E9C-101B-9397-08002B2CF9AE}">
    <vt:lpwstr/>
  </property>
  <property name="FSC#SKEDITIONSLOVLEX@103.510:AttrStrListDocPropUcelPredmetZmluvy" pid="31" fmtid="{D5CDD505-2E9C-101B-9397-08002B2CF9AE}">
    <vt:lpwstr/>
  </property>
  <property name="FSC#SKEDITIONSLOVLEX@103.510:AttrStrListDocPropUpravaPravFOPRO" pid="32" fmtid="{D5CDD505-2E9C-101B-9397-08002B2CF9AE}">
    <vt:lpwstr/>
  </property>
  <property name="FSC#SKEDITIONSLOVLEX@103.510:AttrStrListDocPropUpravaPredmetuZmluvy" pid="33" fmtid="{D5CDD505-2E9C-101B-9397-08002B2CF9AE}">
    <vt:lpwstr/>
  </property>
  <property name="FSC#SKEDITIONSLOVLEX@103.510:AttrStrListDocPropKategoriaZmluvy74" pid="34" fmtid="{D5CDD505-2E9C-101B-9397-08002B2CF9AE}">
    <vt:lpwstr/>
  </property>
  <property name="FSC#SKEDITIONSLOVLEX@103.510:AttrStrListDocPropKategoriaZmluvy75" pid="35" fmtid="{D5CDD505-2E9C-101B-9397-08002B2CF9AE}">
    <vt:lpwstr/>
  </property>
  <property name="FSC#SKEDITIONSLOVLEX@103.510:AttrStrListDocPropDopadyPrijatiaZmluvy" pid="36" fmtid="{D5CDD505-2E9C-101B-9397-08002B2CF9AE}">
    <vt:lpwstr/>
  </property>
  <property name="FSC#SKEDITIONSLOVLEX@103.510:AttrStrListDocPropProblematikaPPa" pid="37" fmtid="{D5CDD505-2E9C-101B-9397-08002B2CF9AE}">
    <vt:lpwstr>je upravená v práve Európskej únie</vt:lpwstr>
  </property>
  <property name="FSC#SKEDITIONSLOVLEX@103.510:AttrStrListDocPropPrimarnePravoEU" pid="38" fmtid="{D5CDD505-2E9C-101B-9397-08002B2CF9AE}">
    <vt:lpwstr>čl. 3 ods. 1 písm. b), čl. 4, čl. 26 ods. 2, čl. 56 až 66, čl. 144 a čl. 127 Zmluvy o fungovaní Európskej únie,_x000d__x000a_čl. 3 Zmluvy o Európskej únii,_x000d__x000a_Protokol (č.4) o Štatúte Európskeho systému centrálnych bánk a Európskej centrálnej banky.</vt:lpwstr>
  </property>
  <property name="FSC#SKEDITIONSLOVLEX@103.510:AttrStrListDocPropSekundarneLegPravoPO" pid="39" fmtid="{D5CDD505-2E9C-101B-9397-08002B2CF9AE}">
    <vt:lpwstr>smernica Európskeho parlamentu a Rady (EÚ) 2015/2366 z 25. novembra 2015 o platobných službách na vnútornom trhu, ktorou sa menia smernice 2002/65/ES, 2009/110/ES a 2013/36/EÚ a nariadenie (EÚ) č. 1093/2010 a ktorou sa zrušuje smernica 2007/64/ES (Ú. v. EÚ L 337, 23. 12.2015),_x000d__x000a_smernica Európskeho parlamentu a Rady 2014/92/EÚ z 23. júla 2014 o porovnateľnosti poplatkov za platobné účty, o presune platobných účtov a o prístupe k platobným účtom so základnými funkciami (Ú.v. EÚ L 257, 28.8.2014),_x000d__x000a_nariadenie Európskeho parlamentu a Rady (EÚ) 2015/847 z 20. mája 2015 o údajoch sprevádzajúcich prevody finančných prostriedkov, ktorým sa zrušuje nariadenie (ES) č. 1781/2006 (Ú. v. EÚ L 141, 5. 6.2015),_x000d__x000a_nariadenie Európskeho parlamentu a Rady (EÚ) 2015/751 z 29. apríla 2015 o výmenných poplatkoch za platobné transakcie viazané na kartu (Ú. v. EÚ L 123, 19.5.2015),_x000d__x000a_nariadenie Európskeho parlamentu a Rady (EÚ) č. 260/2012 zo 14. marca 2012, ktorým sa ustanovujú technické a obchodné požiadavky na úhrady a inkasá v eurách a ktorým sa mení a dopĺňa nariadenie (ES) č. 924/2009 (Ú. v. EÚ L 94, 30.3.2012) v platnom znení,_x000d__x000a_nariadenie Európskeho parlamentu a Rady (EÚ) č. 1093/2010 z  24. novembra 2010 , ktorým sa zriaďuje Európsky orgán dohľadu (Európsky orgán pre bankovníctvo) a ktorým sa mení a dopĺňa rozhodnutie č. 716/2009/ES a zrušuje rozhodnutie Komisie 2009/78/ES (Ú. v. EÚ L 331, 15.12.2010) v platnom znení,_x000d__x000a_nariadenie Európskeho parlamentu a Rady (EÚ) č. 1095/2010 z  24. novembra 2010, ktorým sa zriaďuje Európsky orgán dohľadu (Európsky orgán pre cenné papiere a trhy) a ktorým sa mení a dopĺňa rozhodnutie č. 716/2009/ES a zrušuje rozhodnutie Komisie 2009/77/ES (Ú. v. EÚ L 331, 15.12.2010) v platnom znení.</vt:lpwstr>
  </property>
  <property name="FSC#SKEDITIONSLOVLEX@103.510:AttrStrListDocPropSekundarneNelegPravoPO" pid="40" fmtid="{D5CDD505-2E9C-101B-9397-08002B2CF9AE}">
    <vt:lpwstr>delegované nariadenie Komisie (EÚ) č. 241/2014 zo 7. januára 2014, ktorým sa dopĺňa nariadenie Európskeho parlamentu a Rady (EÚ) č. 575/2013, pokiaľ ide o regulačné technické predpisy týkajúce sa požiadaviek na vlastné zdroje inštitúcií (Ú. v. EÚ L 74, 14.3.2014).</vt:lpwstr>
  </property>
  <property name="FSC#SKEDITIONSLOVLEX@103.510:AttrStrListDocPropSekundarneLegPravoDO" pid="41" fmtid="{D5CDD505-2E9C-101B-9397-08002B2CF9AE}">
    <vt:lpwstr>smernica Európskeho parlamentu a Rady 2009/110/ES zo 16. septembra 2009 o začatí a vykonávaní činností a dohľade nad obozretným podnikaním inštitúcií elektronického peňažníctva, ktorou sa menia a dopĺňajú smernice 2005/60/ES a 2006/48/ES a zrušuje smernica 2000/46/ES (Ú. v. EÚ L 267, 10.10. 2009) v platnom znení,_x000d__x000a_smernica Európskeho parlamentu a Rady 98/26/ES z 19. mája 1998 o konečnom zúčtovaní v platobných systémoch a zúčtovacích systémoch cenných papierov  (Mimoriadne vydanie Ú. v. EÚ, kap. 06/zv. 03, Ú. v. ES L 166, 11.6.1998) v platnom znení,_x000d__x000a_nariadenie Európskeho parlamentu a Rady (ES) č. 924/2009 zo 16. septembra 2009 o cezhraničných platbách v Spoločenstve, ktorým sa zrušuje nariadenie (ES) č. 2560/2001 (Ú. v. EÚ L 266, 9. 10.2009), v platnom znení.</vt:lpwstr>
  </property>
  <property name="FSC#SKEDITIONSLOVLEX@103.510:AttrStrListDocPropProblematikaPPb" pid="42" fmtid="{D5CDD505-2E9C-101B-9397-08002B2CF9AE}">
    <vt:lpwstr>je obsiahnutá v judikatúre Súdneho dvora Európskej únie</vt:lpwstr>
  </property>
  <property name="FSC#SKEDITIONSLOVLEX@103.510:AttrStrListDocPropNazovPredpisuEU" pid="43" fmtid="{D5CDD505-2E9C-101B-9397-08002B2CF9AE}">
    <vt:lpwstr>rozhodnutie Súdneho dvora vo veci C - 616/11, T Mobile Austria GmbH proti Verein für Konsumenteninformation, [2014].</vt:lpwstr>
  </property>
  <property name="FSC#SKEDITIONSLOVLEX@103.510:AttrStrListDocPropLehotaPrebratieSmernice" pid="44" fmtid="{D5CDD505-2E9C-101B-9397-08002B2CF9AE}">
    <vt:lpwstr>Lehota na prebratie smernice (EÚ) 2015/2366 bola stanovená do 13. januára 2018.</vt:lpwstr>
  </property>
  <property name="FSC#SKEDITIONSLOVLEX@103.510:AttrStrListDocPropLehotaNaPredlozenie" pid="45" fmtid="{D5CDD505-2E9C-101B-9397-08002B2CF9AE}">
    <vt:lpwstr>Lehota na predloženie návrhu právneho prepisu na rokovanie vlády podľa určenia gestorských ústredných orgánov štátnej správy zodpovedných za prebratie smerníc a vypracovanie tabuliek zhody k návrhom všeobecne záväzných právnych predpisov, ktorým sa zabezpečí prebratie smernice (EÚ) 2015/2366 bola stanovená do 30. júna 2017.</vt:lpwstr>
  </property>
  <property name="FSC#SKEDITIONSLOVLEX@103.510:AttrStrListDocPropInfoZaciatokKonania" pid="46" fmtid="{D5CDD505-2E9C-101B-9397-08002B2CF9AE}">
    <vt:lpwstr>Proti Slovenskej republike nebolo začaté konanie vo veci porušenia Zmluvy o fungovaní Európskej únie podľa čl. 258 až 260.</vt:lpwstr>
  </property>
  <property name="FSC#SKEDITIONSLOVLEX@103.510:AttrStrListDocPropInfoUzPreberanePP" pid="47" fmtid="{D5CDD505-2E9C-101B-9397-08002B2CF9AE}">
    <vt:lpwstr>Smernica (EÚ) 2015/2366 bola prebratá do zákona č. 492/2009 Z. z. o platobných službách a o zmene a doplnení niektorých zákonov v znení neskorších predpisov, do zákona č. 483/2001 Z. z. o bankách a o zmene a doplnení niektorých zákonov v znení neskorších predpisov, do zákona č. 747/2004 Z. z. o dohľade nad finančným trhom a o zmene a doplnení niektorých zákonov v znení neskorších predpisov a do zákona č. 266/2005 Z. z. o ochrane spotrebiteľa pri finančných službách na diaľku a o zmene a doplnení niektorých zákonov v znení neskorších predpisov.</vt:lpwstr>
  </property>
  <property name="FSC#SKEDITIONSLOVLEX@103.510:AttrStrListDocPropStupenZlucitelnostiPP" pid="48" fmtid="{D5CDD505-2E9C-101B-9397-08002B2CF9AE}">
    <vt:lpwstr>úplný</vt:lpwstr>
  </property>
  <property name="FSC#SKEDITIONSLOVLEX@103.510:AttrStrListDocPropGestorSpolupRezorty" pid="49" fmtid="{D5CDD505-2E9C-101B-9397-08002B2CF9AE}">
    <vt:lpwstr>Ministerstvo financií Slovenskej republiky_x000d__x000a_Národná banka Slovenska</vt:lpwstr>
  </property>
  <property name="FSC#SKEDITIONSLOVLEX@103.510:AttrDateDocPropZaciatokPKK" pid="50" fmtid="{D5CDD505-2E9C-101B-9397-08002B2CF9AE}">
    <vt:lpwstr>9. 5. 2017</vt:lpwstr>
  </property>
  <property name="FSC#SKEDITIONSLOVLEX@103.510:AttrDateDocPropUkonceniePKK" pid="51" fmtid="{D5CDD505-2E9C-101B-9397-08002B2CF9AE}">
    <vt:lpwstr>22. 5. 2017</vt:lpwstr>
  </property>
  <property name="FSC#SKEDITIONSLOVLEX@103.510:AttrStrDocPropVplyvRozpocetVS" pid="52" fmtid="{D5CDD505-2E9C-101B-9397-08002B2CF9AE}">
    <vt:lpwstr>Žiadne</vt:lpwstr>
  </property>
  <property name="FSC#SKEDITIONSLOVLEX@103.510:AttrStrDocPropVplyvPodnikatelskeProstr" pid="53" fmtid="{D5CDD505-2E9C-101B-9397-08002B2CF9AE}">
    <vt:lpwstr>Pozitívne_x000d__x000a_Negatívne</vt:lpwstr>
  </property>
  <property name="FSC#SKEDITIONSLOVLEX@103.510:AttrStrDocPropVplyvSocialny" pid="54" fmtid="{D5CDD505-2E9C-101B-9397-08002B2CF9AE}">
    <vt:lpwstr>Žiadne</vt:lpwstr>
  </property>
  <property name="FSC#SKEDITIONSLOVLEX@103.510:AttrStrDocPropVplyvNaZivotProstr" pid="55" fmtid="{D5CDD505-2E9C-101B-9397-08002B2CF9AE}">
    <vt:lpwstr>Žiadne</vt:lpwstr>
  </property>
  <property name="FSC#SKEDITIONSLOVLEX@103.510:AttrStrDocPropVplyvNaInformatizaciu" pid="56" fmtid="{D5CDD505-2E9C-101B-9397-08002B2CF9AE}">
    <vt:lpwstr>Žiadne</vt:lpwstr>
  </property>
  <property name="FSC#SKEDITIONSLOVLEX@103.510:AttrStrListDocPropPoznamkaVplyv" pid="57" fmtid="{D5CDD505-2E9C-101B-9397-08002B2CF9AE}">
    <vt:lpwstr/>
  </property>
  <property name="FSC#SKEDITIONSLOVLEX@103.510:AttrStrListDocPropAltRiesenia" pid="58" fmtid="{D5CDD505-2E9C-101B-9397-08002B2CF9AE}">
    <vt:lpwstr>Keďže smernica vyžaduje úplnú harmonizáciu neboli v rámci transpozície smernice skúmané alternatívne riešenia.</vt:lpwstr>
  </property>
  <property name="FSC#SKEDITIONSLOVLEX@103.510:AttrStrListDocPropStanoviskoGest" pid="59" fmtid="{D5CDD505-2E9C-101B-9397-08002B2CF9AE}">
    <vt:lpwstr>Pripomienky a návrhy zmien: Komisia uplatňuje k materiálu nasledovné pripomienky a odporúčania:K analýze vplyvov na podnikateľské prostredieKomisia má za to, že ak predkladateľ v časti 3.3.3 Administratívne náklady v rámci Analýzy vplyvov na podnikateľské prostredie uvádza, že v dôsledku prijatia opatrení návrhu sa zavádzajú nové či upravujú už jestvujúce povinnosti dotknutých subjektov, konkrétne napr. povinnosť: - oznámiť NBS dôvody na neuplatnenie jednodennej lehoty na vrátenie sumy neautorizovanej platobnej operácie,- poskytnúť NBS na posúdenie prevádzkové a bezpečnostné riziká súvisiace s poskytovaním platobných služieb,- sprístupniť ľahko dostupným spôsobom na svojom webovom sídle alebo poskytnúť v listinnej podobe informačný leták o právach spotrebiteľa,- podať NBS raz mesačne správu o sume vykonaných platobných operácií za predchádzajúci kalendárny mesiac vrátane platobných operácií vykonaných týmto poskytovateľom platobných služieb prostredníctvom agentov platobných služieb,- poskytnúť používateľovi platobných služieb odpoveď ku každému bodu jeho reklamácie, a to v listinnej podobe alebo zmluvne dohodnutým spôsobom na trvanlivom médiu, atď.,a teda potvrdzuje vznik nových povinností na strane dotknutých subjektov, v nadväznosti na túto skutočnosť Komisia odporúča vyplniť aj časť 3.3.4 Súhrnná tabuľka nákladov regulácie, na ktorých výpočet je potrebné použiť postup v súlade s Kalkulačkou nákladov, nakoľko mnohé z uvedených  povinností je možné zaznamenať nie len kvalitatívne, ale aj kvantitatívne. Ak aj má predkladateľ za to, že tieto povinnosti už mnohé dotknuté subjekty dnes plnia, cieľom vyčíslenia nákladov je poukázať na jednotkový náklad danej povinnosti subjektu, ktorému (aj keď len) potenciálne vznikne. Cieľom Analýzy vplyvov na podnikateľské prostredie totiž nie je len kvalitatívne popísať novovznikajúce povinnosti, ale aj k nim priradiť náležitý náklad, resp. sa o to aspoň pokúsiť v niektorých prípadoch. Nemožno akceptovať vypísanie v Administratívnych nákladoch súhrnu 15 nových povinností a následné uvedenie „0 €“ v Súhrnne tabuľke nákladov. Stála pracovná komisia na posudzovanie vybraných vplyvov vyjadruje súhlasné stanovisko s návrhom na dopracovanie</vt:lpwstr>
  </property>
  <property name="FSC#SKEDITIONSLOVLEX@103.510:AttrStrListDocPropTextKomunike" pid="60" fmtid="{D5CDD505-2E9C-101B-9397-08002B2CF9AE}">
    <vt:lpwstr>Vláda Slovenskej republiky na svojom rokovaní dňa ....................... prerokovala a schválila návrh zákona Návrh zákona, ktorým sa mení a dopĺňa zákon č. 492/2009 Z. z. o platobných službách a o zmene a doplnení niektorých zákonov v znení neskorších predpisov.</vt:lpwstr>
  </property>
  <property name="FSC#SKEDITIONSLOVLEX@103.510:AttrStrListDocPropUznesenieCastA" pid="61" fmtid="{D5CDD505-2E9C-101B-9397-08002B2CF9AE}">
    <vt:lpwstr/>
  </property>
  <property name="FSC#SKEDITIONSLOVLEX@103.510:AttrStrListDocPropUznesenieZodpovednyA1" pid="62" fmtid="{D5CDD505-2E9C-101B-9397-08002B2CF9AE}">
    <vt:lpwstr/>
  </property>
  <property name="FSC#SKEDITIONSLOVLEX@103.510:AttrStrListDocPropUznesenieTextA1" pid="63" fmtid="{D5CDD505-2E9C-101B-9397-08002B2CF9AE}">
    <vt:lpwstr/>
  </property>
  <property name="FSC#SKEDITIONSLOVLEX@103.510:AttrStrListDocPropUznesenieTerminA1" pid="64" fmtid="{D5CDD505-2E9C-101B-9397-08002B2CF9AE}">
    <vt:lpwstr/>
  </property>
  <property name="FSC#SKEDITIONSLOVLEX@103.510:AttrStrListDocPropUznesenieBODA1" pid="65" fmtid="{D5CDD505-2E9C-101B-9397-08002B2CF9AE}">
    <vt:lpwstr/>
  </property>
  <property name="FSC#SKEDITIONSLOVLEX@103.510:AttrStrListDocPropUznesenieZodpovednyA2" pid="66" fmtid="{D5CDD505-2E9C-101B-9397-08002B2CF9AE}">
    <vt:lpwstr/>
  </property>
  <property name="FSC#SKEDITIONSLOVLEX@103.510:AttrStrListDocPropUznesenieTextA2" pid="67" fmtid="{D5CDD505-2E9C-101B-9397-08002B2CF9AE}">
    <vt:lpwstr/>
  </property>
  <property name="FSC#SKEDITIONSLOVLEX@103.510:AttrStrListDocPropUznesenieTerminA2" pid="68" fmtid="{D5CDD505-2E9C-101B-9397-08002B2CF9AE}">
    <vt:lpwstr/>
  </property>
  <property name="FSC#SKEDITIONSLOVLEX@103.510:AttrStrListDocPropUznesenieBODA3" pid="69" fmtid="{D5CDD505-2E9C-101B-9397-08002B2CF9AE}">
    <vt:lpwstr/>
  </property>
  <property name="FSC#SKEDITIONSLOVLEX@103.510:AttrStrListDocPropUznesenieZodpovednyA3" pid="70" fmtid="{D5CDD505-2E9C-101B-9397-08002B2CF9AE}">
    <vt:lpwstr/>
  </property>
  <property name="FSC#SKEDITIONSLOVLEX@103.510:AttrStrListDocPropUznesenieTextA3" pid="71" fmtid="{D5CDD505-2E9C-101B-9397-08002B2CF9AE}">
    <vt:lpwstr/>
  </property>
  <property name="FSC#SKEDITIONSLOVLEX@103.510:AttrStrListDocPropUznesenieTerminA3" pid="72" fmtid="{D5CDD505-2E9C-101B-9397-08002B2CF9AE}">
    <vt:lpwstr/>
  </property>
  <property name="FSC#SKEDITIONSLOVLEX@103.510:AttrStrListDocPropUznesenieBODA4" pid="73" fmtid="{D5CDD505-2E9C-101B-9397-08002B2CF9AE}">
    <vt:lpwstr/>
  </property>
  <property name="FSC#SKEDITIONSLOVLEX@103.510:AttrStrListDocPropUznesenieZodpovednyA4" pid="74" fmtid="{D5CDD505-2E9C-101B-9397-08002B2CF9AE}">
    <vt:lpwstr/>
  </property>
  <property name="FSC#SKEDITIONSLOVLEX@103.510:AttrStrListDocPropUznesenieTextA4" pid="75" fmtid="{D5CDD505-2E9C-101B-9397-08002B2CF9AE}">
    <vt:lpwstr/>
  </property>
  <property name="FSC#SKEDITIONSLOVLEX@103.510:AttrStrListDocPropUznesenieTerminA4" pid="76" fmtid="{D5CDD505-2E9C-101B-9397-08002B2CF9AE}">
    <vt:lpwstr/>
  </property>
  <property name="FSC#SKEDITIONSLOVLEX@103.510:AttrStrListDocPropUznesenieCastB" pid="77" fmtid="{D5CDD505-2E9C-101B-9397-08002B2CF9AE}">
    <vt:lpwstr/>
  </property>
  <property name="FSC#SKEDITIONSLOVLEX@103.510:AttrStrListDocPropUznesenieBODB1" pid="78" fmtid="{D5CDD505-2E9C-101B-9397-08002B2CF9AE}">
    <vt:lpwstr/>
  </property>
  <property name="FSC#SKEDITIONSLOVLEX@103.510:AttrStrListDocPropUznesenieZodpovednyB1" pid="79" fmtid="{D5CDD505-2E9C-101B-9397-08002B2CF9AE}">
    <vt:lpwstr/>
  </property>
  <property name="FSC#SKEDITIONSLOVLEX@103.510:AttrStrListDocPropUznesenieTextB1" pid="80" fmtid="{D5CDD505-2E9C-101B-9397-08002B2CF9AE}">
    <vt:lpwstr/>
  </property>
  <property name="FSC#SKEDITIONSLOVLEX@103.510:AttrStrListDocPropUznesenieTerminB1" pid="81" fmtid="{D5CDD505-2E9C-101B-9397-08002B2CF9AE}">
    <vt:lpwstr/>
  </property>
  <property name="FSC#SKEDITIONSLOVLEX@103.510:AttrStrListDocPropUznesenieBODB2" pid="82" fmtid="{D5CDD505-2E9C-101B-9397-08002B2CF9AE}">
    <vt:lpwstr/>
  </property>
  <property name="FSC#SKEDITIONSLOVLEX@103.510:AttrStrListDocPropUznesenieZodpovednyB2" pid="83" fmtid="{D5CDD505-2E9C-101B-9397-08002B2CF9AE}">
    <vt:lpwstr/>
  </property>
  <property name="FSC#SKEDITIONSLOVLEX@103.510:AttrStrListDocPropUznesenieTextB2" pid="84" fmtid="{D5CDD505-2E9C-101B-9397-08002B2CF9AE}">
    <vt:lpwstr/>
  </property>
  <property name="FSC#SKEDITIONSLOVLEX@103.510:AttrStrListDocPropUznesenieTerminB2" pid="85" fmtid="{D5CDD505-2E9C-101B-9397-08002B2CF9AE}">
    <vt:lpwstr/>
  </property>
  <property name="FSC#SKEDITIONSLOVLEX@103.510:AttrStrListDocPropUznesenieBODB3" pid="86" fmtid="{D5CDD505-2E9C-101B-9397-08002B2CF9AE}">
    <vt:lpwstr/>
  </property>
  <property name="FSC#SKEDITIONSLOVLEX@103.510:AttrStrListDocPropUznesenieZodpovednyB3" pid="87" fmtid="{D5CDD505-2E9C-101B-9397-08002B2CF9AE}">
    <vt:lpwstr/>
  </property>
  <property name="FSC#SKEDITIONSLOVLEX@103.510:AttrStrListDocPropUznesenieTextB3" pid="88" fmtid="{D5CDD505-2E9C-101B-9397-08002B2CF9AE}">
    <vt:lpwstr/>
  </property>
  <property name="FSC#SKEDITIONSLOVLEX@103.510:AttrStrListDocPropUznesenieTerminB3" pid="89" fmtid="{D5CDD505-2E9C-101B-9397-08002B2CF9AE}">
    <vt:lpwstr/>
  </property>
  <property name="FSC#SKEDITIONSLOVLEX@103.510:AttrStrListDocPropUznesenieBODB4" pid="90" fmtid="{D5CDD505-2E9C-101B-9397-08002B2CF9AE}">
    <vt:lpwstr/>
  </property>
  <property name="FSC#SKEDITIONSLOVLEX@103.510:AttrStrListDocPropUznesenieZodpovednyB4" pid="91" fmtid="{D5CDD505-2E9C-101B-9397-08002B2CF9AE}">
    <vt:lpwstr/>
  </property>
  <property name="FSC#SKEDITIONSLOVLEX@103.510:AttrStrListDocPropUznesenieTextB4" pid="92" fmtid="{D5CDD505-2E9C-101B-9397-08002B2CF9AE}">
    <vt:lpwstr/>
  </property>
  <property name="FSC#SKEDITIONSLOVLEX@103.510:AttrStrListDocPropUznesenieTerminB4" pid="93" fmtid="{D5CDD505-2E9C-101B-9397-08002B2CF9AE}">
    <vt:lpwstr/>
  </property>
  <property name="FSC#SKEDITIONSLOVLEX@103.510:AttrStrListDocPropUznesenieCastC" pid="94" fmtid="{D5CDD505-2E9C-101B-9397-08002B2CF9AE}">
    <vt:lpwstr/>
  </property>
  <property name="FSC#SKEDITIONSLOVLEX@103.510:AttrStrListDocPropUznesenieBODC1" pid="95" fmtid="{D5CDD505-2E9C-101B-9397-08002B2CF9AE}">
    <vt:lpwstr/>
  </property>
  <property name="FSC#SKEDITIONSLOVLEX@103.510:AttrStrListDocPropUznesenieZodpovednyC1" pid="96" fmtid="{D5CDD505-2E9C-101B-9397-08002B2CF9AE}">
    <vt:lpwstr/>
  </property>
  <property name="FSC#SKEDITIONSLOVLEX@103.510:AttrStrListDocPropUznesenieTextC1" pid="97" fmtid="{D5CDD505-2E9C-101B-9397-08002B2CF9AE}">
    <vt:lpwstr/>
  </property>
  <property name="FSC#SKEDITIONSLOVLEX@103.510:AttrStrListDocPropUznesenieTerminC1" pid="98" fmtid="{D5CDD505-2E9C-101B-9397-08002B2CF9AE}">
    <vt:lpwstr/>
  </property>
  <property name="FSC#SKEDITIONSLOVLEX@103.510:AttrStrListDocPropUznesenieBODC2" pid="99" fmtid="{D5CDD505-2E9C-101B-9397-08002B2CF9AE}">
    <vt:lpwstr/>
  </property>
  <property name="FSC#SKEDITIONSLOVLEX@103.510:AttrStrListDocPropUznesenieZodpovednyC2" pid="100" fmtid="{D5CDD505-2E9C-101B-9397-08002B2CF9AE}">
    <vt:lpwstr/>
  </property>
  <property name="FSC#SKEDITIONSLOVLEX@103.510:AttrStrListDocPropUznesenieTextC2" pid="101" fmtid="{D5CDD505-2E9C-101B-9397-08002B2CF9AE}">
    <vt:lpwstr/>
  </property>
  <property name="FSC#SKEDITIONSLOVLEX@103.510:AttrStrListDocPropUznesenieTerminC2" pid="102" fmtid="{D5CDD505-2E9C-101B-9397-08002B2CF9AE}">
    <vt:lpwstr/>
  </property>
  <property name="FSC#SKEDITIONSLOVLEX@103.510:AttrStrListDocPropUznesenieBODC3" pid="103" fmtid="{D5CDD505-2E9C-101B-9397-08002B2CF9AE}">
    <vt:lpwstr/>
  </property>
  <property name="FSC#SKEDITIONSLOVLEX@103.510:AttrStrListDocPropUznesenieZodpovednyC3" pid="104" fmtid="{D5CDD505-2E9C-101B-9397-08002B2CF9AE}">
    <vt:lpwstr/>
  </property>
  <property name="FSC#SKEDITIONSLOVLEX@103.510:AttrStrListDocPropUznesenieTextC3" pid="105" fmtid="{D5CDD505-2E9C-101B-9397-08002B2CF9AE}">
    <vt:lpwstr/>
  </property>
  <property name="FSC#SKEDITIONSLOVLEX@103.510:AttrStrListDocPropUznesenieTerminC3" pid="106" fmtid="{D5CDD505-2E9C-101B-9397-08002B2CF9AE}">
    <vt:lpwstr/>
  </property>
  <property name="FSC#SKEDITIONSLOVLEX@103.510:AttrStrListDocPropUznesenieBODC4" pid="107" fmtid="{D5CDD505-2E9C-101B-9397-08002B2CF9AE}">
    <vt:lpwstr/>
  </property>
  <property name="FSC#SKEDITIONSLOVLEX@103.510:AttrStrListDocPropUznesenieZodpovednyC4" pid="108" fmtid="{D5CDD505-2E9C-101B-9397-08002B2CF9AE}">
    <vt:lpwstr/>
  </property>
  <property name="FSC#SKEDITIONSLOVLEX@103.510:AttrStrListDocPropUznesenieTextC4" pid="109" fmtid="{D5CDD505-2E9C-101B-9397-08002B2CF9AE}">
    <vt:lpwstr/>
  </property>
  <property name="FSC#SKEDITIONSLOVLEX@103.510:AttrStrListDocPropUznesenieTerminC4" pid="110" fmtid="{D5CDD505-2E9C-101B-9397-08002B2CF9AE}">
    <vt:lpwstr/>
  </property>
  <property name="FSC#SKEDITIONSLOVLEX@103.510:AttrStrListDocPropUznesenieCastD" pid="111" fmtid="{D5CDD505-2E9C-101B-9397-08002B2CF9AE}">
    <vt:lpwstr/>
  </property>
  <property name="FSC#SKEDITIONSLOVLEX@103.510:AttrStrListDocPropUznesenieBODD1" pid="112" fmtid="{D5CDD505-2E9C-101B-9397-08002B2CF9AE}">
    <vt:lpwstr/>
  </property>
  <property name="FSC#SKEDITIONSLOVLEX@103.510:AttrStrListDocPropUznesenieZodpovednyD1" pid="113" fmtid="{D5CDD505-2E9C-101B-9397-08002B2CF9AE}">
    <vt:lpwstr/>
  </property>
  <property name="FSC#SKEDITIONSLOVLEX@103.510:AttrStrListDocPropUznesenieTextD1" pid="114" fmtid="{D5CDD505-2E9C-101B-9397-08002B2CF9AE}">
    <vt:lpwstr/>
  </property>
  <property name="FSC#SKEDITIONSLOVLEX@103.510:AttrStrListDocPropUznesenieTerminD1" pid="115" fmtid="{D5CDD505-2E9C-101B-9397-08002B2CF9AE}">
    <vt:lpwstr/>
  </property>
  <property name="FSC#SKEDITIONSLOVLEX@103.510:AttrStrListDocPropUznesenieBODD2" pid="116" fmtid="{D5CDD505-2E9C-101B-9397-08002B2CF9AE}">
    <vt:lpwstr/>
  </property>
  <property name="FSC#SKEDITIONSLOVLEX@103.510:AttrStrListDocPropUznesenieZodpovednyD2" pid="117" fmtid="{D5CDD505-2E9C-101B-9397-08002B2CF9AE}">
    <vt:lpwstr/>
  </property>
  <property name="FSC#SKEDITIONSLOVLEX@103.510:AttrStrListDocPropUznesenieTextD2" pid="118" fmtid="{D5CDD505-2E9C-101B-9397-08002B2CF9AE}">
    <vt:lpwstr/>
  </property>
  <property name="FSC#SKEDITIONSLOVLEX@103.510:AttrStrListDocPropUznesenieTerminD2" pid="119" fmtid="{D5CDD505-2E9C-101B-9397-08002B2CF9AE}">
    <vt:lpwstr/>
  </property>
  <property name="FSC#SKEDITIONSLOVLEX@103.510:AttrStrListDocPropUznesenieBODD3" pid="120" fmtid="{D5CDD505-2E9C-101B-9397-08002B2CF9AE}">
    <vt:lpwstr/>
  </property>
  <property name="FSC#SKEDITIONSLOVLEX@103.510:AttrStrListDocPropUznesenieZodpovednyD3" pid="121" fmtid="{D5CDD505-2E9C-101B-9397-08002B2CF9AE}">
    <vt:lpwstr/>
  </property>
  <property name="FSC#SKEDITIONSLOVLEX@103.510:AttrStrListDocPropUznesenieTextD3" pid="122" fmtid="{D5CDD505-2E9C-101B-9397-08002B2CF9AE}">
    <vt:lpwstr/>
  </property>
  <property name="FSC#SKEDITIONSLOVLEX@103.510:AttrStrListDocPropUznesenieTerminD3" pid="123" fmtid="{D5CDD505-2E9C-101B-9397-08002B2CF9AE}">
    <vt:lpwstr/>
  </property>
  <property name="FSC#SKEDITIONSLOVLEX@103.510:AttrStrListDocPropUznesenieBODD4" pid="124" fmtid="{D5CDD505-2E9C-101B-9397-08002B2CF9AE}">
    <vt:lpwstr/>
  </property>
  <property name="FSC#SKEDITIONSLOVLEX@103.510:AttrStrListDocPropUznesenieZodpovednyD4" pid="125" fmtid="{D5CDD505-2E9C-101B-9397-08002B2CF9AE}">
    <vt:lpwstr/>
  </property>
  <property name="FSC#SKEDITIONSLOVLEX@103.510:AttrStrListDocPropUznesenieTextD4" pid="126" fmtid="{D5CDD505-2E9C-101B-9397-08002B2CF9AE}">
    <vt:lpwstr/>
  </property>
  <property name="FSC#SKEDITIONSLOVLEX@103.510:AttrStrListDocPropUznesenieTerminD4" pid="127" fmtid="{D5CDD505-2E9C-101B-9397-08002B2CF9AE}">
    <vt:lpwstr/>
  </property>
  <property name="FSC#SKEDITIONSLOVLEX@103.510:AttrStrListDocPropUznesenieVykonaju" pid="128" fmtid="{D5CDD505-2E9C-101B-9397-08002B2CF9AE}">
    <vt:lpwstr>predseda vlády Slovenskej republiky_x000d__x000a_minister financií Slovenskej republiky</vt:lpwstr>
  </property>
  <property name="FSC#SKEDITIONSLOVLEX@103.510:AttrStrListDocPropUznesenieNaVedomie" pid="129" fmtid="{D5CDD505-2E9C-101B-9397-08002B2CF9AE}">
    <vt:lpwstr>predseda Národnej rady Slovenskej republiky_x000d__x000a_guvernér Národnej banky Slovenska</vt:lpwstr>
  </property>
  <property name="FSC#SKEDITIONSLOVLEX@103.510:AttrStrListDocPropTextVseobPrilohy" pid="130" fmtid="{D5CDD505-2E9C-101B-9397-08002B2CF9AE}">
    <vt:lpwstr/>
  </property>
  <property name="FSC#SKEDITIONSLOVLEX@103.510:AttrStrListDocPropTextPredklSpravy" pid="131" fmtid="{D5CDD505-2E9C-101B-9397-08002B2CF9AE}">
    <vt:lpwstr>&lt;p&gt;Ministerstvo financií Slovenskej republiky v&amp;nbsp;súlade s plánom legislatívnych úloh vlády Slovenskej republiky na rok 2017 predkladá na rokovanie vlády Slovenskej republiky návrh zákona, ktorým sa mení a dopĺňa zákon č. 492/2009 Z. z. o platobných službách a o zmene a doplnení niektorých zákonov v znení neskorších predpisov (ďalej len „návrh zákona“).&lt;/p&gt;&lt;p&gt;Cieľom predloženého návrhu zákona je transpozícia smernice Európskeho parlamentu a Rady (EÚ) 2015/2366 z 25. novembra 2015 o platobných službách na vnútornom trhu, ktorou sa menia smernice 2002/65/ES, 2009/110/ES a 2013/36/EÚ a nariadenie (EÚ) č. 1093/2010 a ktorou sa zrušuje smernica 2007/64/ES (ďalej len „smernica PSD 2“).&lt;/p&gt;&lt;p&gt;Pokiaľ ide o obsahovú stránku smernice PSD 2, tá z veľkej časti preberá a zároveň aktualizuje ustanovenia doterajšej smernice Európskeho parlamentu a Rady 2007/64/ES o platobných službách na vnútornom trhu, a to vzhľadom na jej predchádzajúce posúdenie zo strany Európskej komisie a na rastúcu mieru inovácií v oblasti platobných služieb za obdobie posledných rokov.&lt;/p&gt;&lt;p&gt;Hlavnými cieľmi smernice PSD 2 sú:&lt;/p&gt;&lt;ul&gt;_x0009_&lt;li&gt;posilnenie transparentnosti a možnosti rýchlejšieho prijímania inovácií v oblasti platobných služieb a tým prispieť k účinnému a efektívnemu trhu s platbami,&lt;/li&gt;_x0009_&lt;li&gt;zavedenie nových prvkov s cieľom uľahčiť používanie elektronických, najmä nízkonákladových internetových a mobilných platieb,&lt;/li&gt;_x0009_&lt;li&gt;zavedenie nových bezpečnostných opatrení za účelom zmierňovania rizík v oblasti bezpečnosti platieb, ako aj posilnenie práv spotrebiteľov a&amp;nbsp;nárast ich informovanosti s&amp;nbsp;cieľom prispieť k zvýšeniu ochrany spotrebiteľov,&lt;/li&gt;_x0009_&lt;li&gt;zabezpečenie nediskriminačných podmienok pre poskytovateľov platobných služieb, vrátane možnosti vstupu nových hráčov na trh platobných služieb a&amp;nbsp;tým prispieť k vytvoreniu zdravého konkurenčného prostredia v&amp;nbsp;tejto oblasti.&lt;/li&gt;&lt;/ul&gt;&lt;p&gt;Prijatie navrhovaného znenia zákona nebude mať vplyv na rozpočet verejnej správy, sociálne vplyvy, životné prostredie, informatizáciu ani vplyv na služby verejnej správy pre občana. Návrh bude mať pozitívne a negatívne vplyvy na podnikateľské prostredie.&lt;/p&gt;&lt;p&gt;Návrh zákona je v súlade s Ústavou Slovenskej republiky, ústavnými zákonmi, zákonmi a ostatnými všeobecne záväznými právnymi predpismi Slovenskej republiky, s právom Európskej únie a s medzinárodnými zmluvami, ktorými je Slovenská republika viazaná.&lt;/p&gt;&lt;p&gt;Účinnosť zákona sa navrhuje v nadväznosti na transpozičný termín Smernice PSD 2 a s prihliadnutím na predpokladanú dĺžku legislatívneho procesu a primeranú legisvakanciu na 13. január 2018.&lt;/p&gt;</vt:lpwstr>
  </property>
  <property name="FSC#SKEDITIONSLOVLEX@103.510:dalsipredkladatel" pid="132" fmtid="{D5CDD505-2E9C-101B-9397-08002B2CF9AE}">
    <vt:lpwstr>doc. Ing. Jozef Makúch</vt:lpwstr>
  </property>
  <property name="FSC#SKEDITIONSLOVLEX@103.510:funkciaPred" pid="133" fmtid="{D5CDD505-2E9C-101B-9397-08002B2CF9AE}">
    <vt:lpwstr>referent</vt:lpwstr>
  </property>
  <property name="FSC#SKEDITIONSLOVLEX@103.510:funkciaPredAkuzativ" pid="134" fmtid="{D5CDD505-2E9C-101B-9397-08002B2CF9AE}">
    <vt:lpwstr>referentovi</vt:lpwstr>
  </property>
  <property name="FSC#SKEDITIONSLOVLEX@103.510:funkciaPredDativ" pid="135" fmtid="{D5CDD505-2E9C-101B-9397-08002B2CF9AE}">
    <vt:lpwstr>referenta</vt:lpwstr>
  </property>
  <property name="FSC#SKEDITIONSLOVLEX@103.510:funkciaZodpPred" pid="136" fmtid="{D5CDD505-2E9C-101B-9397-08002B2CF9AE}">
    <vt:lpwstr>minister financií Slovenskej republiky</vt:lpwstr>
  </property>
  <property name="FSC#SKEDITIONSLOVLEX@103.510:funkciaZodpPredAkuzativ" pid="137" fmtid="{D5CDD505-2E9C-101B-9397-08002B2CF9AE}">
    <vt:lpwstr>ministrovi financií Slovenskej republiky</vt:lpwstr>
  </property>
  <property name="FSC#SKEDITIONSLOVLEX@103.510:funkciaZodpPredDativ" pid="138" fmtid="{D5CDD505-2E9C-101B-9397-08002B2CF9AE}">
    <vt:lpwstr>ministra financií Slovenskej republiky</vt:lpwstr>
  </property>
  <property name="FSC#SKEDITIONSLOVLEX@103.510:funkciaDalsiPred" pid="139" fmtid="{D5CDD505-2E9C-101B-9397-08002B2CF9AE}">
    <vt:lpwstr>guvernér NBS, </vt:lpwstr>
  </property>
  <property name="FSC#SKEDITIONSLOVLEX@103.510:funkciaDalsiPredAkuzativ" pid="140" fmtid="{D5CDD505-2E9C-101B-9397-08002B2CF9AE}">
    <vt:lpwstr>guvernérovi NBS, </vt:lpwstr>
  </property>
  <property name="FSC#SKEDITIONSLOVLEX@103.510:funkciaDalsiPredDativ" pid="141" fmtid="{D5CDD505-2E9C-101B-9397-08002B2CF9AE}">
    <vt:lpwstr>guvernéra NBS, </vt:lpwstr>
  </property>
  <property name="FSC#SKEDITIONSLOVLEX@103.510:predkladateliaObalSD" pid="142" fmtid="{D5CDD505-2E9C-101B-9397-08002B2CF9AE}">
    <vt:lpwstr>Peter Kažimír_x000d__x000a_minister financií Slovenskej republiky_x000d__x000a_doc. Ing. Jozef Makúch_x000d__x000a_guvernér NBS</vt:lpwstr>
  </property>
  <property name="FSC#SKEDITIONSLOVLEX@103.510:spravaucastverej" pid="143" fmtid="{D5CDD505-2E9C-101B-9397-08002B2CF9AE}">
    <vt:lpwstr>&lt;table align="left" border="1" cellpadding="0" cellspacing="0" style="width:100.16%;" width="100%"&gt;_x0009_&lt;tbody&gt;_x0009__x0009_&lt;tr&gt;_x0009__x0009__x0009_&lt;td colspan="5" style="width:100.0%;height:36px;"&gt;_x0009__x0009__x0009_&lt;h2 align="center"&gt;&lt;strong&gt;Správa o účasti verejnosti na tvorbe právneho predpisu&lt;/strong&gt;&lt;/h2&gt;_x0009__x0009__x0009_&lt;h2&gt;&lt;strong&gt;Scenár 2: Verejnosť sa zúčastňuje na diskusii o tvorbe právneho predpisu&lt;/strong&gt;&lt;/h2&gt;_x0009__x0009__x0009_&lt;/td&gt;_x0009__x0009_&lt;/tr&gt;_x0009__x0009_&lt;tr&gt;_x0009__x0009__x0009_&lt;td style="width:17.0%;height:27px;"&gt;_x0009__x0009__x0009_&lt;p&gt;&lt;strong&gt;Fáza procesu&lt;/strong&gt;&lt;/p&gt;_x0009__x0009__x0009_&lt;/td&gt;_x0009__x0009__x0009_&lt;td style="width:23.2%;height:27px;"&gt;_x0009__x0009__x0009_&lt;p&gt;&lt;strong&gt;Subfáza&lt;/strong&gt;&lt;/p&gt;_x0009__x0009__x0009_&lt;/td&gt;_x0009__x0009__x0009_&lt;td style="width:48.5%;height:27px;"&gt;_x0009__x0009__x0009_&lt;p&gt;&lt;strong&gt;Kontrolná otázka&lt;/strong&gt;&lt;/p&gt;_x0009__x0009__x0009_&lt;/td&gt;_x0009__x0009__x0009_&lt;td style="width:5.16%;height:27px;"&gt;_x0009__x0009__x0009_&lt;p&gt;&lt;strong&gt;Á&lt;/strong&gt;&lt;/p&gt;_x0009__x0009__x0009_&lt;/td&gt;_x0009__x0009__x0009_&lt;td style="width:6.14%;height:27px;"&gt;_x0009__x0009__x0009_&lt;p&gt;&lt;strong&gt;N&lt;/strong&gt;&lt;/p&gt;_x0009__x0009__x0009_&lt;/td&gt;_x0009__x0009_&lt;/tr&gt;_x0009__x0009_&lt;tr&gt;_x0009__x0009__x0009_&lt;td rowspan="3" style="width:17.0%;height:37px;"&gt;_x0009__x0009__x0009_&lt;p&gt;&lt;strong&gt;1. Príprava tvorby právneho predpisu&lt;/strong&gt;&lt;/p&gt;_x0009__x0009__x0009_&lt;/td&gt;_x0009__x0009__x0009_&lt;td style="width:23.2%;height:37px;"&gt;_x0009__x0009__x0009_&lt;p&gt;1.1 Identifikácia cieľa&lt;/p&gt;_x0009__x0009__x0009_&lt;/td&gt;_x0009__x0009__x0009_&lt;td style="width:48.5%;height:37px;"&gt;_x0009__x0009__x0009_&lt;p&gt;Bol zadefinovaný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style="width:23.2%;height:37px;"&gt;_x0009__x0009__x0009_&lt;p&gt;1.2 Identifikácia problému a alternatív&lt;/p&gt;_x0009__x0009__x0009_&lt;/td&gt;_x0009__x0009__x0009_&lt;td style="width:48.5%;height:37px;"&gt;_x0009__x0009__x0009_&lt;p&gt;Bola vykonaná identifikácia problému a alternatív riešení?&lt;/p&gt;_x0009__x0009__x0009_&lt;/td&gt;_x0009__x0009__x0009_&lt;td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style="width:23.2%;height:37px;"&gt;_x0009__x0009__x0009_&lt;p&gt;1.3 Identifikácia zainteresovaných skupín a jednotlivcov&lt;/p&gt;_x0009__x0009__x0009_&lt;/td&gt;_x0009__x0009__x0009_&lt;td style="width:48.5%;height:37px;"&gt;_x0009__x0009__x0009_&lt;p&gt;Bola vykonaná identifikácia zainteresovaných skupín a&amp;nbsp;jednotlivcov?&lt;/p&gt;_x0009__x0009__x0009_&lt;/td&gt;_x0009__x0009__x0009_&lt;td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rowspan="9" style="width:17.0%;height:37px;"&gt;_x0009__x0009__x0009_&lt;p&gt;&lt;strong&gt;2. Informovanie verejnosti o&amp;nbsp;tvorbe právneho predpisu&lt;/strong&gt;&lt;/p&gt;_x0009__x0009__x0009_&lt;/td&gt;_x0009__x0009__x0009_&lt;td rowspan="3" style="width:23.2%;height:37px;"&gt;_x0009__x0009__x0009_&lt;p&gt;2.1 Rozsah informácií&lt;/p&gt;_x0009__x0009__x0009_&lt;/td&gt;_x0009__x0009__x0009_&lt;td style="width:48.5%;height:37px;"&gt;_x0009__x0009__x0009_&lt;p&gt;Boli verejnosti poskytnuté informácie o probléme, ktorý má predmetný právny predpis riešiť?&lt;/p&gt;_x0009__x0009__x0009_&lt;/td&gt;_x0009__x0009__x0009_&lt;td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cieli účasti verejnosti na tvorbe právneho predpisu spolu s&amp;nbsp;časovým rámcom jeho tvorby?&lt;/p&gt;_x0009__x0009__x0009_&lt;/td&gt;_x0009__x0009__x0009_&lt;td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plánovanom procese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style="width:23.2%;height:37px;"&gt;_x0009__x0009__x0009_&lt;p&gt;2.2 Kontinuita informovania&lt;/p&gt;_x0009__x0009__x0009_&lt;/td&gt;_x0009__x0009__x0009_&lt;td style="width:48.5%;height:37px;"&gt;_x0009__x0009__x0009_&lt;p&gt;Boli verejnosti poskytnuté relevantné informácie pred začatím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počas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aj po ukončení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rowspan="2" style="width:23.2%;height:37px;"&gt;_x0009__x0009__x0009_&lt;p&gt;2.3 Kvalita a včasnosť informácií&lt;/p&gt;_x0009__x0009__x0009_&lt;/td&gt;_x0009__x0009__x0009_&lt;td style="width:48.5%;height:37px;"&gt;_x0009__x0009__x0009_&lt;p&gt;Boli relevantné informácie o&amp;nbsp;tvorbe právneho predpisu verejnosti poskytnuté včas?&lt;/p&gt;_x0009__x0009__x0009_&lt;/td&gt;_x0009__x0009__x0009_&lt;td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relevantné informácie o&amp;nbsp;tvorbe právneho predpisu a&amp;nbsp;o samotnom&amp;nbsp;právnom predpise poskytnuté vo vyhovujúcej technickej kvalite?&lt;/p&gt;_x0009__x0009__x0009_&lt;/td&gt;_x0009__x0009__x0009_&lt;td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style="width:23.2%;height:37px;"&gt;_x0009__x0009__x0009_&lt;p&gt;2.4 Adresnosť informácií&lt;/p&gt;_x0009__x0009__x0009_&lt;/td&gt;_x0009__x0009__x0009_&lt;td style="width:48.5%;height:37px;"&gt;_x0009__x0009__x0009_&lt;p&gt;Boli zvolené komunikačné kanály dostatočné vzhľadom na prenos relevantných informácií o&amp;nbsp; právnom predpise smerom k&amp;nbsp;verejnosti?&lt;/p&gt;_x0009__x0009__x0009_&lt;/td&gt;_x0009__x0009__x0009_&lt;td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rowspan="5" style="width:17.0%;height:37px;"&gt;_x0009__x0009__x0009_&lt;p&gt;&lt;strong&gt;3. Účasť verejnosti na tvorbe právneho predpisu&lt;/strong&gt;&lt;/p&gt;_x0009__x0009__x0009_&lt;/td&gt;_x0009__x0009__x0009_&lt;td style="width:23.2%;height:37px;"&gt;_x0009__x0009__x0009_&lt;p&gt;3.1 Zapojení aktéri&lt;/p&gt;_x0009__x0009__x0009_&lt;/td&gt;_x0009__x0009__x0009_&lt;td style="width:48.5%;height:37px;"&gt;_x0009__x0009__x0009_&lt;p&gt;Predstavujú zapojení aktéri reprezentatívnu vzorku zainteresovaných skupín a&amp;nbsp;jednotlivcov?&lt;/p&gt;_x0009__x0009__x0009_&lt;/td&gt;_x0009__x0009__x0009_&lt;td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style="width:23.2%;height:37px;"&gt;_x0009__x0009__x0009_&lt;p&gt;3.2 Spätná väzba&lt;/p&gt;_x0009__x0009__x0009_&lt;/td&gt;_x0009__x0009__x0009_&lt;td style="width:48.5%;height:37px;"&gt;_x0009__x0009__x0009_&lt;p&gt;Bola zapojeným aktérom odoslaná spätná väzba ako bolo s ich návrhom naložené?&lt;/p&gt;_x0009__x0009__x0009_&lt;/td&gt;_x0009__x0009__x0009_&lt;td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style="width:23.2%;height:37px;"&gt;_x0009__x0009__x0009_&lt;p&gt;3.3 Zapracovanie návrhov zapojených aktérov&lt;/p&gt;_x0009__x0009__x0009_&lt;/td&gt;_x0009__x0009__x0009_&lt;td style="width:48.5%;height:37px;"&gt;_x0009__x0009__x0009_&lt;p&gt;Boli návrhy zo strany zapojených aktérov zapracované do návrhu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style="width:23.2%;height:37px;"&gt;_x0009__x0009__x0009_&lt;p&gt;3.4 Naplnenie cieľov a očakávaní&lt;/p&gt;_x0009__x0009__x0009_&lt;/td&gt;_x0009__x0009__x0009_&lt;td style="width:48.5%;height:37px;"&gt;_x0009__x0009__x0009_&lt;p&gt;Boli splnené ciele a&amp;nbsp;očakávania od účasti verejnosti na tvorbe právneho predpisu na strane predkladateľa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style="width:23.2%;height:37px;"&gt;_x0009__x0009__x0009_&lt;p&gt;3.5 Výstup procesu tvorby právneho predpisu&lt;/p&gt;_x0009__x0009__x0009_&lt;/td&gt;_x0009__x0009__x0009_&lt;td style="width:48.5%;height:37px;"&gt;_x0009__x0009__x0009_&lt;p&gt;Bolo zapojeným aktérom umožnené pripomienkovať správu o&amp;nbsp;účasti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style="width:17.0%;height:37px;"&gt;_x0009__x0009__x0009_&lt;p&gt;&lt;strong&gt;4. Vyhodnotenie procesu tvorby právneho predpisu&lt;/strong&gt;&lt;/p&gt;_x0009__x0009__x0009_&lt;/td&gt;_x0009__x0009__x0009_&lt;td rowspan="3" style="width:23.2%;height:37px;"&gt;_x0009__x0009__x0009_&lt;p&gt;4.1 Hodnotenie procesu&lt;/p&gt;_x0009__x0009__x0009_&lt;/td&gt;_x0009__x0009__x0009_&lt;td style="width:48.5%;height:37px;"&gt;_x0009__x0009__x0009_&lt;p&gt;Bolo vykonané hodnotenie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style="width:48.5%;height:37px;"&gt;_x0009__x0009__x0009_&lt;p&gt;Bola zverejnená hodnotiaca správa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 splnený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style="width:6.14%;height:37px;"&gt;_x0009__x0009__x0009_&lt;p&gt;☐&lt;/p&gt;_x0009__x0009__x0009_&lt;/td&gt;_x0009__x0009_&lt;/tr&gt;_x0009_&lt;/tbody&gt;&lt;/table&gt;</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2017</vt:lpwstr>
  </property>
</Properties>
</file>