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E71B3" w:rsidRDefault="002E71B3">
      <w:pPr>
        <w:jc w:val="center"/>
        <w:divId w:val="338699208"/>
        <w:rPr>
          <w:rFonts w:ascii="Times" w:hAnsi="Times" w:cs="Times"/>
          <w:sz w:val="25"/>
          <w:szCs w:val="25"/>
        </w:rPr>
      </w:pPr>
      <w:r>
        <w:rPr>
          <w:rFonts w:ascii="Times" w:hAnsi="Times" w:cs="Times"/>
          <w:sz w:val="25"/>
          <w:szCs w:val="25"/>
        </w:rPr>
        <w:t>Zákon, ktorým sa mení a dopĺňa zákon č. 431/2002 Z. z. o účtovníctve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E71B3" w:rsidP="002E71B3">
            <w:pPr>
              <w:spacing w:after="0" w:line="240" w:lineRule="auto"/>
              <w:rPr>
                <w:rFonts w:ascii="Times New Roman" w:hAnsi="Times New Roman" w:cs="Calibri"/>
                <w:sz w:val="20"/>
                <w:szCs w:val="20"/>
              </w:rPr>
            </w:pPr>
            <w:r>
              <w:rPr>
                <w:rFonts w:ascii="Times" w:hAnsi="Times" w:cs="Times"/>
                <w:sz w:val="25"/>
                <w:szCs w:val="25"/>
              </w:rPr>
              <w:t>30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E71B3" w:rsidP="002E71B3">
            <w:pPr>
              <w:spacing w:after="0" w:line="240" w:lineRule="auto"/>
              <w:rPr>
                <w:rFonts w:ascii="Times New Roman" w:hAnsi="Times New Roman" w:cs="Calibri"/>
                <w:sz w:val="20"/>
                <w:szCs w:val="20"/>
              </w:rPr>
            </w:pPr>
            <w:r>
              <w:rPr>
                <w:rFonts w:ascii="Times" w:hAnsi="Times" w:cs="Times"/>
                <w:sz w:val="25"/>
                <w:szCs w:val="25"/>
              </w:rPr>
              <w:t>30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E71B3" w:rsidP="002E71B3">
            <w:pPr>
              <w:spacing w:after="0" w:line="240" w:lineRule="auto"/>
              <w:rPr>
                <w:rFonts w:ascii="Times New Roman" w:hAnsi="Times New Roman" w:cs="Calibri"/>
                <w:sz w:val="20"/>
                <w:szCs w:val="20"/>
              </w:rPr>
            </w:pPr>
            <w:r>
              <w:rPr>
                <w:rFonts w:ascii="Times" w:hAnsi="Times" w:cs="Times"/>
                <w:sz w:val="25"/>
                <w:szCs w:val="25"/>
              </w:rPr>
              <w:t>18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E71B3" w:rsidP="002E71B3">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E71B3" w:rsidP="002E71B3">
            <w:pPr>
              <w:spacing w:after="0" w:line="240" w:lineRule="auto"/>
              <w:rPr>
                <w:rFonts w:ascii="Times New Roman" w:hAnsi="Times New Roman" w:cs="Calibri"/>
                <w:sz w:val="20"/>
                <w:szCs w:val="20"/>
              </w:rPr>
            </w:pPr>
            <w:r>
              <w:rPr>
                <w:rFonts w:ascii="Times" w:hAnsi="Times" w:cs="Times"/>
                <w:sz w:val="25"/>
                <w:szCs w:val="25"/>
              </w:rPr>
              <w:t>12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E71B3" w:rsidRDefault="002E71B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2E71B3">
        <w:trPr>
          <w:divId w:val="78731204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Vôbec nezaslali</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sz w:val="20"/>
                <w:szCs w:val="20"/>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sz w:val="20"/>
                <w:szCs w:val="20"/>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sz w:val="20"/>
                <w:szCs w:val="20"/>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sz w:val="20"/>
                <w:szCs w:val="20"/>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sz w:val="20"/>
                <w:szCs w:val="20"/>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sz w:val="20"/>
                <w:szCs w:val="20"/>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sz w:val="20"/>
                <w:szCs w:val="20"/>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sz w:val="20"/>
                <w:szCs w:val="20"/>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sz w:val="20"/>
                <w:szCs w:val="20"/>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sz w:val="20"/>
                <w:szCs w:val="20"/>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sz w:val="20"/>
                <w:szCs w:val="20"/>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sz w:val="20"/>
                <w:szCs w:val="20"/>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sz w:val="20"/>
                <w:szCs w:val="20"/>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sz w:val="20"/>
                <w:szCs w:val="20"/>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sz w:val="20"/>
                <w:szCs w:val="20"/>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sz w:val="20"/>
                <w:szCs w:val="20"/>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sz w:val="20"/>
                <w:szCs w:val="20"/>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sz w:val="20"/>
                <w:szCs w:val="20"/>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sz w:val="20"/>
                <w:szCs w:val="20"/>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Slovak Business Agency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Splnomocnenec vlády SR pre rozvoj občianskej spoločnosti</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x</w:t>
            </w:r>
          </w:p>
        </w:tc>
      </w:tr>
      <w:tr w:rsidR="002E71B3">
        <w:trPr>
          <w:divId w:val="787312048"/>
          <w:jc w:val="center"/>
        </w:trPr>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30 (27o,3z)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E71B3" w:rsidRDefault="002E71B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E71B3" w:rsidRDefault="002E71B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Spôsob vyhodnotenia</w:t>
            </w: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b/>
                <w:bCs/>
                <w:sz w:val="25"/>
                <w:szCs w:val="25"/>
              </w:rPr>
              <w:t>Čl. I bod 21</w:t>
            </w:r>
            <w:r>
              <w:rPr>
                <w:rFonts w:ascii="Times" w:hAnsi="Times" w:cs="Times"/>
                <w:sz w:val="25"/>
                <w:szCs w:val="25"/>
              </w:rPr>
              <w:br/>
              <w:t xml:space="preserve">Navrhujeme predmetný bod preformulovať. Odôvodnenie: Navrhujeme presnejšie vymedzenie ako daňový úrad uloží pokutu keď aj pri jednorazovom delikte uloží pokutu až do 3 000 000 Eur podľa ods 2a), takisto ako pri opakovanom porušení, navyše pri opakovanom môže podať podnet na zrušenie živnostenského oprávnenia. Akým spôsobom chce daňový úrad teda rozhodovať o uložení pokuty pri jednorazovom náhodnom spáchaní deliktu a pri opakovaných deliktoch keď výška sadzby je rovnaká? Čo sa chápe pod pojmom opakovaný - už druhýkrát, alebo dve transakcie toho istého druhu? Toto ustanovenie už aj pred tým dávalo možnosť daňovému úradu rozhodovať o výške pokuty podľa závažnosti deliktu do 3 000 000 Eur pričom závažnosť nie je presne zadefinovaná. Teraz sa neistota pri uplatňovaní tohto ustanovenia pre daňovníka ešte zvyšuje.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sz w:val="25"/>
                <w:szCs w:val="25"/>
              </w:rPr>
              <w:t>Proces, ako postupuje daňový úrad pri ukladaní pokút, je upravený zákonom č. 563/2009 Z. z. o správe daní (daňový poriadok) a o zmene a doplnení niektorých zákonov. Z uvedeného dôvodu nie je potrebné upraviť ustanovenie v zákone o účtovníctve. Druhý krát zistené závažné porušenie (nevedenie účtovníctva, nezostavenie účtovnej závierky a vedenie účtovníctva mimo účtovných kníh) sa považuje za opakované porušenie.</w:t>
            </w: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b/>
                <w:bCs/>
                <w:sz w:val="25"/>
                <w:szCs w:val="25"/>
              </w:rPr>
              <w:t xml:space="preserve">Nad rámec návrhu </w:t>
            </w:r>
            <w:r>
              <w:rPr>
                <w:rFonts w:ascii="Times" w:hAnsi="Times" w:cs="Times"/>
                <w:sz w:val="25"/>
                <w:szCs w:val="25"/>
              </w:rPr>
              <w:br/>
              <w:t xml:space="preserve">Navrhujeme umožnenie archivácie papierových faktúr vo výhradne elektronickej forme, nakoľko daňové a účtovné zákony toto už umožňujú, ale zákon o archívoch a registratúre a súvisiaca legislatíva stále považuje zničenie papierových a archivovanie len ich naskenovanej verzie za správny delikt.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rPr>
                <w:rFonts w:ascii="Times" w:hAnsi="Times" w:cs="Times"/>
                <w:sz w:val="25"/>
                <w:szCs w:val="25"/>
              </w:rPr>
            </w:pPr>
            <w:r>
              <w:rPr>
                <w:rFonts w:ascii="Times" w:hAnsi="Times" w:cs="Times"/>
                <w:sz w:val="25"/>
                <w:szCs w:val="25"/>
              </w:rPr>
              <w:t xml:space="preserve">Podľa § 35 ods. 2 sa aj na nakladanie s účtovnou dokumentáciou vzťahujú všeobecné predpisy o archívnictve. Vecným gestorom zákona č. 395/2002 Z. z. o archívoch a registratúrach a o zmene a doplnení niektorých zákonov je MV SR. V prípade, že tento zákon bude otvorený a príde na </w:t>
            </w:r>
            <w:r>
              <w:rPr>
                <w:rFonts w:ascii="Times" w:hAnsi="Times" w:cs="Times"/>
                <w:sz w:val="25"/>
                <w:szCs w:val="25"/>
              </w:rPr>
              <w:lastRenderedPageBreak/>
              <w:t>pripomienkové konanie, budeme iniciovať</w:t>
            </w:r>
            <w:bookmarkStart w:id="0" w:name="_GoBack"/>
            <w:bookmarkEnd w:id="0"/>
            <w:r>
              <w:rPr>
                <w:rFonts w:ascii="Times" w:hAnsi="Times" w:cs="Times"/>
                <w:sz w:val="25"/>
                <w:szCs w:val="25"/>
              </w:rPr>
              <w:t xml:space="preserve"> jeho zmenu.</w:t>
            </w: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b/>
                <w:bCs/>
                <w:sz w:val="25"/>
                <w:szCs w:val="25"/>
              </w:rPr>
              <w:t>2. K čl. I bodu 17 (poznámka pod čiarou k odkazu 35aa)</w:t>
            </w:r>
            <w:r>
              <w:rPr>
                <w:rFonts w:ascii="Times" w:hAnsi="Times" w:cs="Times"/>
                <w:sz w:val="25"/>
                <w:szCs w:val="25"/>
              </w:rPr>
              <w:br/>
              <w:t xml:space="preserve">Odporúčame na konci poznámky pod čiarou k odkazu 35aa pripojiť slová „v znení zákona č. 561/2004 Z. z.“, nakoľko týmto zákonom bolo novelizované ustanovenie, na ktoré sa odkazuje (zosúladenie s bodom 48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sz w:val="25"/>
                <w:szCs w:val="25"/>
              </w:rPr>
              <w:t>Pripomienka je vecne nesprávna, zákon č. 561/2004 nemenil zákon č. 343/2015 Z. z.</w:t>
            </w: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b/>
                <w:bCs/>
                <w:sz w:val="25"/>
                <w:szCs w:val="25"/>
              </w:rPr>
              <w:t>1. K čl. I bodom 2 a 6 (poznámky pod čiarou k odkazom 9 a 22a)</w:t>
            </w:r>
            <w:r>
              <w:rPr>
                <w:rFonts w:ascii="Times" w:hAnsi="Times" w:cs="Times"/>
                <w:sz w:val="25"/>
                <w:szCs w:val="25"/>
              </w:rPr>
              <w:br/>
              <w:t xml:space="preserve">Odporúčame poznámky pod čiarou zosúladiť s bodom 23.4. prílohy č. 1 k Legislatívnym pravidlám vlády Slovenskej republiky. Tomu zodpovedajúcim spôsobom odporúčame upraviť poznámky pod čiarou k odkazom 32 a 35a.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sz w:val="25"/>
                <w:szCs w:val="25"/>
              </w:rPr>
              <w:t>Zaužívaná legislatívna prax.</w:t>
            </w: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b/>
                <w:bCs/>
                <w:sz w:val="25"/>
                <w:szCs w:val="25"/>
              </w:rPr>
              <w:t>4. K osobitnej časti dôvodovej správy (k bodu 21)</w:t>
            </w:r>
            <w:r>
              <w:rPr>
                <w:rFonts w:ascii="Times" w:hAnsi="Times" w:cs="Times"/>
                <w:sz w:val="25"/>
                <w:szCs w:val="25"/>
              </w:rPr>
              <w:br/>
              <w:t xml:space="preserve">Odporúčame slová „právneho deliktu“ nahradiť slovami „správneho deliktu“ (oprava zrejmej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sz w:val="25"/>
                <w:szCs w:val="25"/>
              </w:rPr>
              <w:t>Zapracované v texte.</w:t>
            </w: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b/>
                <w:bCs/>
                <w:sz w:val="25"/>
                <w:szCs w:val="25"/>
              </w:rPr>
              <w:t>3. K čl. I bodu 21 (poznámka pod čiarou k odkazu 47ae)</w:t>
            </w:r>
            <w:r>
              <w:rPr>
                <w:rFonts w:ascii="Times" w:hAnsi="Times" w:cs="Times"/>
                <w:sz w:val="25"/>
                <w:szCs w:val="25"/>
              </w:rPr>
              <w:br/>
              <w:t xml:space="preserve">Odporúčame v poznámke pod čiarou k odkazu 47ae za slová „ods. 1“ vložiť slová „písm. c)“ (precizovanie odkazu na konkrétne ustanovenie zákona č. 455/1991 Zb.).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sz w:val="25"/>
                <w:szCs w:val="25"/>
              </w:rPr>
              <w:t>Zapracované v texte.</w:t>
            </w: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rPr>
                <w:rFonts w:ascii="Times" w:hAnsi="Times" w:cs="Times"/>
                <w:sz w:val="25"/>
                <w:szCs w:val="25"/>
              </w:rPr>
            </w:pPr>
            <w:r>
              <w:rPr>
                <w:rFonts w:ascii="Times" w:hAnsi="Times" w:cs="Times"/>
                <w:b/>
                <w:bCs/>
                <w:sz w:val="25"/>
                <w:szCs w:val="25"/>
              </w:rPr>
              <w:t>bodu 16</w:t>
            </w:r>
            <w:r>
              <w:rPr>
                <w:rFonts w:ascii="Times" w:hAnsi="Times" w:cs="Times"/>
                <w:sz w:val="25"/>
                <w:szCs w:val="25"/>
              </w:rPr>
              <w:br/>
              <w:t>V bode 16 odporúčame nahradiť spojenie ,,podľa odseku 1 alebo odseku 3“ spojením ,,podľa odseku 1 alebo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sz w:val="25"/>
                <w:szCs w:val="25"/>
              </w:rPr>
              <w:t>Ustanovenie je v súlade s Legislatívnymi pravidlami bod 55</w:t>
            </w: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b/>
                <w:bCs/>
                <w:sz w:val="25"/>
                <w:szCs w:val="25"/>
              </w:rPr>
              <w:t xml:space="preserve">Predkladacej správe a Dôvodovej správe-všeobecnej časti </w:t>
            </w:r>
            <w:r>
              <w:rPr>
                <w:rFonts w:ascii="Times" w:hAnsi="Times" w:cs="Times"/>
                <w:sz w:val="25"/>
                <w:szCs w:val="25"/>
              </w:rPr>
              <w:br/>
              <w:t>V predkladacej správe odporúčame doplniť odsek venovaný súladu návrhu zákona s právnym poriadkom o informáciu o súlade návrhu zákona s nálezmi Ústavného súdu Slovenskej republiky (vychádzajúc z Čl. 2 ods. 2 písm. b) Legislatívnych pravidiel vlády Slovenskej republiky). Uvedené platí primerane aj pre totožný odsek v dôvodovej správe-všeobecnej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sz w:val="25"/>
                <w:szCs w:val="25"/>
              </w:rPr>
              <w:t>Zapracované v texte.</w:t>
            </w: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rPr>
                <w:rFonts w:ascii="Times" w:hAnsi="Times" w:cs="Times"/>
                <w:sz w:val="25"/>
                <w:szCs w:val="25"/>
              </w:rPr>
            </w:pPr>
            <w:r>
              <w:rPr>
                <w:rFonts w:ascii="Times" w:hAnsi="Times" w:cs="Times"/>
                <w:b/>
                <w:bCs/>
                <w:sz w:val="25"/>
                <w:szCs w:val="25"/>
              </w:rPr>
              <w:t>K čl. I bodu 16</w:t>
            </w:r>
            <w:r>
              <w:rPr>
                <w:rFonts w:ascii="Times" w:hAnsi="Times" w:cs="Times"/>
                <w:sz w:val="25"/>
                <w:szCs w:val="25"/>
              </w:rPr>
              <w:br/>
              <w:t>O odporúčame v prvej vete prvé slovo "alebo" nahradiť čiarkou, vzhľadom na to, že v návrhu sa slovo "alebo" nachádza 2x.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rPr>
                <w:rFonts w:ascii="Times" w:hAnsi="Times" w:cs="Times"/>
                <w:sz w:val="25"/>
                <w:szCs w:val="25"/>
              </w:rPr>
            </w:pPr>
            <w:r>
              <w:rPr>
                <w:rFonts w:ascii="Times" w:hAnsi="Times" w:cs="Times"/>
                <w:sz w:val="25"/>
                <w:szCs w:val="25"/>
              </w:rPr>
              <w:t>Ustanovenie zákona v tomto znení už platí a pripomienka nemení význam vety, upravujúcej 3 možnosti podania účtovných dokumentov</w:t>
            </w: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rPr>
                <w:rFonts w:ascii="Times" w:hAnsi="Times" w:cs="Times"/>
                <w:sz w:val="25"/>
                <w:szCs w:val="25"/>
              </w:rPr>
            </w:pPr>
            <w:r>
              <w:rPr>
                <w:rFonts w:ascii="Times" w:hAnsi="Times" w:cs="Times"/>
                <w:b/>
                <w:bCs/>
                <w:sz w:val="25"/>
                <w:szCs w:val="25"/>
              </w:rPr>
              <w:t>K čl. I bodu 2</w:t>
            </w:r>
            <w:r>
              <w:rPr>
                <w:rFonts w:ascii="Times" w:hAnsi="Times" w:cs="Times"/>
                <w:sz w:val="25"/>
                <w:szCs w:val="25"/>
              </w:rPr>
              <w:br/>
              <w:t>Oba zákony odporúčame uviesť s úplným názvom, pretože prvýkrát sa oba vyskytujú až v poznámke pod čiarou k odkazu 35a.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rPr>
                <w:rFonts w:ascii="Times" w:hAnsi="Times" w:cs="Times"/>
                <w:sz w:val="25"/>
                <w:szCs w:val="25"/>
              </w:rPr>
            </w:pPr>
            <w:r>
              <w:rPr>
                <w:rFonts w:ascii="Times" w:hAnsi="Times" w:cs="Times"/>
                <w:sz w:val="25"/>
                <w:szCs w:val="25"/>
              </w:rPr>
              <w:t>Zaužívaná legislatívna prax.</w:t>
            </w: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b/>
                <w:bCs/>
                <w:sz w:val="25"/>
                <w:szCs w:val="25"/>
              </w:rPr>
              <w:t>K čl. I bodu 12</w:t>
            </w:r>
            <w:r>
              <w:rPr>
                <w:rFonts w:ascii="Times" w:hAnsi="Times" w:cs="Times"/>
                <w:sz w:val="25"/>
                <w:szCs w:val="25"/>
              </w:rPr>
              <w:br/>
              <w:t xml:space="preserve">Odporúčame nahradiť slovo "alebo" za slovom "jednotka" bodkočiarkou a slová "ich môže do dňa účinkov splynutia, </w:t>
            </w:r>
            <w:r>
              <w:rPr>
                <w:rFonts w:ascii="Times" w:hAnsi="Times" w:cs="Times"/>
                <w:sz w:val="25"/>
                <w:szCs w:val="25"/>
              </w:rPr>
              <w:lastRenderedPageBreak/>
              <w:t>zlúčenia alebo rozdelenia" nahradiť slovami "do dňa účinkov splynutia, zlúčenia alebo rozdelenia ich môže".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sz w:val="25"/>
                <w:szCs w:val="25"/>
              </w:rPr>
              <w:t>Zapracované v texte.</w:t>
            </w: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rPr>
                <w:rFonts w:ascii="Times" w:hAnsi="Times" w:cs="Times"/>
                <w:sz w:val="25"/>
                <w:szCs w:val="25"/>
              </w:rPr>
            </w:pPr>
            <w:r>
              <w:rPr>
                <w:rFonts w:ascii="Times" w:hAnsi="Times" w:cs="Times"/>
                <w:b/>
                <w:bCs/>
                <w:sz w:val="25"/>
                <w:szCs w:val="25"/>
              </w:rPr>
              <w:t>K čl. I bodu 21</w:t>
            </w:r>
            <w:r>
              <w:rPr>
                <w:rFonts w:ascii="Times" w:hAnsi="Times" w:cs="Times"/>
                <w:sz w:val="25"/>
                <w:szCs w:val="25"/>
              </w:rPr>
              <w:br/>
              <w:t>V oboch odsekoch odporúčame slová "a) a n)" nahradiť slovami "a) alebo n)", vzhľadom na to, že z kontextu ako aj v zmysle dôvodovej správy by malo ísť o samostatné posudzovanie týchto skutkových podstát.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rPr>
                <w:rFonts w:ascii="Times" w:hAnsi="Times" w:cs="Times"/>
                <w:sz w:val="25"/>
                <w:szCs w:val="25"/>
              </w:rPr>
            </w:pPr>
            <w:r>
              <w:rPr>
                <w:rFonts w:ascii="Times" w:hAnsi="Times" w:cs="Times"/>
                <w:sz w:val="25"/>
                <w:szCs w:val="25"/>
              </w:rPr>
              <w:t>Zapracované v texte.</w:t>
            </w: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Zákon odporúčame uviesť s úplným názvom, pretože prvýkrát sa oba vyskytujú až v poznámke pod čiarou k odkazu 28c.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rPr>
                <w:rFonts w:ascii="Times" w:hAnsi="Times" w:cs="Times"/>
                <w:sz w:val="25"/>
                <w:szCs w:val="25"/>
              </w:rPr>
            </w:pPr>
            <w:r>
              <w:rPr>
                <w:rFonts w:ascii="Times" w:hAnsi="Times" w:cs="Times"/>
                <w:sz w:val="25"/>
                <w:szCs w:val="25"/>
              </w:rPr>
              <w:t>Zaužívaná legislatívna prax.</w:t>
            </w: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b/>
                <w:bCs/>
                <w:sz w:val="25"/>
                <w:szCs w:val="25"/>
              </w:rPr>
              <w:t xml:space="preserve">novelizačnému bodu 19. </w:t>
            </w:r>
            <w:r>
              <w:rPr>
                <w:rFonts w:ascii="Times" w:hAnsi="Times" w:cs="Times"/>
                <w:sz w:val="25"/>
                <w:szCs w:val="25"/>
              </w:rPr>
              <w:br/>
              <w:t>Odporúčame zvážiť navrhované predĺženie doby archivácie účtovných dokladov, a to aj vzhľadom na Správu o krajine za rok 2017 – Slovensko, Európskej komisie, kde sa konštatuje: „Žiadny pokrok sa nedosiahol pri riešení regulačného a administratívneho zaťaženia podnikov.“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sz w:val="25"/>
                <w:szCs w:val="25"/>
              </w:rPr>
              <w:t>Úloha, predĺžiť lehotu na uchovávanie účtovných dokladov vyplynula MF SR z Akčného plánu boja proti daňovým podvodom a bola mu uložená schváleným uznesením vlády Slovenskej republiky.</w:t>
            </w: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b/>
                <w:bCs/>
                <w:sz w:val="25"/>
                <w:szCs w:val="25"/>
              </w:rPr>
              <w:t>čl. I bode 16 slová</w:t>
            </w:r>
            <w:r>
              <w:rPr>
                <w:rFonts w:ascii="Times" w:hAnsi="Times" w:cs="Times"/>
                <w:sz w:val="25"/>
                <w:szCs w:val="25"/>
              </w:rPr>
              <w:br/>
              <w:t xml:space="preserve">z legislatívno-technického hľadiska však odporúčame v čl. I bode 16 slová „sa má za to“ nahradiť slovom napríklad „platí“ alebo slovami „predpokladá sa“.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sz w:val="25"/>
                <w:szCs w:val="25"/>
              </w:rPr>
              <w:t>Ustanovenie upravené.</w:t>
            </w: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Upozorňujeme, že súlad návrhu zákona s právom Európskej únie sa preukazuje nielen doložkou zlučiteľnosti návrhu právneho predpisu s právom Európskej únie, ale aj tabuľkou zhody návrhu </w:t>
            </w:r>
            <w:r>
              <w:rPr>
                <w:rFonts w:ascii="Times" w:hAnsi="Times" w:cs="Times"/>
                <w:sz w:val="25"/>
                <w:szCs w:val="25"/>
              </w:rPr>
              <w:lastRenderedPageBreak/>
              <w:t>právneho predpisu s právom Európskej únie (čl. 3 Legislatívnych pravidiel vlády SR). Z toho vyplýva, že ak predložený návrh zákona, ktorým sa mení a dopĺňa zákon č. 431/2002 Z. z. o účtovníctve v znení neskorších predpisov zasahuje do ustanovení, ktoré sú transpozičným opatrením k smerniciam uvedených v doložke zlučiteľnosti, je potrebné vypracovať tabuľky zhody k článkom smerníc, ktorých príslušné transpozičné opatrenia sa návrhom menia (príloha č. 3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sz w:val="25"/>
                <w:szCs w:val="25"/>
              </w:rPr>
              <w:t xml:space="preserve">Návrhom novely zákona sa nezasahuje do transpozičných ustanovení žiadnej zo smerníc uvedených v doložke zlučiteľnosti a </w:t>
            </w:r>
            <w:r>
              <w:rPr>
                <w:rFonts w:ascii="Times" w:hAnsi="Times" w:cs="Times"/>
                <w:sz w:val="25"/>
                <w:szCs w:val="25"/>
              </w:rPr>
              <w:lastRenderedPageBreak/>
              <w:t>preto vypracovanie tabuľky zhody nie je potrebné.</w:t>
            </w: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Žiadame sprehľadniť úpravu textu formou odrážok začínajúcich vždy na novom riadku. V bode 3 písm. a) doložky zlučiteľnosti (v sekundárnom práve prijatom pred nadobudnutím platnosti Lisabonskej zmluvy) žiadame upraviť citácie nasledovne: „- Smernica Rady z 8. decembra 1986 o ročnej účtovnej závierke a konsolidovaných účtoch bánk a iných finančných inštitúcií (86/635/EHS)(Mimoriadne vydanie Ú. v. EÚ, kap. 6/zv. 1; Ú. v. ES L 372, 31.12.1986) v platnom znení.“ „- Smernica Rady z 19. decembra 1991 o ročných účtovných závierkach a konsolidovaných účtovných závierkach poisťovní (91/674/EHS)(Mimoriadne vydanie Ú. v. EÚ, kap. 6/zv. 1; Ú. v. ES L 374, 31.12.1991) v platnom znení.“ „- Smernica Európskeho parlamentu a Rady o 2004/25/ES z 21. apríla 2004 o ponukách na prevzatie (Mimoriadne vydanie Ú. v. EÚ, kap.17 /zv. 2, Ú. v. ES L 142, 30.4.2004) v platnom znení.“ „- Smernica Európskeho parlamentu a Rady 2006/43/ES zo 17. mája 2006 o štatutárnom audite ročných účtovných závierok a </w:t>
            </w:r>
            <w:r>
              <w:rPr>
                <w:rFonts w:ascii="Times" w:hAnsi="Times" w:cs="Times"/>
                <w:sz w:val="25"/>
                <w:szCs w:val="25"/>
              </w:rPr>
              <w:lastRenderedPageBreak/>
              <w:t xml:space="preserve">konsolidovaných účtovných závierok, ktorou sa menia a dopĺňajú smernice Rady 78/660/EHS a 83/349/EHS a ktorou sa zrušuje smernica Rady 84/253/EHS (Ú. v. EÚ L 157, 9. 6. 2006) v platnom znení.“ „- Smernica Európskeho parlamentu a Rady 2009/101/ES zo 16. septembra 2009 o koordinácii záruk, ktoré sa od obchodných spoločností v zmysle článku 48 druhého odseku zmluvy vyžadujú v členských štátoch na ochranu záujmov spoločníkov a tretích osôb s cieľom zabezpečiť rovnocennosť týchto záruk (Ú. v. EÚ L 258, 1.10.2009) v platnom znení.“ „- Nariadenie Európskeho parlamentu a Rady (ES) č. 1606/2002 z 19. júla 2002 o uplatňovaní medzinárodných účtovných noriem (Mimoriadne vydanie Ú. v. EÚ kap. 13/zv. 29; Ú. v. ES L 243, 11.9.2002)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sz w:val="25"/>
                <w:szCs w:val="25"/>
              </w:rPr>
              <w:t>Zapracované v texte.</w:t>
            </w: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b/>
                <w:bCs/>
                <w:sz w:val="25"/>
                <w:szCs w:val="25"/>
              </w:rPr>
              <w:t>1. Zásadná pripomienka k čl. I., novelizačný bod 3</w:t>
            </w:r>
            <w:r>
              <w:rPr>
                <w:rFonts w:ascii="Times" w:hAnsi="Times" w:cs="Times"/>
                <w:sz w:val="25"/>
                <w:szCs w:val="25"/>
              </w:rPr>
              <w:br/>
              <w:t xml:space="preserve">RÚZ navrhuje v texte zákona resp. v dôvodovej správe výslovne zdôrazniť, že sa podľa tohto ustanovenie nemusí postupovať, resp. sa postupuje špecificky v prípade, ak sa účtovná závierka zostavuje podľa osobitných predpisov. Súčasná právna úprava ustanovuje povinnosť vykazovania jednotlivých položiek individuálnej účtovnej závierky v nadväznosti na vedené účtovníctvo len v rámci záväznej štruktúry výkazov individuálnej účtovnej závierky, ktoré sú upravené v príslušných opatreniach na zostavenie individuálnej účtovnej závierky, resp. osobitných predpisoch (Nariadenie Európskeho parlamentu a Rady (ES)č. 1606/2002 z 19. júla 2002 o uplatňovaní </w:t>
            </w:r>
            <w:r>
              <w:rPr>
                <w:rFonts w:ascii="Times" w:hAnsi="Times" w:cs="Times"/>
                <w:sz w:val="25"/>
                <w:szCs w:val="25"/>
              </w:rPr>
              <w:lastRenderedPageBreak/>
              <w:t>Medzinárodných účtovných noriem) . Opatrenia konkrétne ustanovujú, že zostatky účtov z hlavnej knihy sa vykazujú na konkrétnych riadkoch individuálnej účtovnej závierky, s výnimkou, ak účtovná jednotka postupuje podľa osobitných predpisov. Pre spoločnosti zostavujúce individuálnu účtovnú závierku podľa osobitných predpisov, pri prezentácii účtovnej závierky sa nevýznamné položky môžu zoskupiť s spolu s inými nevýznamnými položkami do jedného riadku a teda nemusia vždy zodpovedať stavom na jednotlivých účtoch.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sz w:val="25"/>
                <w:szCs w:val="25"/>
              </w:rPr>
              <w:t>Dôvodová správa sa doplnila.</w:t>
            </w: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b/>
                <w:bCs/>
                <w:sz w:val="25"/>
                <w:szCs w:val="25"/>
              </w:rPr>
              <w:t>3. Zásadná pripomienka – doplnenie nového novelizačného bodu</w:t>
            </w:r>
            <w:r>
              <w:rPr>
                <w:rFonts w:ascii="Times" w:hAnsi="Times" w:cs="Times"/>
                <w:sz w:val="25"/>
                <w:szCs w:val="25"/>
              </w:rPr>
              <w:br/>
              <w:t xml:space="preserve">RÚZ navrhuje zaradiť do návrhu nový novelizačný bod, v ktorom sa navrhne úprava limitov na výkon auditu stanovených v zákone č. 431/2002 o účtovníctve §19 odsek 1, písmeno a) a upraviť ich, tak aby sa slovenská úprava priblížila limitom stanoveným smernicou. V súčasnosti sú tieto limity nastavené omnoho prísnejšie Odôvodnenie: Navrhujeme limity stanovené v §19 odsek 1, písmeno a) zákona o účtovníctve upraviť, tak aby sa slovenská úprava priblížila limitom stanoveným smernicou. Súčasná právna úprava výrazným spôsobom presahuje limity stanovené európskou legislatívou, čím spôsobuje, že povinnosť auditu dopadá na veľké množstvo menších podnikov, pri ktorých audit ako taký nemá väčší zmysel. Smernica Európskeho parlamentu a Rady 2013/34/EÚ z 26. júna 2013 o ročných účtovných závierkach, konsolidovaných účtovných závierkach a súvisiacich správach určitých druhov podnikov stanovuje v čl. 34 povinnosť auditu len pre subjekty verejného záujmu a stredne </w:t>
            </w:r>
            <w:r>
              <w:rPr>
                <w:rFonts w:ascii="Times" w:hAnsi="Times" w:cs="Times"/>
                <w:sz w:val="25"/>
                <w:szCs w:val="25"/>
              </w:rPr>
              <w:lastRenderedPageBreak/>
              <w:t xml:space="preserve">veľké a veľké podniky. Stredne veľký podnik následne smernica definuje v čl. 3.3 ako podnik, ktorý nie je mikropodnikom alebo malým podnikom a ku dňu, ku ktorému sa ich účtovná závierka zostavuje, neprekročil limity aspoň dvoch z týchto troch kritérií: a) celková bilančná suma: 20 000 000 EUR; b) čistý obrat: 40 000 000 EUR; c) priemerný počet zamestnancov počas účtovného roka: 250 Požiadavku na úpravu limitov odôvodňujeme nasledovne: 1. Audit obchodnej spoločnosti predstavuje významnú nákladovú položku, v závislosti od veľkosti spoločnosti. Uvedená povinnosť pritom podľa platnej legislatívy nerozlišuje spoločnosti podľa ďalších ukazovateľov, ktoré reálne ovplyvňujú potrebu výkonu auditu (vlastnícka štruktúra, riadenie vlastníkom vs. najatým manažmentom a pod.). 2. Vzhľadom k slabej rozvinutosti kapitálového a akciového trhu nie je potrebné, aby značný počet obchodných spoločností mal povinnosť auditu. V prípade priamych kapitálových vstupov, alebo zlučovania spoločností (akvizície, fúzie) sa zvyčajne vykonáva due dilligence, ktoré by malo poskytnúť obraz o stave spoločnosti (pričom je možné pri tejto príležitosti vykonať dobrovoľný audit). 3. Bez ohľadu na zavedené limity je možné vykonať audit dobrovoľne Interpretáciu smernicu zo strany RÚZ a nami predloženú argumentáciu podporuje aj znenie recitálu smernice 2013/34/ES bod 43: „Ročná účtovná závierka malých podnikov by nemala podliehať tejto povinnosti vykonať audit, pretože audit môže pre túto kategóriu podnikov predstavovať výrazné administratívne zaťaženie, keďže v prípade mnohých malých podnikov sú tie isté </w:t>
            </w:r>
            <w:r>
              <w:rPr>
                <w:rFonts w:ascii="Times" w:hAnsi="Times" w:cs="Times"/>
                <w:sz w:val="25"/>
                <w:szCs w:val="25"/>
              </w:rPr>
              <w:lastRenderedPageBreak/>
              <w:t xml:space="preserve">osoby akcionármi aj riadiacimi pracovníkmi, a preto majú obmedzenú potrebu overenia účtovnej závierky treťou stranou.“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sz w:val="25"/>
                <w:szCs w:val="25"/>
              </w:rPr>
              <w:t xml:space="preserve">Rozporové konanie bolo v dňoch 12. 6. 2017 a 10. 7. 2017. Rokovanie sa skončilo s rozporom. Štatutárny audit má dôležitú spoločenskú úlohu, kedy štatutárny audítor, ako nezávislá autorita, vyjadrí názor, či účtovná závierka poskytuje verný a pravdivý obraz o skutočnostiach, ktoré sú predmetom účtovníctva a o finančnej situácii účtovnej jednotky. Ďalším významným efektom je zlepšenie disciplíny auditovaných účtovných jednotiek a tým znižovanie možnosti výskytu omylov, chýb a podvodov, ktoré v konečnom dôsledku neovplyvňujú len auditovanú spoločnosť, ale aj dodávateľov, zamestnancov, banky a podobne. </w:t>
            </w:r>
            <w:r>
              <w:rPr>
                <w:rFonts w:ascii="Times" w:hAnsi="Times" w:cs="Times"/>
                <w:sz w:val="25"/>
                <w:szCs w:val="25"/>
              </w:rPr>
              <w:lastRenderedPageBreak/>
              <w:t>Ministerstvo vidí priestor na zmenu veľkostných podmienok v priebehu budúceho roka po zavedení daňovej spoľahlivosti subjektov.</w:t>
            </w: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rPr>
                <w:rFonts w:ascii="Times" w:hAnsi="Times" w:cs="Times"/>
                <w:sz w:val="25"/>
                <w:szCs w:val="25"/>
              </w:rPr>
            </w:pPr>
            <w:r>
              <w:rPr>
                <w:rFonts w:ascii="Times" w:hAnsi="Times" w:cs="Times"/>
                <w:b/>
                <w:bCs/>
                <w:sz w:val="25"/>
                <w:szCs w:val="25"/>
              </w:rPr>
              <w:t>2. Zásadná pripomienka k čl. I., novelizačný bod 21</w:t>
            </w:r>
            <w:r>
              <w:rPr>
                <w:rFonts w:ascii="Times" w:hAnsi="Times" w:cs="Times"/>
                <w:sz w:val="25"/>
                <w:szCs w:val="25"/>
              </w:rPr>
              <w:br/>
              <w:t xml:space="preserve">Zásadne nesúhlasíme s tým, aby boli porušenia zákona o účtovníctve podnetom na zrušenie živnostenského oprávnenia. Takýto postih je absolútne neproporčný, preto dodnes ani taká sankcia v zákone o účtovníctve ani v daňových zákonoch neexistuje, iba možnosti peňažných penalizácií. Platenie daní je finančná povinnosť a preto má byť sankcionovaná peňažnými pokutami. Skutočnosť, že subjekt opätovne porušuje tieto predpisy nemá byť dôvodom na zrušenie oprávnenia na podnikanie, môže opätovne zaplatiť peňažnú sankciu ako postih. Dôvodom na zrušenie živnostenského oprávnenia má byť len porušenie povinností vyplývajúcich zo živnostenského zákona. V prípade právnických osôb, ktorých konanie voči správcovi dane je nekontaktné a podozrivé môže mať takáto zmena dokonca negatívny účinok v tom, že zrušením živnostenského oprávnenia kvôli porušeniam zákona o účtovníctve môže takýmto subjektom uľahčiť situáciu a ušetriť náklady na likvidáciu podnikania.. Preto je možné predpokladať, že táto zmena môže byť dokonca zo strany takýchto subjektov zneužívaná.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rPr>
                <w:rFonts w:ascii="Times" w:hAnsi="Times" w:cs="Times"/>
                <w:sz w:val="25"/>
                <w:szCs w:val="25"/>
              </w:rPr>
            </w:pPr>
            <w:r>
              <w:rPr>
                <w:rFonts w:ascii="Times" w:hAnsi="Times" w:cs="Times"/>
                <w:sz w:val="25"/>
                <w:szCs w:val="25"/>
              </w:rPr>
              <w:t xml:space="preserve">Úloha bola uložená MF SR uznesením vlády č. 206/2017 (opatrenie č. 8 Akčného plánu boja proti daňovým podvodom 2017-2018). Zavedenie obdobnej sankcie u subjektov, ktorí vedú daňovú evidenciu MF SR zváži. Rozporové konanie bolo v dňoch 12. 6. 2017 a 10. 7. 2017. RUZ na pripomienke trvá, ale zmenila jej charakter zo zásadnej na obyčajnú. MF SR vzhľadom na vyššie uvedené pripomienke nevyhovuje. </w:t>
            </w: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rPr>
                <w:rFonts w:ascii="Times" w:hAnsi="Times" w:cs="Times"/>
                <w:sz w:val="25"/>
                <w:szCs w:val="25"/>
              </w:rPr>
            </w:pPr>
            <w:r>
              <w:rPr>
                <w:rFonts w:ascii="Times" w:hAnsi="Times" w:cs="Times"/>
                <w:b/>
                <w:bCs/>
                <w:sz w:val="25"/>
                <w:szCs w:val="25"/>
              </w:rPr>
              <w:t xml:space="preserve">celému materiálu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p>
        </w:tc>
      </w:tr>
      <w:tr w:rsidR="002E71B3">
        <w:trPr>
          <w:divId w:val="19736350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rsidP="00430DBD">
            <w:pPr>
              <w:spacing w:after="0"/>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E71B3" w:rsidRDefault="002E71B3">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5D2" w:rsidRDefault="006B35D2" w:rsidP="000A67D5">
      <w:pPr>
        <w:spacing w:after="0" w:line="240" w:lineRule="auto"/>
      </w:pPr>
      <w:r>
        <w:separator/>
      </w:r>
    </w:p>
  </w:endnote>
  <w:endnote w:type="continuationSeparator" w:id="0">
    <w:p w:rsidR="006B35D2" w:rsidRDefault="006B35D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5D2" w:rsidRDefault="006B35D2" w:rsidP="000A67D5">
      <w:pPr>
        <w:spacing w:after="0" w:line="240" w:lineRule="auto"/>
      </w:pPr>
      <w:r>
        <w:separator/>
      </w:r>
    </w:p>
  </w:footnote>
  <w:footnote w:type="continuationSeparator" w:id="0">
    <w:p w:rsidR="006B35D2" w:rsidRDefault="006B35D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09C5"/>
    <w:rsid w:val="000E25CA"/>
    <w:rsid w:val="000F7A42"/>
    <w:rsid w:val="00146547"/>
    <w:rsid w:val="00146B48"/>
    <w:rsid w:val="00150388"/>
    <w:rsid w:val="00154A91"/>
    <w:rsid w:val="002109B0"/>
    <w:rsid w:val="0021228E"/>
    <w:rsid w:val="00230F3C"/>
    <w:rsid w:val="002654AA"/>
    <w:rsid w:val="002827B4"/>
    <w:rsid w:val="002A5577"/>
    <w:rsid w:val="002D7471"/>
    <w:rsid w:val="002E71B3"/>
    <w:rsid w:val="00310A55"/>
    <w:rsid w:val="00322014"/>
    <w:rsid w:val="0039526D"/>
    <w:rsid w:val="003B435B"/>
    <w:rsid w:val="003D101C"/>
    <w:rsid w:val="003D5E45"/>
    <w:rsid w:val="003E4226"/>
    <w:rsid w:val="004075B2"/>
    <w:rsid w:val="00430DBD"/>
    <w:rsid w:val="00436C44"/>
    <w:rsid w:val="00474A9D"/>
    <w:rsid w:val="00532574"/>
    <w:rsid w:val="0059081C"/>
    <w:rsid w:val="005E7C53"/>
    <w:rsid w:val="00642FB8"/>
    <w:rsid w:val="006A3681"/>
    <w:rsid w:val="006B35D2"/>
    <w:rsid w:val="007156F5"/>
    <w:rsid w:val="007A1010"/>
    <w:rsid w:val="007B7F1A"/>
    <w:rsid w:val="007D7AE6"/>
    <w:rsid w:val="007E4294"/>
    <w:rsid w:val="00841FA6"/>
    <w:rsid w:val="008A1964"/>
    <w:rsid w:val="008A40F5"/>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E69BF"/>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2899">
      <w:bodyDiv w:val="1"/>
      <w:marLeft w:val="0"/>
      <w:marRight w:val="0"/>
      <w:marTop w:val="0"/>
      <w:marBottom w:val="0"/>
      <w:divBdr>
        <w:top w:val="none" w:sz="0" w:space="0" w:color="auto"/>
        <w:left w:val="none" w:sz="0" w:space="0" w:color="auto"/>
        <w:bottom w:val="none" w:sz="0" w:space="0" w:color="auto"/>
        <w:right w:val="none" w:sz="0" w:space="0" w:color="auto"/>
      </w:divBdr>
    </w:div>
    <w:div w:id="338699208">
      <w:bodyDiv w:val="1"/>
      <w:marLeft w:val="0"/>
      <w:marRight w:val="0"/>
      <w:marTop w:val="0"/>
      <w:marBottom w:val="0"/>
      <w:divBdr>
        <w:top w:val="none" w:sz="0" w:space="0" w:color="auto"/>
        <w:left w:val="none" w:sz="0" w:space="0" w:color="auto"/>
        <w:bottom w:val="none" w:sz="0" w:space="0" w:color="auto"/>
        <w:right w:val="none" w:sz="0" w:space="0" w:color="auto"/>
      </w:divBdr>
    </w:div>
    <w:div w:id="787312048">
      <w:bodyDiv w:val="1"/>
      <w:marLeft w:val="0"/>
      <w:marRight w:val="0"/>
      <w:marTop w:val="0"/>
      <w:marBottom w:val="0"/>
      <w:divBdr>
        <w:top w:val="none" w:sz="0" w:space="0" w:color="auto"/>
        <w:left w:val="none" w:sz="0" w:space="0" w:color="auto"/>
        <w:bottom w:val="none" w:sz="0" w:space="0" w:color="auto"/>
        <w:right w:val="none" w:sz="0" w:space="0" w:color="auto"/>
      </w:divBdr>
    </w:div>
    <w:div w:id="1040980797">
      <w:bodyDiv w:val="1"/>
      <w:marLeft w:val="0"/>
      <w:marRight w:val="0"/>
      <w:marTop w:val="0"/>
      <w:marBottom w:val="0"/>
      <w:divBdr>
        <w:top w:val="none" w:sz="0" w:space="0" w:color="auto"/>
        <w:left w:val="none" w:sz="0" w:space="0" w:color="auto"/>
        <w:bottom w:val="none" w:sz="0" w:space="0" w:color="auto"/>
        <w:right w:val="none" w:sz="0" w:space="0" w:color="auto"/>
      </w:divBdr>
    </w:div>
    <w:div w:id="1174563541">
      <w:bodyDiv w:val="1"/>
      <w:marLeft w:val="0"/>
      <w:marRight w:val="0"/>
      <w:marTop w:val="0"/>
      <w:marBottom w:val="0"/>
      <w:divBdr>
        <w:top w:val="none" w:sz="0" w:space="0" w:color="auto"/>
        <w:left w:val="none" w:sz="0" w:space="0" w:color="auto"/>
        <w:bottom w:val="none" w:sz="0" w:space="0" w:color="auto"/>
        <w:right w:val="none" w:sz="0" w:space="0" w:color="auto"/>
      </w:divBdr>
    </w:div>
    <w:div w:id="1526140756">
      <w:bodyDiv w:val="1"/>
      <w:marLeft w:val="0"/>
      <w:marRight w:val="0"/>
      <w:marTop w:val="0"/>
      <w:marBottom w:val="0"/>
      <w:divBdr>
        <w:top w:val="none" w:sz="0" w:space="0" w:color="auto"/>
        <w:left w:val="none" w:sz="0" w:space="0" w:color="auto"/>
        <w:bottom w:val="none" w:sz="0" w:space="0" w:color="auto"/>
        <w:right w:val="none" w:sz="0" w:space="0" w:color="auto"/>
      </w:divBdr>
    </w:div>
    <w:div w:id="1862627239">
      <w:bodyDiv w:val="1"/>
      <w:marLeft w:val="0"/>
      <w:marRight w:val="0"/>
      <w:marTop w:val="0"/>
      <w:marBottom w:val="0"/>
      <w:divBdr>
        <w:top w:val="none" w:sz="0" w:space="0" w:color="auto"/>
        <w:left w:val="none" w:sz="0" w:space="0" w:color="auto"/>
        <w:bottom w:val="none" w:sz="0" w:space="0" w:color="auto"/>
        <w:right w:val="none" w:sz="0" w:space="0" w:color="auto"/>
      </w:divBdr>
    </w:div>
    <w:div w:id="19736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6.7.2017 14:55:16"/>
    <f:field ref="objchangedby" par="" text="Administrator, System"/>
    <f:field ref="objmodifiedat" par="" text="26.7.2017 14:55:2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2886</Words>
  <Characters>16451</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2017-07-26T13:25:00Z</dcterms:created>
  <dcterms:modified xsi:type="dcterms:W3CDTF">2017-07-26T13:25:00Z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 100%;" width="100%"&gt;	&lt;tbody&gt;		&lt;tr&gt;			&lt;td colspan="5" style="width: 100%; height: 27px;"&gt;			&lt;h2&gt;Správa o účasti verejnosti na tvorbe právneho predpisu&lt;/h2&gt;			&lt;p align="center"&gt;&lt;st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Účtovníctvo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Ingrid Šalkovičová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431/2002 Z. z. o účtovníctve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vt:lpwstr>
  </property>
  <property fmtid="{D5CDD505-2E9C-101B-9397-08002B2CF9AE}" pid="20" name="FSC#SKEDITIONSLOVLEX@103.510:autorpredpis">
    <vt:lpwstr/>
  </property>
  <property fmtid="{D5CDD505-2E9C-101B-9397-08002B2CF9AE}" pid="21" name="FSC#SKEDITIONSLOVLEX@103.510:podnetpredpis">
    <vt:lpwstr>uznesenie vlády SR č. 380 z 8. júla 2015</vt:lpwstr>
  </property>
  <property fmtid="{D5CDD505-2E9C-101B-9397-08002B2CF9AE}" pid="22" name="FSC#SKEDITIONSLOVLEX@103.510:plnynazovpredpis">
    <vt:lpwstr> Zákon, ktorým sa mení a dopĺňa zákon č. 431/2002 Z. z. o účtovníctve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MF/7890/2017-74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LP/2017/356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čl. 4 ods. 2 Zmluvy o fungovaní Európskej únie.</vt:lpwstr>
  </property>
  <property fmtid="{D5CDD505-2E9C-101B-9397-08002B2CF9AE}" pid="46" name="FSC#SKEDITIONSLOVLEX@103.510:AttrStrListDocPropSekundarneLegPravoPO">
    <vt:lpwstr>- smernica Európskeho parlamentu a Rady 2013/34/EÚ z 26. júna 2013 o ročných účtovných závierkach, konsolidovaných účtovných závierkach a súvisiacich správach určitých druhov podnikov, ktorou sa mení smernica Európskeho parlamentu a Rady 2006/43/ES a zruš</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smernica Rady 1986/635/EHS z 8. decembra 1986 o ročnej účtovnej závierke a konsolidovaných účtoch bánk a iných finančných inštitúcií (Ú. v. ES L 372, 31.12.1986, Mimoriadne vydanie Ú. v. EÚ kap. 6/zv. 1) v platnom znení, _x000d_
- smernica Rady 1991/674/EHS z</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rozhodnutie Súdneho dvora vo veci C - 272/1997, EK v. Spolková republika Nemecko, [1999],_x000d_
- rozhodnutie Súdneho dvora vo veci C - 275/1997, DE + ES Bauunternehmung GmbH v. Finanzamt Bergheim, [1999], _x000d_
- rozhodnutie Súdneho dvora vo veci C - 306/1999, </vt:lpwstr>
  </property>
  <property fmtid="{D5CDD505-2E9C-101B-9397-08002B2CF9AE}" pid="51" name="FSC#SKEDITIONSLOVLEX@103.510:AttrStrListDocPropLehotaPrebratieSmernice">
    <vt:lpwstr>- bezpredmetné.</vt:lpwstr>
  </property>
  <property fmtid="{D5CDD505-2E9C-101B-9397-08002B2CF9AE}" pid="52" name="FSC#SKEDITIONSLOVLEX@103.510:AttrStrListDocPropLehotaNaPredlozenie">
    <vt:lpwstr>- bezpredmetné.</vt:lpwstr>
  </property>
  <property fmtid="{D5CDD505-2E9C-101B-9397-08002B2CF9AE}" pid="53" name="FSC#SKEDITIONSLOVLEX@103.510:AttrStrListDocPropInfoZaciatokKonania">
    <vt:lpwstr>Proti SR nebolo začaté konanie o porušení Zmluvy o fungovaní Európskej únie podľa čl. 258 až 260.</vt:lpwstr>
  </property>
  <property fmtid="{D5CDD505-2E9C-101B-9397-08002B2CF9AE}" pid="54" name="FSC#SKEDITIONSLOVLEX@103.510:AttrStrListDocPropInfoUzPreberanePP">
    <vt:lpwstr>- 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vt:lpwstr>
  </property>
  <property fmtid="{D5CDD505-2E9C-101B-9397-08002B2CF9AE}" pid="57" name="FSC#SKEDITIONSLOVLEX@103.510:AttrDateDocPropZaciatokPKK">
    <vt:lpwstr>24. 4. 2017</vt:lpwstr>
  </property>
  <property fmtid="{D5CDD505-2E9C-101B-9397-08002B2CF9AE}" pid="58" name="FSC#SKEDITIONSLOVLEX@103.510:AttrDateDocPropUkonceniePKK">
    <vt:lpwstr>9. 5. 2017</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Prípadné výdavky v súvislosti s predlžením lehoty na archiváciu budú zabezpečené v rámci schválených limitov dotknutých kapitol bez zvýšených požiadaviek na rozpočet verejnej správy.  </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Stála pracovná komisia na posudzovanie vybraných vplyvov vyjadruje súhlasné stanovisko s návrhom na dopracovanies materiálom predloženým na predbežné pripomienkové konanie s odporúčaním na jeho dopracovanie podľa pripomienok v bode II.Komisia uplatňuje k </vt:lpwstr>
  </property>
  <property fmtid="{D5CDD505-2E9C-101B-9397-08002B2CF9AE}" pid="67" name="FSC#SKEDITIONSLOVLEX@103.510:AttrStrListDocPropTextKomunike">
    <vt:lpwstr>Vláda Slovenskej republiky na svojom rokovaní dňa ....................... prerokovala a schválila návrh zákona, ktorým sa mení a dopĺňa zákon č. 431/2002 Z. z. o účtovníctve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&lt;p&gt;Predmetným návrhom zákona sa upravuje základný právny predpis v&amp;nbsp;oblasti účtovníctva a to zákon č. 431/2002 Z. z. o&amp;nbsp;účtovníctve v&amp;nbsp;znení neskorších predpisov (ďalej len „návrh zákona“).&lt;/p&gt;&lt;p style="text-align: justify;"&gt;Predmetom návrhu z</vt:lpwstr>
  </property>
  <property fmtid="{D5CDD505-2E9C-101B-9397-08002B2CF9AE}" pid="149" name="FSC#COOSYSTEM@1.1:Container">
    <vt:lpwstr>COO.2145.1000.3.2097501</vt:lpwstr>
  </property>
  <property fmtid="{D5CDD505-2E9C-101B-9397-08002B2CF9AE}" pid="150" name="FSC#FSCFOLIO@1.1001:docpropproject">
    <vt:lpwstr/>
  </property>
  <property fmtid="{D5CDD505-2E9C-101B-9397-08002B2CF9AE}" pid="151" name="FSC#SKEDITIONSLOVLEX@103.510:aktualnyrok">
    <vt:lpwstr>2017</vt:lpwstr>
  </property>
</Properties>
</file>