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E01A91" w:rsidRDefault="00E01A91">
      <w:pPr>
        <w:jc w:val="center"/>
        <w:divId w:val="1116951915"/>
        <w:rPr>
          <w:rFonts w:ascii="Times" w:hAnsi="Times" w:cs="Times"/>
          <w:sz w:val="25"/>
          <w:szCs w:val="25"/>
        </w:rPr>
      </w:pPr>
      <w:r>
        <w:rPr>
          <w:rFonts w:ascii="Times" w:hAnsi="Times" w:cs="Times"/>
          <w:sz w:val="25"/>
          <w:szCs w:val="25"/>
        </w:rPr>
        <w:t xml:space="preserve">Zákon, ktorým sa mení a dopĺňa zákon č. 151/2010 Z. z. o zahraničnej službe a o zmene a doplnení niektorých zákonov v znení neskorších predpisov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E01A91" w:rsidP="00E01A91">
            <w:pPr>
              <w:spacing w:after="0" w:line="240" w:lineRule="auto"/>
              <w:rPr>
                <w:rFonts w:ascii="Times New Roman" w:hAnsi="Times New Roman" w:cs="Calibri"/>
                <w:sz w:val="20"/>
                <w:szCs w:val="20"/>
              </w:rPr>
            </w:pPr>
            <w:r>
              <w:rPr>
                <w:rFonts w:ascii="Times" w:hAnsi="Times" w:cs="Times"/>
                <w:sz w:val="25"/>
                <w:szCs w:val="25"/>
              </w:rPr>
              <w:t>159 /8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E01A91" w:rsidP="00E01A91">
            <w:pPr>
              <w:spacing w:after="0" w:line="240" w:lineRule="auto"/>
              <w:rPr>
                <w:rFonts w:ascii="Times New Roman" w:hAnsi="Times New Roman" w:cs="Calibri"/>
                <w:sz w:val="20"/>
                <w:szCs w:val="20"/>
              </w:rPr>
            </w:pPr>
            <w:r>
              <w:rPr>
                <w:rFonts w:ascii="Times" w:hAnsi="Times" w:cs="Times"/>
                <w:sz w:val="25"/>
                <w:szCs w:val="25"/>
              </w:rPr>
              <w:t>159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E01A91" w:rsidP="00E01A91">
            <w:pPr>
              <w:spacing w:after="0" w:line="240" w:lineRule="auto"/>
              <w:rPr>
                <w:rFonts w:ascii="Times New Roman" w:hAnsi="Times New Roman" w:cs="Calibri"/>
                <w:sz w:val="20"/>
                <w:szCs w:val="20"/>
              </w:rPr>
            </w:pPr>
            <w:r>
              <w:rPr>
                <w:rFonts w:ascii="Times" w:hAnsi="Times" w:cs="Times"/>
                <w:sz w:val="25"/>
                <w:szCs w:val="25"/>
              </w:rPr>
              <w:t>68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E01A91" w:rsidP="00E01A91">
            <w:pPr>
              <w:spacing w:after="0" w:line="240" w:lineRule="auto"/>
              <w:rPr>
                <w:rFonts w:ascii="Times New Roman" w:hAnsi="Times New Roman" w:cs="Calibri"/>
                <w:sz w:val="20"/>
                <w:szCs w:val="20"/>
              </w:rPr>
            </w:pPr>
            <w:r>
              <w:rPr>
                <w:rFonts w:ascii="Times" w:hAnsi="Times" w:cs="Times"/>
                <w:sz w:val="25"/>
                <w:szCs w:val="25"/>
              </w:rPr>
              <w:t>26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E01A91" w:rsidP="00E01A91">
            <w:pPr>
              <w:spacing w:after="0" w:line="240" w:lineRule="auto"/>
              <w:rPr>
                <w:rFonts w:ascii="Times New Roman" w:hAnsi="Times New Roman" w:cs="Calibri"/>
                <w:sz w:val="20"/>
                <w:szCs w:val="20"/>
              </w:rPr>
            </w:pPr>
            <w:r>
              <w:rPr>
                <w:rFonts w:ascii="Times" w:hAnsi="Times" w:cs="Times"/>
                <w:sz w:val="25"/>
                <w:szCs w:val="25"/>
              </w:rPr>
              <w:t>65 /6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E01A91" w:rsidRDefault="00E01A91"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E01A91">
        <w:trPr>
          <w:divId w:val="172040066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Vôbec nezaslali</w:t>
            </w:r>
          </w:p>
        </w:tc>
      </w:tr>
      <w:tr w:rsidR="00E01A91">
        <w:trPr>
          <w:divId w:val="1720400668"/>
          <w:jc w:val="center"/>
        </w:trPr>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sz w:val="20"/>
                <w:szCs w:val="20"/>
              </w:rPr>
            </w:pPr>
          </w:p>
        </w:tc>
      </w:tr>
      <w:tr w:rsidR="00E01A91">
        <w:trPr>
          <w:divId w:val="1720400668"/>
          <w:jc w:val="center"/>
        </w:trPr>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sz w:val="20"/>
                <w:szCs w:val="20"/>
              </w:rPr>
            </w:pPr>
          </w:p>
        </w:tc>
      </w:tr>
      <w:tr w:rsidR="00E01A91">
        <w:trPr>
          <w:divId w:val="1720400668"/>
          <w:jc w:val="center"/>
        </w:trPr>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sz w:val="20"/>
                <w:szCs w:val="20"/>
              </w:rPr>
            </w:pPr>
          </w:p>
        </w:tc>
      </w:tr>
      <w:tr w:rsidR="00E01A91">
        <w:trPr>
          <w:divId w:val="1720400668"/>
          <w:jc w:val="center"/>
        </w:trPr>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20 (20o,0z)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sz w:val="20"/>
                <w:szCs w:val="20"/>
              </w:rPr>
            </w:pPr>
          </w:p>
        </w:tc>
      </w:tr>
      <w:tr w:rsidR="00E01A91">
        <w:trPr>
          <w:divId w:val="1720400668"/>
          <w:jc w:val="center"/>
        </w:trPr>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3 (1o,2z)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sz w:val="20"/>
                <w:szCs w:val="20"/>
              </w:rPr>
            </w:pPr>
          </w:p>
        </w:tc>
      </w:tr>
      <w:tr w:rsidR="00E01A91">
        <w:trPr>
          <w:divId w:val="1720400668"/>
          <w:jc w:val="center"/>
        </w:trPr>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sz w:val="20"/>
                <w:szCs w:val="20"/>
              </w:rPr>
            </w:pPr>
          </w:p>
        </w:tc>
      </w:tr>
      <w:tr w:rsidR="00E01A91">
        <w:trPr>
          <w:divId w:val="1720400668"/>
          <w:jc w:val="center"/>
        </w:trPr>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14 (9o,5z)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sz w:val="20"/>
                <w:szCs w:val="20"/>
              </w:rPr>
            </w:pPr>
          </w:p>
        </w:tc>
      </w:tr>
      <w:tr w:rsidR="00E01A91">
        <w:trPr>
          <w:divId w:val="1720400668"/>
          <w:jc w:val="center"/>
        </w:trPr>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sz w:val="20"/>
                <w:szCs w:val="20"/>
              </w:rPr>
            </w:pPr>
          </w:p>
        </w:tc>
      </w:tr>
      <w:tr w:rsidR="00E01A91">
        <w:trPr>
          <w:divId w:val="1720400668"/>
          <w:jc w:val="center"/>
        </w:trPr>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18 (18o,0z)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sz w:val="20"/>
                <w:szCs w:val="20"/>
              </w:rPr>
            </w:pPr>
          </w:p>
        </w:tc>
      </w:tr>
      <w:tr w:rsidR="00E01A91">
        <w:trPr>
          <w:divId w:val="1720400668"/>
          <w:jc w:val="center"/>
        </w:trPr>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17 (17o,0z)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sz w:val="20"/>
                <w:szCs w:val="20"/>
              </w:rPr>
            </w:pPr>
          </w:p>
        </w:tc>
      </w:tr>
      <w:tr w:rsidR="00E01A91">
        <w:trPr>
          <w:divId w:val="1720400668"/>
          <w:jc w:val="center"/>
        </w:trPr>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13 (13o,0z)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sz w:val="20"/>
                <w:szCs w:val="20"/>
              </w:rPr>
            </w:pPr>
          </w:p>
        </w:tc>
      </w:tr>
      <w:tr w:rsidR="00E01A91">
        <w:trPr>
          <w:divId w:val="1720400668"/>
          <w:jc w:val="center"/>
        </w:trPr>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sz w:val="20"/>
                <w:szCs w:val="20"/>
              </w:rPr>
            </w:pPr>
          </w:p>
        </w:tc>
      </w:tr>
      <w:tr w:rsidR="00E01A91">
        <w:trPr>
          <w:divId w:val="1720400668"/>
          <w:jc w:val="center"/>
        </w:trPr>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sz w:val="20"/>
                <w:szCs w:val="20"/>
              </w:rPr>
            </w:pPr>
          </w:p>
        </w:tc>
      </w:tr>
      <w:tr w:rsidR="00E01A91">
        <w:trPr>
          <w:divId w:val="1720400668"/>
          <w:jc w:val="center"/>
        </w:trPr>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17 (17o,0z)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sz w:val="20"/>
                <w:szCs w:val="20"/>
              </w:rPr>
            </w:pPr>
          </w:p>
        </w:tc>
      </w:tr>
      <w:tr w:rsidR="00E01A91">
        <w:trPr>
          <w:divId w:val="1720400668"/>
          <w:jc w:val="center"/>
        </w:trPr>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sz w:val="20"/>
                <w:szCs w:val="20"/>
              </w:rPr>
            </w:pPr>
          </w:p>
        </w:tc>
      </w:tr>
      <w:tr w:rsidR="00E01A91">
        <w:trPr>
          <w:divId w:val="1720400668"/>
          <w:jc w:val="center"/>
        </w:trPr>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sz w:val="20"/>
                <w:szCs w:val="20"/>
              </w:rPr>
            </w:pPr>
          </w:p>
        </w:tc>
      </w:tr>
      <w:tr w:rsidR="00E01A91">
        <w:trPr>
          <w:divId w:val="1720400668"/>
          <w:jc w:val="center"/>
        </w:trPr>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sz w:val="20"/>
                <w:szCs w:val="20"/>
              </w:rPr>
            </w:pPr>
          </w:p>
        </w:tc>
      </w:tr>
      <w:tr w:rsidR="00E01A91">
        <w:trPr>
          <w:divId w:val="1720400668"/>
          <w:jc w:val="center"/>
        </w:trPr>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sz w:val="20"/>
                <w:szCs w:val="20"/>
              </w:rPr>
            </w:pPr>
          </w:p>
        </w:tc>
      </w:tr>
      <w:tr w:rsidR="00E01A91">
        <w:trPr>
          <w:divId w:val="1720400668"/>
          <w:jc w:val="center"/>
        </w:trPr>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20 (20o,0z)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sz w:val="20"/>
                <w:szCs w:val="20"/>
              </w:rPr>
            </w:pPr>
          </w:p>
        </w:tc>
      </w:tr>
      <w:tr w:rsidR="00E01A91">
        <w:trPr>
          <w:divId w:val="1720400668"/>
          <w:jc w:val="center"/>
        </w:trPr>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p>
        </w:tc>
      </w:tr>
      <w:tr w:rsidR="00E01A91">
        <w:trPr>
          <w:divId w:val="1720400668"/>
          <w:jc w:val="center"/>
        </w:trPr>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p>
        </w:tc>
      </w:tr>
      <w:tr w:rsidR="00E01A91">
        <w:trPr>
          <w:divId w:val="1720400668"/>
          <w:jc w:val="center"/>
        </w:trPr>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p>
        </w:tc>
      </w:tr>
      <w:tr w:rsidR="00E01A91">
        <w:trPr>
          <w:divId w:val="1720400668"/>
          <w:jc w:val="center"/>
        </w:trPr>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p>
        </w:tc>
      </w:tr>
      <w:tr w:rsidR="00E01A91">
        <w:trPr>
          <w:divId w:val="1720400668"/>
          <w:jc w:val="center"/>
        </w:trPr>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p>
        </w:tc>
      </w:tr>
      <w:tr w:rsidR="00E01A91">
        <w:trPr>
          <w:divId w:val="1720400668"/>
          <w:jc w:val="center"/>
        </w:trPr>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p>
        </w:tc>
      </w:tr>
      <w:tr w:rsidR="00E01A91">
        <w:trPr>
          <w:divId w:val="1720400668"/>
          <w:jc w:val="center"/>
        </w:trPr>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p>
        </w:tc>
      </w:tr>
      <w:tr w:rsidR="00E01A91">
        <w:trPr>
          <w:divId w:val="1720400668"/>
          <w:jc w:val="center"/>
        </w:trPr>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x</w:t>
            </w:r>
          </w:p>
        </w:tc>
      </w:tr>
      <w:tr w:rsidR="00E01A91">
        <w:trPr>
          <w:divId w:val="1720400668"/>
          <w:jc w:val="center"/>
        </w:trPr>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x</w:t>
            </w:r>
          </w:p>
        </w:tc>
      </w:tr>
      <w:tr w:rsidR="00E01A91">
        <w:trPr>
          <w:divId w:val="1720400668"/>
          <w:jc w:val="center"/>
        </w:trPr>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x</w:t>
            </w:r>
          </w:p>
        </w:tc>
      </w:tr>
      <w:tr w:rsidR="00E01A91">
        <w:trPr>
          <w:divId w:val="1720400668"/>
          <w:jc w:val="center"/>
        </w:trPr>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x</w:t>
            </w:r>
          </w:p>
        </w:tc>
      </w:tr>
      <w:tr w:rsidR="00E01A91">
        <w:trPr>
          <w:divId w:val="1720400668"/>
          <w:jc w:val="center"/>
        </w:trPr>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x</w:t>
            </w:r>
          </w:p>
        </w:tc>
      </w:tr>
      <w:tr w:rsidR="00E01A91">
        <w:trPr>
          <w:divId w:val="1720400668"/>
          <w:jc w:val="center"/>
        </w:trPr>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x</w:t>
            </w:r>
          </w:p>
        </w:tc>
      </w:tr>
      <w:tr w:rsidR="00E01A91">
        <w:trPr>
          <w:divId w:val="1720400668"/>
          <w:jc w:val="center"/>
        </w:trPr>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x</w:t>
            </w:r>
          </w:p>
        </w:tc>
      </w:tr>
      <w:tr w:rsidR="00E01A91">
        <w:trPr>
          <w:divId w:val="1720400668"/>
          <w:jc w:val="center"/>
        </w:trPr>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x</w:t>
            </w:r>
          </w:p>
        </w:tc>
      </w:tr>
      <w:tr w:rsidR="00E01A91">
        <w:trPr>
          <w:divId w:val="1720400668"/>
          <w:jc w:val="center"/>
        </w:trPr>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x</w:t>
            </w:r>
          </w:p>
        </w:tc>
      </w:tr>
      <w:tr w:rsidR="00E01A91">
        <w:trPr>
          <w:divId w:val="1720400668"/>
          <w:jc w:val="center"/>
        </w:trPr>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x</w:t>
            </w:r>
          </w:p>
        </w:tc>
      </w:tr>
      <w:tr w:rsidR="00E01A91">
        <w:trPr>
          <w:divId w:val="1720400668"/>
          <w:jc w:val="center"/>
        </w:trPr>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x</w:t>
            </w:r>
          </w:p>
        </w:tc>
      </w:tr>
      <w:tr w:rsidR="00E01A91">
        <w:trPr>
          <w:divId w:val="1720400668"/>
          <w:jc w:val="center"/>
        </w:trPr>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x</w:t>
            </w:r>
          </w:p>
        </w:tc>
      </w:tr>
      <w:tr w:rsidR="00E01A91">
        <w:trPr>
          <w:divId w:val="1720400668"/>
          <w:jc w:val="center"/>
        </w:trPr>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x</w:t>
            </w:r>
          </w:p>
        </w:tc>
      </w:tr>
      <w:tr w:rsidR="00E01A91">
        <w:trPr>
          <w:divId w:val="1720400668"/>
          <w:jc w:val="center"/>
        </w:trPr>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x</w:t>
            </w:r>
          </w:p>
        </w:tc>
      </w:tr>
      <w:tr w:rsidR="00E01A91">
        <w:trPr>
          <w:divId w:val="1720400668"/>
          <w:jc w:val="center"/>
        </w:trPr>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x</w:t>
            </w:r>
          </w:p>
        </w:tc>
      </w:tr>
      <w:tr w:rsidR="00E01A91">
        <w:trPr>
          <w:divId w:val="1720400668"/>
          <w:jc w:val="center"/>
        </w:trPr>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x</w:t>
            </w:r>
          </w:p>
        </w:tc>
      </w:tr>
      <w:tr w:rsidR="00E01A91">
        <w:trPr>
          <w:divId w:val="1720400668"/>
          <w:jc w:val="center"/>
        </w:trPr>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x</w:t>
            </w:r>
          </w:p>
        </w:tc>
      </w:tr>
      <w:tr w:rsidR="00E01A91">
        <w:trPr>
          <w:divId w:val="1720400668"/>
          <w:jc w:val="center"/>
        </w:trPr>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x</w:t>
            </w:r>
          </w:p>
        </w:tc>
      </w:tr>
      <w:tr w:rsidR="00E01A91">
        <w:trPr>
          <w:divId w:val="1720400668"/>
          <w:jc w:val="center"/>
        </w:trPr>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x</w:t>
            </w:r>
          </w:p>
        </w:tc>
      </w:tr>
      <w:tr w:rsidR="00E01A91">
        <w:trPr>
          <w:divId w:val="1720400668"/>
          <w:jc w:val="center"/>
        </w:trPr>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x</w:t>
            </w:r>
          </w:p>
        </w:tc>
      </w:tr>
      <w:tr w:rsidR="00E01A91">
        <w:trPr>
          <w:divId w:val="1720400668"/>
          <w:jc w:val="center"/>
        </w:trPr>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x</w:t>
            </w:r>
          </w:p>
        </w:tc>
      </w:tr>
      <w:tr w:rsidR="00E01A91">
        <w:trPr>
          <w:divId w:val="1720400668"/>
          <w:jc w:val="center"/>
        </w:trPr>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x</w:t>
            </w:r>
          </w:p>
        </w:tc>
      </w:tr>
      <w:tr w:rsidR="00E01A91">
        <w:trPr>
          <w:divId w:val="1720400668"/>
          <w:jc w:val="center"/>
        </w:trPr>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x</w:t>
            </w:r>
          </w:p>
        </w:tc>
      </w:tr>
      <w:tr w:rsidR="00E01A91">
        <w:trPr>
          <w:divId w:val="1720400668"/>
          <w:jc w:val="center"/>
        </w:trPr>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159 (151o,8z)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01A91" w:rsidRDefault="00E01A91">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lastRenderedPageBreak/>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E01A91" w:rsidRDefault="00E01A91"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Spôsob vyhodnotenia</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čl. I bodu 21 (§ 14a ods. 1)</w:t>
            </w:r>
            <w:r>
              <w:rPr>
                <w:rFonts w:ascii="Times" w:hAnsi="Times" w:cs="Times"/>
                <w:sz w:val="25"/>
                <w:szCs w:val="25"/>
              </w:rPr>
              <w:br/>
              <w:t>Odporúčame legislatívnu skratku „príslušný útvar ministerstva“ zaviesť takým spôsobom, aby bolo jednoznačné, že nezahŕňa aj „diplomatickú misiu“ a „konzulárny úrad“, napr. výmenou poradia uvedenia subjektov oprávnených vykonávať konzulárne činnosti. Taktiež odporúčame zvážiť zaviesť legislatívnu skratku iba v tvare „útvar ministerstva“.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Predkladateľ považuje legislatívnu skratku „príslušný útvar ministerstva“ za vhodne zvolenú, preto nevytvára novú legislatívnu skratku v tvare „útvar ministerstva“.</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čl. I bodu 15 (§ 9 ods. 3)</w:t>
            </w:r>
            <w:r>
              <w:rPr>
                <w:rFonts w:ascii="Times" w:hAnsi="Times" w:cs="Times"/>
                <w:sz w:val="25"/>
                <w:szCs w:val="25"/>
              </w:rPr>
              <w:br/>
              <w:t xml:space="preserve">Odporúčame na konci bodku nahradiť čiarkou a pripojiť slová „ktorý ministerstvo zverejní na svojom webovom sídle.“ vzhľadom na to, že služobné predpisy sa podľa zákona č. 55/2017 Z. z. o štátnej službe a o zmene a doplnení niektorých zákonov nezverejňujú. Podľa § 22 zákona č. 55/2017 Z. z. upravujúceho vydávanie služobných predpisov vo všeobecnosti sa predpokladá sprístupnenie služobných predpisov iba vo vzťahu k podriadenému služobnému úradu, pričom ani podľa § 47 zákona č. 55/2017 Z. z. upravujúceho osobitné splnomocnenie pre ministerstvo zahraničných vecí na vydanie služobného predpisu na obsadzovanie štátnozamestnaneckých miest na zastupiteľských úradoch sa služobné predpisy nezverejňujú. Odporúčaným doplnením sa podporí </w:t>
            </w:r>
            <w:r>
              <w:rPr>
                <w:rFonts w:ascii="Times" w:hAnsi="Times" w:cs="Times"/>
                <w:sz w:val="25"/>
                <w:szCs w:val="25"/>
              </w:rPr>
              <w:lastRenderedPageBreak/>
              <w:t xml:space="preserve">transparentnosť výberových konaní vrátane ich pravidiel.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Navrhovaná úprava je v súlade so zákonom č. 55/2017 Z. z. o štátnej službe a o zmene a doplnení niektorých zákonov, ktorý v oblasti zverejňovania služobných predpisov neupravuje zverejňovanie , resp. povinnosť služobného úradu zverejniť evidenciu vnútorných predpisov na svojom webovom sídle. Tým však nie je dotknuté právo na informácie podľa osobitného zákona.</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čl. I bodu 8 (§ 5 ods. 4)</w:t>
            </w:r>
            <w:r>
              <w:rPr>
                <w:rFonts w:ascii="Times" w:hAnsi="Times" w:cs="Times"/>
                <w:sz w:val="25"/>
                <w:szCs w:val="25"/>
              </w:rPr>
              <w:br/>
              <w:t>Odporúčame obdobne, ako je to uvedené v úvodnej vete § 5 ods. 2, na konci pripojiť slová „podľa osobitného predpisu“ vrátane odkazu na poznámku pod čiarou s uvedením odkazu na zákon č. 122/2013 Z. z. o ochrane osobných údajov a o zmene a doplnení niektorých zákonov v znení zákona č. 84/2014 Z. z.; respektíve po schválení nového zákona o ochrane osobných údajov a o zmene a doplnení niektorých zákonov (číslo legislatívneho procesu LP/2017/453), bude potrebné uviesť odkaz na tento nový zákon.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Navrhovanú formuláciu považujeme za správnu a potrebnú vzhľadom na aplikačnú prax.</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čl. I bodu 21 (§ 14h ods. 8)</w:t>
            </w:r>
            <w:r>
              <w:rPr>
                <w:rFonts w:ascii="Times" w:hAnsi="Times" w:cs="Times"/>
                <w:sz w:val="25"/>
                <w:szCs w:val="25"/>
              </w:rPr>
              <w:br/>
              <w:t>Odporúčame slovo „tomto“ nahradiť slovom „takom“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čl. I bodu 21 (§ 14h ods. 17)</w:t>
            </w:r>
            <w:r>
              <w:rPr>
                <w:rFonts w:ascii="Times" w:hAnsi="Times" w:cs="Times"/>
                <w:sz w:val="25"/>
                <w:szCs w:val="25"/>
              </w:rPr>
              <w:br/>
              <w:t>Odporúčame spresniť spojenie „podporu z nástrojov Európskej únie“ doplnením poznámky pod čiarou s odkazom na všeobecne záväzné právne predpisy upravujúce takéto nástroje podpory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Ustanovenie bolo preformulované na základe pripomienky iného subjektu.</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čl. I bodu 21 (§ 14h)</w:t>
            </w:r>
            <w:r>
              <w:rPr>
                <w:rFonts w:ascii="Times" w:hAnsi="Times" w:cs="Times"/>
                <w:sz w:val="25"/>
                <w:szCs w:val="25"/>
              </w:rPr>
              <w:br/>
              <w:t>Odporúčame v § 14h spojenie „nezastúpený občan“ vo všetkých jeho tvaroch primerane obsahu textu uvádzať v jednotnom čísle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Používanie jednotného a množného čísla pojmu "nezastúpený občan" bolo zohľadnené primerane obsahu textu pri vypracúvaní príslušných ustanovení.</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čl. I bodu 21 (tretia časť)</w:t>
            </w:r>
            <w:r>
              <w:rPr>
                <w:rFonts w:ascii="Times" w:hAnsi="Times" w:cs="Times"/>
                <w:sz w:val="25"/>
                <w:szCs w:val="25"/>
              </w:rPr>
              <w:br/>
              <w:t xml:space="preserve">Odporúčame v celom návrhu tretej časti slová „vyššie overuje“ vo všetkých tvaroch nahradiť slovami „vykonáva vyššie overenie“ v príslušnom tvare vzhľadom na to, že spojenie „vyššie overuje“ je nenormatívne a nezrozumiteľné.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čl. I bodu 7 (§ 5 ods. 2)</w:t>
            </w:r>
            <w:r>
              <w:rPr>
                <w:rFonts w:ascii="Times" w:hAnsi="Times" w:cs="Times"/>
                <w:sz w:val="25"/>
                <w:szCs w:val="25"/>
              </w:rPr>
              <w:br/>
              <w:t xml:space="preserve">Odporúčame, aby služobný úrad okrem „adresy trvalého pobytu“, ktorá bude spravidla na území Slovenskej republiky, z praktických dôvodov spracúval aj údaje o adrese pobytu osoby zamestnanca v príslušnom mieste výkonu zahraničnej služby, ak sa toto miesto nachádza v zahraničí.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Uvedené nie je potrebné. Zamestnanci sú v zahraničí ubytovaní v rámci kapacít ministerstva alebo ministerstvo uzatvára nájomnú zmluvu.</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 xml:space="preserve">čl. I bode 21 v § 14g ods. 5 </w:t>
            </w:r>
            <w:r>
              <w:rPr>
                <w:rFonts w:ascii="Times" w:hAnsi="Times" w:cs="Times"/>
                <w:sz w:val="25"/>
                <w:szCs w:val="25"/>
              </w:rPr>
              <w:br/>
              <w:t>odporúčame doplniť slovo „platným“ (cestovným dokladom) ... iným „platným“ (preukazom totožnosti)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V zmysle aplikačnej praxe je v určitých prípadoch nápomocné mať k dispozícii aj neplatný doklad, ak nie sú pochybnosti o jeho pravosti.</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 xml:space="preserve">čl. I bode 21 v § 14h ods. 3 </w:t>
            </w:r>
            <w:r>
              <w:rPr>
                <w:rFonts w:ascii="Times" w:hAnsi="Times" w:cs="Times"/>
                <w:sz w:val="25"/>
                <w:szCs w:val="25"/>
              </w:rPr>
              <w:br/>
              <w:t>odporúčame nahradiť slová „“dojednať rozdelenie zodpovednosti a koordináciu“ slovami „dojednať koordináciu a rozdelenie zodpovednosti“.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Obsahovo je navrhované znenie totožné so znením pripomienky. Je potrebné najskôr rozdeliť zodpovednosť a až následne koordinovať činnosť.</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 xml:space="preserve">čl. I bode 21 v § 14g </w:t>
            </w:r>
            <w:r>
              <w:rPr>
                <w:rFonts w:ascii="Times" w:hAnsi="Times" w:cs="Times"/>
                <w:sz w:val="25"/>
                <w:szCs w:val="25"/>
              </w:rPr>
              <w:br/>
              <w:t xml:space="preserve">odporúčame nahradiť slová „diplomatická misia a konzulárny úrad“ slovami „diplomatická misia, konzulárny úrad a príslušný </w:t>
            </w:r>
            <w:r>
              <w:rPr>
                <w:rFonts w:ascii="Times" w:hAnsi="Times" w:cs="Times"/>
                <w:sz w:val="25"/>
                <w:szCs w:val="25"/>
              </w:rPr>
              <w:lastRenderedPageBreak/>
              <w:t>útvar ministerstva“.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 xml:space="preserve">Predmetné ustanovenie transponuje smernicu, ktorá upravuje poskytovanie konzulárnej ochrany </w:t>
            </w:r>
            <w:r>
              <w:rPr>
                <w:rFonts w:ascii="Times" w:hAnsi="Times" w:cs="Times"/>
                <w:sz w:val="25"/>
                <w:szCs w:val="25"/>
              </w:rPr>
              <w:lastRenderedPageBreak/>
              <w:t>zastupiteľskými úradmi.</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 xml:space="preserve">čl. I bode 21 v § 14g ods. 2 </w:t>
            </w:r>
            <w:r>
              <w:rPr>
                <w:rFonts w:ascii="Times" w:hAnsi="Times" w:cs="Times"/>
                <w:sz w:val="25"/>
                <w:szCs w:val="25"/>
              </w:rPr>
              <w:br/>
              <w:t>odporúčame nahradiť slová „občanom Európskej únie“ slovami „občanom členského štátu“.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Pojmy "občan Európskej únie" a "občan členského štátu" sú v zmysle zavedených legislatívnych skratiek obsahovo totožné. Občan Európskej únie je legálnym pojmom v zmysle práva Európskej únie.</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 xml:space="preserve">čl. I bod 5 v § 4 ods. 9 a celom znení návrhu </w:t>
            </w:r>
            <w:r>
              <w:rPr>
                <w:rFonts w:ascii="Times" w:hAnsi="Times" w:cs="Times"/>
                <w:sz w:val="25"/>
                <w:szCs w:val="25"/>
              </w:rPr>
              <w:br/>
              <w:t>odporúčame nahradiť slová „právnickej osoby zriadenej podľa právneho poriadku Slovenskej republiky so sídlom na území Slovenskej republiky“ slovami „právnickej osoby so sídlom na území Slovenskej republiky, zriadenej podľa právneho poriadku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čl. I bod 21 v § 14e ods. 2, posledná veta a ďalej v texte</w:t>
            </w:r>
            <w:r>
              <w:rPr>
                <w:rFonts w:ascii="Times" w:hAnsi="Times" w:cs="Times"/>
                <w:sz w:val="25"/>
                <w:szCs w:val="25"/>
              </w:rPr>
              <w:br/>
              <w:t>odporúčame nahradiť slová „prekryjú nálepkou a odtlačkom úradnej pečiatky“ slovami „prekryjú nálepkou a opatria odtlačkom úradnej pečiatky“.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 xml:space="preserve">čl. I bode 21 v § 14h ods. 14 </w:t>
            </w:r>
            <w:r>
              <w:rPr>
                <w:rFonts w:ascii="Times" w:hAnsi="Times" w:cs="Times"/>
                <w:sz w:val="25"/>
                <w:szCs w:val="25"/>
              </w:rPr>
              <w:br/>
              <w:t>odporúčame nahradiť slová „vyžiadať záväzok“ slovami „vyžiadať prísľub“.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 xml:space="preserve">Diplomatická misia a konzulárny úrad budú od občana a nezastúpeného občana vyžadovať záväzok, že uhradí náklady, ktoré na neho vynaložila Slovenská republika z rozpočtu verejnej správy. Tento záväzok má v zmysle transponovanej smernice formu prísľubu, ktorého vzor je </w:t>
            </w:r>
            <w:r>
              <w:rPr>
                <w:rFonts w:ascii="Times" w:hAnsi="Times" w:cs="Times"/>
                <w:sz w:val="25"/>
                <w:szCs w:val="25"/>
              </w:rPr>
              <w:lastRenderedPageBreak/>
              <w:t>uvedený v prílohe.</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 xml:space="preserve">čl. I bode 21 v § 14i </w:t>
            </w:r>
            <w:r>
              <w:rPr>
                <w:rFonts w:ascii="Times" w:hAnsi="Times" w:cs="Times"/>
                <w:sz w:val="25"/>
                <w:szCs w:val="25"/>
              </w:rPr>
              <w:br/>
              <w:t>odporúčame nahradiť slová „získavať kopírovaním, skenovaním alebo iným zaznamenávaním osobné údaje, ako aj ďalšie údaje z úradných dokladov alebo iných dokladov“ slovami „spracúvať osobné údaje, ako aj ďalšie údaje z úradných dokladov alebo iných dokladov“. Zvyšok vety navrhujeme vypustiť, okrem odkazu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 xml:space="preserve">čl. I bod 21 v § 14c </w:t>
            </w:r>
            <w:r>
              <w:rPr>
                <w:rFonts w:ascii="Times" w:hAnsi="Times" w:cs="Times"/>
                <w:sz w:val="25"/>
                <w:szCs w:val="25"/>
              </w:rPr>
              <w:br/>
              <w:t>odporúčame nahradiť slovo „víza“ slovom „víz“.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V zmysle Legislatívnych pravidiel vlády SR je použité podstatné meno v jednotnom čísle.</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čl. I bod 5 v § 4 ods. 9, druhá veta</w:t>
            </w:r>
            <w:r>
              <w:rPr>
                <w:rFonts w:ascii="Times" w:hAnsi="Times" w:cs="Times"/>
                <w:sz w:val="25"/>
                <w:szCs w:val="25"/>
              </w:rPr>
              <w:br/>
              <w:t>odporúčame nahradiť spojenie „...bez dostatočných finančných prostriedkov na cestu a pobyt. Toto neplatí ...“ slovami „„...bez dostatočných finančných prostriedkov na cestu a pobyt; to neplatí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 xml:space="preserve">čl. I bod 5 v § 4 ods. 10 </w:t>
            </w:r>
            <w:r>
              <w:rPr>
                <w:rFonts w:ascii="Times" w:hAnsi="Times" w:cs="Times"/>
                <w:sz w:val="25"/>
                <w:szCs w:val="25"/>
              </w:rPr>
              <w:br/>
              <w:t>odporúčame nahradiť spojenie „ktorá predstavuje“ slovami „ktorou 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čl. I bode 21 v § 14g ods. 4</w:t>
            </w:r>
            <w:r>
              <w:rPr>
                <w:rFonts w:ascii="Times" w:hAnsi="Times" w:cs="Times"/>
                <w:sz w:val="25"/>
                <w:szCs w:val="25"/>
              </w:rPr>
              <w:br/>
              <w:t xml:space="preserve">odporúčame pre duplicitu vypustiť celé ustanovenie pod písm. g).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Ustanovenie písm. g) považujeme za potrebné aj vzhľadom na transpozíciu smernice.</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 xml:space="preserve">čl. I bode 23 v § 15c </w:t>
            </w:r>
            <w:r>
              <w:rPr>
                <w:rFonts w:ascii="Times" w:hAnsi="Times" w:cs="Times"/>
                <w:sz w:val="25"/>
                <w:szCs w:val="25"/>
              </w:rPr>
              <w:br/>
            </w:r>
            <w:r>
              <w:rPr>
                <w:rFonts w:ascii="Times" w:hAnsi="Times" w:cs="Times"/>
                <w:sz w:val="25"/>
                <w:szCs w:val="25"/>
              </w:rPr>
              <w:lastRenderedPageBreak/>
              <w:t xml:space="preserve">odporúčame preformulovať celé ustanovenie ods. 1. a ods.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Pripomienka nejasná.</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 xml:space="preserve">čl. I bode 43 § 26c </w:t>
            </w:r>
            <w:r>
              <w:rPr>
                <w:rFonts w:ascii="Times" w:hAnsi="Times" w:cs="Times"/>
                <w:sz w:val="25"/>
                <w:szCs w:val="25"/>
              </w:rPr>
              <w:br/>
              <w:t>odporúčame preformulovať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Pripomienka nejasná.</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 xml:space="preserve">čl. I bode 43 § 26d </w:t>
            </w:r>
            <w:r>
              <w:rPr>
                <w:rFonts w:ascii="Times" w:hAnsi="Times" w:cs="Times"/>
                <w:sz w:val="25"/>
                <w:szCs w:val="25"/>
              </w:rPr>
              <w:br/>
              <w:t>odporúčame preformulovať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Pripomienka nejasná.</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 xml:space="preserve">čl. I bode 43 § 26e </w:t>
            </w:r>
            <w:r>
              <w:rPr>
                <w:rFonts w:ascii="Times" w:hAnsi="Times" w:cs="Times"/>
                <w:sz w:val="25"/>
                <w:szCs w:val="25"/>
              </w:rPr>
              <w:br/>
              <w:t>odporúčame preformulovať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Pripomienka nejasná.</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 xml:space="preserve">čl. I bode 43 § 26a </w:t>
            </w:r>
            <w:r>
              <w:rPr>
                <w:rFonts w:ascii="Times" w:hAnsi="Times" w:cs="Times"/>
                <w:sz w:val="25"/>
                <w:szCs w:val="25"/>
              </w:rPr>
              <w:br/>
              <w:t xml:space="preserve">odporúčame preformulovať prvú časť vety.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Pripomienka nejasná.</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 xml:space="preserve">čl. I bode 21 v § 14f </w:t>
            </w:r>
            <w:r>
              <w:rPr>
                <w:rFonts w:ascii="Times" w:hAnsi="Times" w:cs="Times"/>
                <w:sz w:val="25"/>
                <w:szCs w:val="25"/>
              </w:rPr>
              <w:br/>
              <w:t xml:space="preserve">odporúčame za písm. b) zaradiť nové ustanovenie „poskytuje konzulárnu ochranu podľa § 14h ods. 10“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 14 f tvorí vypočeť konzulárnych funkcií, ktoré vykonáva príslušný útvar ministerstva. Konzulárne činnosti sú delené na konzulárne funkcie a konzulárnu ochranu, ktorá je upravená ďalej v návrhu zákona ( § 14g až 14i).</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čl. I bode 21 v § 14f ods. 1</w:t>
            </w:r>
            <w:r>
              <w:rPr>
                <w:rFonts w:ascii="Times" w:hAnsi="Times" w:cs="Times"/>
                <w:sz w:val="25"/>
                <w:szCs w:val="25"/>
              </w:rPr>
              <w:br/>
              <w:t xml:space="preserve">odporúčame zameniť poradie uvádzané pod písm. a) a b). Domnievame sa, že v ustanovení §14f ods. 1 písm. a) by malo byť výslovne vyjadrené, že príslušný útvar ministerstva je odvolacím orgánom v konaní o udelení víza podľa § 14c písm. a), ak o udelení víza rozhodla diplomatická misia alebo konzulárny úrad.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Navrhované znenie považujeme za správne a zrozumiteľné.</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čl. I bode 21 v § 14e ods. 2 a v ďalšom texte</w:t>
            </w:r>
            <w:r>
              <w:rPr>
                <w:rFonts w:ascii="Times" w:hAnsi="Times" w:cs="Times"/>
                <w:sz w:val="25"/>
                <w:szCs w:val="25"/>
              </w:rPr>
              <w:br/>
              <w:t>odporúčame zjednotiť terminológiu pri používaní slov „nálepka“ a „samolepka“.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je potrebné zosúladiť s prílohou č. 1 Legislatívnych pravidiel vlády SR (ďalej len „príloha LPV“) (napríklad názov právneho predpisu zosúladiť s bodom 18 prílohy LPV, v čl. I označenie čl. I presunúť nad úvodnú vetu článku, body 2 a 3, 24, 25, 27, 31, 33 a 35 zosúladiť s bodom 38 prílohy LPV, v celom texte návrhu slovo „najmä“ vypustiť alebo nahradiť iným vhodným výrazom, v bode 15 a bode 21 § 14h ods. 7 slová „s výnimkou“ nahradiť slovom „okrem“, v bode 21 § 14a ods. 2 a § 14g ods. 4 vypustiť dvojbodku, v bode 43 úvodnej vete slovo „paragrafy“ nahradiť označením „§“ a paragrafovú značku doplniť aj medzi prvé úvodzovky a slovo „26a“, v bode 48 v prílohách 1 a 3 uviesť vysvetlivky k skratkám, čl. II zosúladiť s bodom 64.1 prílohy LPV).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 xml:space="preserve">1. A, 2. A, 3. N - legislatívne pravidlá takúto možnosť nevylučujú, 4. N - v niektorých prípadoch je potrebné uviesť "najmä" a to aj vzhľadom na pripomienky iných subjektov., 5. A, 6. A, 7. A, 8. N - ide o vzor pečiatky, 9. A </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1. Žiadam do dôvodovej správy a Analýzy vplyvov na rozpočet verejnej správy, na zamestnanosť vo verejnej správe a financovanie návrhu doplniť a odôvodniť návrh na zvýšenie platových taríf pre štátnych zamestnancov dočasne vyslaných podľa osobitného predpisu na úroveň platových taríf štátnych zamestnancov platných od 1. júna 2017 (nariadenie vlády SR č. 108/2017 Z. z., ktorým sa ustanovujú zvýšené platové tarify štátnych zamestnancov).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Rozpor odstránený. MF SR vzalo pripomienku späť na rozporovom konaní dňa 15.8.2017 nakoľko časti návrhu dotknuté predmetnou pripomienkou boli predkladateľom z návrhu vypustené.</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2. V analýze vplyvov na rozpočet verejnej správy, na zamestnanosť vo verejnej správe a financovanie návrhu žiadam a) doplniť, že navrhovaná úprava zvýšenia platových taríf nebude mať za oblasť zamestnanosti žiadny vplyv na platy štátnych zamestnancov v cudzine, b) vzhľadom na to, že zvýšenie platových taríf štátnych zamestnancov v cudzine ovplyvní stanovenie platových koeficientov, čo sa prejaví na platoch zamestnancov vykonávajúcich práce vo verejnom záujme v cudzine v jednotlivých kapitolách štátneho rozpočtu, kvantifikovať vplyv návrhu na jednotlivé kapitoly štátneho rozpočtu.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Rozpor odstránený. MF SR vzalo pripomienku späť na rozporovom konaní dňa 15.8.2017 nakoľko časti návrhu dotknuté predmetnou pripomienkou boli predkladateľom z návrhu vypustené.</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 xml:space="preserve">Čl. I bod 43 </w:t>
            </w:r>
            <w:r>
              <w:rPr>
                <w:rFonts w:ascii="Times" w:hAnsi="Times" w:cs="Times"/>
                <w:sz w:val="25"/>
                <w:szCs w:val="25"/>
              </w:rPr>
              <w:br/>
              <w:t xml:space="preserve">1. V úvodnej vete bodu 43 odporúčame nahradiť slová "paragrafy 26a až 26f" slovami "§ 26a až 26g". 2. Pri poznámke pod čiarou k odkazu 21g upozorňujeme na bod 55. v prílohe č. 1 k Legislatívnym pravidlám vlády SR (§ 56 a nasl.). 3. Na konci novelizačného bodu odporúčame doplniť úvodzovky a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 xml:space="preserve">Čl. I bod 10 </w:t>
            </w:r>
            <w:r>
              <w:rPr>
                <w:rFonts w:ascii="Times" w:hAnsi="Times" w:cs="Times"/>
                <w:sz w:val="25"/>
                <w:szCs w:val="25"/>
              </w:rPr>
              <w:br/>
              <w:t xml:space="preserve">Bodku za slovom "predpisu" odporúčame nahradiť čiarkou.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 xml:space="preserve">Čl. II </w:t>
            </w:r>
            <w:r>
              <w:rPr>
                <w:rFonts w:ascii="Times" w:hAnsi="Times" w:cs="Times"/>
                <w:sz w:val="25"/>
                <w:szCs w:val="25"/>
              </w:rPr>
              <w:br/>
              <w:t xml:space="preserve">Čl. II odporúčame upraviť v súlade s bodom 64.1. v prílohe č. 1 k Legislatívnym pravidlám vlády SR. Je potrebné uviesť, ktoré novelizačné body čl. I alebo ich časti nadobúdajú odchylnú účinnosť.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Zákon po úprave predkladateľom nadobudne účinnosť v jeden deň.</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 xml:space="preserve">Čl. I bod 46 </w:t>
            </w:r>
            <w:r>
              <w:rPr>
                <w:rFonts w:ascii="Times" w:hAnsi="Times" w:cs="Times"/>
                <w:sz w:val="25"/>
                <w:szCs w:val="25"/>
              </w:rPr>
              <w:br/>
              <w:t xml:space="preserve">Odkaz 21m odporúčame označiť ako odkaz 23, odkaz 24a ako odkaz 25 a odkaz 24b ako odkaz 25a. To platí aj pre poznámky pod čiarou. Vetu "Poznámky pod čiarou k odkazom 23 a 25 sa vypúšťajú." odporúčame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Čl. I body 40 a 41</w:t>
            </w:r>
            <w:r>
              <w:rPr>
                <w:rFonts w:ascii="Times" w:hAnsi="Times" w:cs="Times"/>
                <w:sz w:val="25"/>
                <w:szCs w:val="25"/>
              </w:rPr>
              <w:br/>
              <w:t xml:space="preserve">Slovo "takéto" odporúčame vypustiť a za slová "mimo činnej štátnej služby" vložiť slová "podľa odseku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 xml:space="preserve">Čl. I bod 8 </w:t>
            </w:r>
            <w:r>
              <w:rPr>
                <w:rFonts w:ascii="Times" w:hAnsi="Times" w:cs="Times"/>
                <w:sz w:val="25"/>
                <w:szCs w:val="25"/>
              </w:rPr>
              <w:br/>
              <w:t xml:space="preserve">V odseku 4 odporúčame vypustiť slová "Slovenskej republiky" vzhľadom na čl. I bod 5 § 4 ods. 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 xml:space="preserve">Čl. I bod 48 </w:t>
            </w:r>
            <w:r>
              <w:rPr>
                <w:rFonts w:ascii="Times" w:hAnsi="Times" w:cs="Times"/>
                <w:sz w:val="25"/>
                <w:szCs w:val="25"/>
              </w:rPr>
              <w:br/>
              <w:t xml:space="preserve">V prílohe č. 2 časti A. odporúčame doplniť do vzoru osvedčovacej doložky položku "Poplatok".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Z časti B bolo vypustené písm. c) týkajúce sa správneho poplatku.</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 xml:space="preserve">Čl. I bod 49 </w:t>
            </w:r>
            <w:r>
              <w:rPr>
                <w:rFonts w:ascii="Times" w:hAnsi="Times" w:cs="Times"/>
                <w:sz w:val="25"/>
                <w:szCs w:val="25"/>
              </w:rPr>
              <w:br/>
              <w:t xml:space="preserve">V prílohe č. 3 časti B. odporúčame upraviť vetu "Všetky sumy v mojom mene...", pretože je nezrozumiteľná a slová "na sprevádzali" nahradiť slovami "ma sprevádzali".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 xml:space="preserve">Čl. I bod 23 </w:t>
            </w:r>
            <w:r>
              <w:rPr>
                <w:rFonts w:ascii="Times" w:hAnsi="Times" w:cs="Times"/>
                <w:sz w:val="25"/>
                <w:szCs w:val="25"/>
              </w:rPr>
              <w:br/>
              <w:t xml:space="preserve">Vo vete "Poznámky pod čiarou k odkazom 13 a 15 sa vypúšťajú." odporúčame nahradiť slová "13 a 15" slovami "13 až 15", pretože sa vypúšťa aj poznámka č. 14. Súčasne odporúčame túto vetu presunúť do novelizačného bodu 22.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 xml:space="preserve">Čl. I bod 30 </w:t>
            </w:r>
            <w:r>
              <w:rPr>
                <w:rFonts w:ascii="Times" w:hAnsi="Times" w:cs="Times"/>
                <w:sz w:val="25"/>
                <w:szCs w:val="25"/>
              </w:rPr>
              <w:br/>
              <w:t xml:space="preserve">Z dôvodu prečíslovania doterajších odsekov 3 až 6 § 21 odporúčame v novo označenom odseku 6 (predtým odsek 5) nahradiť slová "odseku 3" slovami "odseku 4" (dvakrát).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Čl. I bodu 43</w:t>
            </w:r>
            <w:r>
              <w:rPr>
                <w:rFonts w:ascii="Times" w:hAnsi="Times" w:cs="Times"/>
                <w:sz w:val="25"/>
                <w:szCs w:val="25"/>
              </w:rPr>
              <w:br/>
              <w:t xml:space="preserve">Ustanovenia § 26d a 26f žiadame upraviť v súlade s princípmi štátnej služby podľa zákona č. 55/2017 Z. z. Túto pripomienku považuje Ministerstvo obrany Slovenskej republiky za zásadnú. Odôvodnenie: V ustanovení § 26d sa uvádza, že štátnozamestnanecké miesto, na ktorom vykonával štátnu službu štátny zamestnanec pred dočasným preložením sa považuje za voľné. Uvedené ustanovenie v spojení s § 26f je v rozpore nielen s princípmi štátnej služby (princíp stability, princíp zákonnosti), zákonom č. 55/2017 Z. z., ale podľa nášho názoru aj v rozpore s čl. 36 Ústavy SR, nakoľko absentuje výpovedný dôvod. Zákon č. 55/2017 Z. z. uvádza taxatívne vymedzené výpovedné dôvody, pre ktoré môže dať služobný úrad štátnemu zamestnancovi výpoveď. Podľa Čl. 8 zákona č. 55/2017 Z. z. je štátny zamestnanec chránený pred skončením štátnozamestnaneckého pomeru z iných ako zákonom ustanovených dôvodov a ako uvádza dôvodová správa k predmetnému zákonu, princíp stability zaručuje ochranu štátneho zamestnanca pred prepustením z iných ako zákonom ustanovených dôvodov. Podľa článku 36 písm. b) Ústavy SR zamestnanci majú právo na spravodlivé a uspokojujúce pracovné podmienky a okrem iného právo na ochranu proti svojvoľnému prepúšťaniu zo zamestnania a diskriminácii v zamestnaní. Navrhované ustanovenie § 26d </w:t>
            </w:r>
            <w:r>
              <w:rPr>
                <w:rFonts w:ascii="Times" w:hAnsi="Times" w:cs="Times"/>
                <w:sz w:val="25"/>
                <w:szCs w:val="25"/>
              </w:rPr>
              <w:lastRenderedPageBreak/>
              <w:t>ods. 2 tiež upravuje len zaradenie štátneho zamestnanca vykonávajúceho štátnu službu v služobnom úrade po uplynutí doby dočasného preloženia. Absentuje úprava postupu v prípade skončenia dočasného preloženia do iného služobného úradu. Takto koncipované ustanovenie je v rozpore nielen s princípom stability ale aj s princípom rovnakého zaobchádzania a zákazom diskriminácie (§ 4 ods. 1 zákona č. 55/2017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Rozpor odstránený. MO SR preklasifikovalo pripomienku na obyčajnú po odôvodnení MZVaEZ SR na rozporovom konaní 8.8.2017. Navrhovaná úprava sa vzťahu len na zaraďovanie štátnych zamestnancov v služobnom úrade, ktorým je MZVaEZ SR.</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Čl. I bodu 23</w:t>
            </w:r>
            <w:r>
              <w:rPr>
                <w:rFonts w:ascii="Times" w:hAnsi="Times" w:cs="Times"/>
                <w:sz w:val="25"/>
                <w:szCs w:val="25"/>
              </w:rPr>
              <w:br/>
              <w:t xml:space="preserve">Ustanovenie § 15b ods. 2 žiadame upraviť tak, aby bola príprava pred začatím vykonávania zahraničnej služby realizovateľná vo všetkých prípadoch. Túto pripomienku považuje Ministerstvo obrany Slovenskej republiky za zásadnú. Odôvodnenie: Podľa dôvodovej správy k návrhu zákona, „z aplikačnej praxe vystala potreba dočasného obsadzovania týchto štátnozamestnaneckých miest aj odborníkmi dočasne potrebnými na plnenie úloh štátnej služby alebo občanmi uchádzajúcimi sa o prijatie do dočasnej zahraničnej služby z dôvodu zastupovania štátneho zamestnanca v zahraničnej službe.....bez potreby vykonávania štátnej služby na štátnozamestnaneckom mieste s pravidelným miestom výkonu štátnej služby na území Slovenskej republiky“. V uvedených prípadoch vznikne štátnozamestnanecký pomer dňom, ktorý je totožný s dňom začatia vykonávania zahraničnej služby a preto nebude možné v súlade so zákonom č. 55/2017 Z. z. realizovať kontinuálne vzdelávanie, ktoré je súčasťou vykonávania štátnej služby a predstavuje systematický proces poskytovania a získavania vedomostí a poznatkov, udržiavania, zdokonaľovania a dopĺňania zručností, schopností, návykov a </w:t>
            </w:r>
            <w:r>
              <w:rPr>
                <w:rFonts w:ascii="Times" w:hAnsi="Times" w:cs="Times"/>
                <w:sz w:val="25"/>
                <w:szCs w:val="25"/>
              </w:rPr>
              <w:lastRenderedPageBreak/>
              <w:t>skúseností, ktoré štátny zamestnanec potrebuje na výkon štátnej služby (§ 162 zákona č. 55/2017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Rozpor odstránený. Predkladateľ doplnil návrh zákona nasledovne: V § 15b ods. 1 sa slová „; to sa primerane vzťahuje aj na zamestnanca podľa § 15“ vypustili bez náhrady. Na konci § 15b ods. 1 sa vložila nová veta, ktorá znie: „Štátny zamestnanec vykonávajúci zahraničnú službu v dočasnej štátnej službe podľa § 15 absolvuje primerane prípravu podľa odseku 2 bezodkladne po vzniku štátnozamestnaneckého pomeru.“.</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Čl. I bodu 23</w:t>
            </w:r>
            <w:r>
              <w:rPr>
                <w:rFonts w:ascii="Times" w:hAnsi="Times" w:cs="Times"/>
                <w:sz w:val="25"/>
                <w:szCs w:val="25"/>
              </w:rPr>
              <w:br/>
              <w:t xml:space="preserve">Ustanovenie § 15b ods. 4 žiadame upraviť v súlade s návrhom zákona tak, aby bolo v praxi realizovateľné. Túto pripomienku považuje Ministerstvo obrany Slovenskej republiky za zásadnú. Odôvodnenie: Návrhom zákona sa ustanovuje možnosť dočasne obsadiť štátnozamestnanecké miesta v zahraničí napr. občanmi uchádzajúcimi sa o dočasné vykonávanie štátnej služby bez potreby vykonávania štátnej služby na štátnozamestnaneckom mieste s pravidelným miestom výkonu štátnej služby na území Slovenskej republiky. Z uvedeného vyplýva, že štátnozamestnanecký pomer vznikne dňom, ktorý je totožný s dňom začatia vykonávania zahraničnej služby a preto nebude realizovateľné poskytnutie služobného voľna alebo pracovného voľna na vybavenie dôležitých osobných, rodinných alebo majetkových vecí v súvislosti s dočasným vyslaním alebo výkonom práce vo verejnom záujme v zahraničí. Ak by sa uvedené uplatňovalo napr. prostredníctvom inštitútu služobnej, resp. pracovnej cesty, domnievame sa, že by to bolo obchádzaním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Rozpor odstránený. MO SR odstúpilo od pripomienky na rozporovom konaní 8.8.2017.</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Čl. I bodu 8</w:t>
            </w:r>
            <w:r>
              <w:rPr>
                <w:rFonts w:ascii="Times" w:hAnsi="Times" w:cs="Times"/>
                <w:sz w:val="25"/>
                <w:szCs w:val="25"/>
              </w:rPr>
              <w:br/>
              <w:t xml:space="preserve">Ustanovenie § 4 ods. 4 odporúčame upraviť v súlade so zákonom č. 122/2013 Z. z. o ochrane osobných údajov a o zmene a doplnení niektorých zákonov v znení neskorších predpisov. V odseku 4 odporúčame spresniť účel spracúvania osobných </w:t>
            </w:r>
            <w:r>
              <w:rPr>
                <w:rFonts w:ascii="Times" w:hAnsi="Times" w:cs="Times"/>
                <w:sz w:val="25"/>
                <w:szCs w:val="25"/>
              </w:rPr>
              <w:lastRenderedPageBreak/>
              <w:t>údajov, okruh dotknutých osôb a zoznam osobných údajov.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Nejasná pripomienka.</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Čl. I bodu 21</w:t>
            </w:r>
            <w:r>
              <w:rPr>
                <w:rFonts w:ascii="Times" w:hAnsi="Times" w:cs="Times"/>
                <w:sz w:val="25"/>
                <w:szCs w:val="25"/>
              </w:rPr>
              <w:br/>
              <w:t>V § 14e ods. 1 písm. c) odporúčame slová „pre účely“ nahradiť slovami „na účely“. V § 14f ods. 2 odporúčame slová „Zamestnanec príslušného útvaru ministerstva pripojí osvedčovaciu doložku“ nahradiť slovami „Osvedčovacia doložka sa pripojí“. V § 14h ods. 7 odporúčame slová „s výnimkou“ nahradiť slovom „okrem“. V § 14i odporúčame slová „pre splnenie“ nahradiť slovami „na splnenie“. V poznámke pod čiarou k odkazu 12b odporúčame doplniť ďalšie právne predpisy, alebo použiť odkaz 9. V poznámkach pod čiarou k odkazom 12d až 12g odporúčame uviesť konkrétne ustanovenia citovaných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1. A, 2. N - trpný rod považujeme za nežiadúci spôsob vyjadrenia činnosti zamestnanca a využívame ho len v nevyhnutných prípadoch, 3. A, 4. A, 5. Uvedené znenia poznámok pod čiarou k jednotlivým odkazom považujeme z obsahovej, ako aj z formálnej stránky za dostatočne jasné a presné.</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Čl. I bodu 5</w:t>
            </w:r>
            <w:r>
              <w:rPr>
                <w:rFonts w:ascii="Times" w:hAnsi="Times" w:cs="Times"/>
                <w:sz w:val="25"/>
                <w:szCs w:val="25"/>
              </w:rPr>
              <w:br/>
              <w:t xml:space="preserve">V § 4 ods. 10 odporúčame za slovo „spôsobená“ vložiť slovo „najmä“ a slová „a podobne“ odporúčame z dôvodu nadbytočnosti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Čl. I bodu 48</w:t>
            </w:r>
            <w:r>
              <w:rPr>
                <w:rFonts w:ascii="Times" w:hAnsi="Times" w:cs="Times"/>
                <w:sz w:val="25"/>
                <w:szCs w:val="25"/>
              </w:rPr>
              <w:br/>
              <w:t>V nadpise prílohy č. 2 odporúčame predložku „s“ nahradiť spojkou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návrhu zákona odporúčame slová „príslušný organizačný útvar ministerstva“ a slová „príslušný útvar ministerstva“ nahradiť slovom „ministerstvo“.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 xml:space="preserve">Používanie navrhnutého označenia a legislatívnej skratky je potrebné vzhľadom na skutočnosť, že legislatívna skratka ministerstvo zahŕňa aj diplomatické misie a </w:t>
            </w:r>
            <w:r>
              <w:rPr>
                <w:rFonts w:ascii="Times" w:hAnsi="Times" w:cs="Times"/>
                <w:sz w:val="25"/>
                <w:szCs w:val="25"/>
              </w:rPr>
              <w:lastRenderedPageBreak/>
              <w:t>konzulárne úrady. Ustanovenie bolo z dôvodu jeho spresnenia upravené na základe pripomienky iného subjektu.</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Čl. I bodu 15</w:t>
            </w:r>
            <w:r>
              <w:rPr>
                <w:rFonts w:ascii="Times" w:hAnsi="Times" w:cs="Times"/>
                <w:sz w:val="25"/>
                <w:szCs w:val="25"/>
              </w:rPr>
              <w:br/>
              <w:t>V odseku 3 odporúčame slová „s výnimkou“ nahradiť slovom „okrem“.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Čl. I bodu 3</w:t>
            </w:r>
            <w:r>
              <w:rPr>
                <w:rFonts w:ascii="Times" w:hAnsi="Times" w:cs="Times"/>
                <w:sz w:val="25"/>
                <w:szCs w:val="25"/>
              </w:rPr>
              <w:br/>
              <w:t xml:space="preserve">V poznámke pod čiarou k odkazu 2 odporúčame uviesť konkrétne ustanovenia zákona č. 55/2017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Vzhľadom na všeobecnú povahu princípov nepovažujeme za potrebné konkretizovať poznámku pod čiarou k odkazu 2.</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Čl. I bodu 23</w:t>
            </w:r>
            <w:r>
              <w:rPr>
                <w:rFonts w:ascii="Times" w:hAnsi="Times" w:cs="Times"/>
                <w:sz w:val="25"/>
                <w:szCs w:val="25"/>
              </w:rPr>
              <w:br/>
              <w:t xml:space="preserve">V úvodnej vete § 15a žiadame vypustiť slovo „najmä“ a na konci § 15a žiadame doplniť možnosť prijatia do dočasnej štátnej služby aj nadbytočného štátneho zamestnanca. Túto pripomienku považuje Ministerstvo obrany Slovenskej republiky za zásadnú. Odôvodnenie: Zákonom č. 55/2017 Z. z o štátnej službe a o zmene a doplnení niektorých zákonov (ďalej len zákon č. 55/2017 Z. z.) bola zavedená úprava obsadzovania štátnozamestnaneckých miest. Zároveň, ako uvádza dôvodová správa k zákonu č. 55/2017 Z. z. inštitút nadbytočného štátneho zamestnanca sa vzťahuje na tých zamestnancov, ktorí boli prepustení z dôvodu zníženia počtu miest a majú právo uchádzať sa o prijatie do štátnej služby prostredníctvom vnútorného výberového konania, čím je umocnený princíp stability. Navrhovaná právna úprava prijímania osôb do zahraničnej služby v dočasnej štátnej službe vytvára problémy pre vstup do </w:t>
            </w:r>
            <w:r>
              <w:rPr>
                <w:rFonts w:ascii="Times" w:hAnsi="Times" w:cs="Times"/>
                <w:sz w:val="25"/>
                <w:szCs w:val="25"/>
              </w:rPr>
              <w:lastRenderedPageBreak/>
              <w:t>takejto štátnej služby. Podľa ustanovenia § 40 ods. 4 zákona č. 55/2017 Z. z. sa štátnozamestnanecké miesto obsadzuje najskôr na základe vnútorného výberového konania, do ktorého majú prístup len štátni zamestnanci. Ak je neúspešné, služobný úrad vyhlasuje vonkajšie výberové konanie. Z tohto dôvodu žiadame zmeniť proces prijímania osôb do zahraničnej služby v dočasnej štátnej služby tak, aby sa takéto štátnozamestnanecké miesto obsadzovalo prioritne na základe vonkajšieho výberového konania.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Rozpor odstránený. MO SR preklasifikovalo pripomienku na obyčajnú. V prvej časti pripomienky týkajúcej sa vypustenia slova "najmä" MZVaEZ SR akceptovalo pripomienku MO SR. Druhú časť pripomienky MO SR vzalo späť.</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Čl. I bodu 5</w:t>
            </w:r>
            <w:r>
              <w:rPr>
                <w:rFonts w:ascii="Times" w:hAnsi="Times" w:cs="Times"/>
                <w:sz w:val="25"/>
                <w:szCs w:val="25"/>
              </w:rPr>
              <w:br/>
              <w:t>Vzhľadom na pripomienku k bodu 3 odporúčame odkaz 2 nahradiť novým odkazom 2a a v poznámke pod čiarou k odkazu 2a odporúčame uviesť tento text: „2a) Zákon č. 55/2017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Nie je potrebné vytvárať nový odkaz vzhľadom na vyhodnotenie pripomienky MO SR k čl. I bodu 3.</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Čl. I bodu 23</w:t>
            </w:r>
            <w:r>
              <w:rPr>
                <w:rFonts w:ascii="Times" w:hAnsi="Times" w:cs="Times"/>
                <w:sz w:val="25"/>
                <w:szCs w:val="25"/>
              </w:rPr>
              <w:br/>
              <w:t xml:space="preserve">Znenie § 15c žiadame vypustiť. Túto pripomienku považuje Ministerstvo obrany Slovenskej republiky za zásadnú. Odôvodnenie: V ustanovení § 15c ods. 1 je uvedený dôvod, ktorý v zákone č. 55/2017 Z. z. absentuje, pričom v praxi uvedená situácia nastáva a predchádzajúca právna úprava zákona o štátnej službe túto situáciu upravovala. Žiadame, aby uvedené ustanovenie bolo riešené priamo ako novela zákona č. 55/2017 Z. z. a aby sa uvedený dôvod na zastupovanie riešil systémovo a uplatňoval sa na všetkých štátnych zamestnancov. Zároveň žiadame vypustiť ustanovenie odseku 2 z dôvodu, že štátny zamestnanec poverený na zastupovanie vedúceho zamestnanca naďalej plní povinnosti, ktoré mu vyplývajú z opisu jeho štátnozamestnaneckého miesta a súčasne plní aj povinnosti </w:t>
            </w:r>
            <w:r>
              <w:rPr>
                <w:rFonts w:ascii="Times" w:hAnsi="Times" w:cs="Times"/>
                <w:sz w:val="25"/>
                <w:szCs w:val="25"/>
              </w:rPr>
              <w:lastRenderedPageBreak/>
              <w:t>vedúceho zamestnanca, ktorého zastupuje, alebo ktorého funkciu vykonáva na základe poverenia. To znamená, že vykonáva riadiacu činnosť zo svojho štátnozamestnaneckého miesta bez preloženia a preto z dôvodu zabránenia neúmernej záťaže pre štátneho zamestnanca, žiadame ponechať obmedzenie trvania zastupovania po dobu najviac šesť po sebe nasledujúcich mesiacov.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Rozpor odstránený. MO SR odstúpilo od pripomienky na rozporovom konaní 8.8.2017.</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Čl. I bodu 37</w:t>
            </w:r>
            <w:r>
              <w:rPr>
                <w:rFonts w:ascii="Times" w:hAnsi="Times" w:cs="Times"/>
                <w:sz w:val="25"/>
                <w:szCs w:val="25"/>
              </w:rPr>
              <w:br/>
              <w:t>Znenie novelizačného bodu odporúčame upraviť v súlade s prílohou č. 1 k Legislatívnym pravidlám vlády Slovenskej republiky (bod 39.1.).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Odkaz je spracovaný v súlade s bodom 39.1. Legislatívnych pravidiel vlády SR.</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novému novelizačnému bodu</w:t>
            </w:r>
            <w:r>
              <w:rPr>
                <w:rFonts w:ascii="Times" w:hAnsi="Times" w:cs="Times"/>
                <w:sz w:val="25"/>
                <w:szCs w:val="25"/>
              </w:rPr>
              <w:br/>
              <w:t xml:space="preserve">Navrhujeme vložiť nový novelizačný bod „30. V § 21 ods. 1 sa za slová „štátny zamestnanec“ vkladá slovo „ministerstva“. Zdôvodnenie: § 15 návrhu zákona(zahraničná služba v dočasnej štátnej službe) sa týka aj zamestnancov iných rezortov (napr. MO SR, MPRV SR, MF SR ...), ktorí sú preložení na ZÚ SR v zahraničí. Podľa § 21 by navyše mali byť takíto zamestnanci, nominovaní kmeňovým ústredným orgánom štátnej správy, prejsť po adaptačnom vzdelávaní ešte aj odbornou skúškou. Podľa nášho názoru musí takýto pracovník ovládať svoju sektorovú oblasť a čo je posudzované vysielajúcim rezortom. V niektorých prípadoch môže byť daný zamestnanec plne financovaný rozpočtom vysielajúceho ministerstva a aj keď bude pôsobiť na zastupiteľskom úrade, nemal by prechádzať ešte iným schvaľovacím procesom. Navyše v prípade dočasného preloženia pracovníka do medzinárodnej organizácie (napr. do EK) by </w:t>
            </w:r>
            <w:r>
              <w:rPr>
                <w:rFonts w:ascii="Times" w:hAnsi="Times" w:cs="Times"/>
                <w:sz w:val="25"/>
                <w:szCs w:val="25"/>
              </w:rPr>
              <w:lastRenderedPageBreak/>
              <w:t xml:space="preserve">takýto pracovník mal po schválení prijímacou medzinárodnou organizáciou ešte prejsť odbornou skúškou na MZVaEZ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 xml:space="preserve">Rozpor bol odstránený na rozporovom konaní dňa 14. 8. 2017 s tým, že predmetné ustanovenie sa vzťahuje len na štátnych zamestnancov v služobnom úrade, ktorým je MZVaEZ SR a nevzťahuje sa na štátnych zamestnancov v iných služobných úradoch. </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čl. I bodu 38</w:t>
            </w:r>
            <w:r>
              <w:rPr>
                <w:rFonts w:ascii="Times" w:hAnsi="Times" w:cs="Times"/>
                <w:sz w:val="25"/>
                <w:szCs w:val="25"/>
              </w:rPr>
              <w:br/>
              <w:t xml:space="preserve">Odporúčame predkladateľovi v čl. I bode 38 zvážiť doplnenie špecifikácie výdavkov, ktoré sa podľa § 24 ods. 3 zákona č. 151/2010 Z. z. o zahraničnej službe poskytujú štátnemu zamestnancovi pri vykonávaní funkcie v orgáne verejnej moci iného štátu alebo v medzinárodnej organizácii, s prihliadnutím napr. na formu a spôsob realizácie vyslania štátneho zamestnanca na vykonávanie tejto funkcie. Odôvodnenie: Spresnenie textu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Nepovažujeme za potrebné doplniť osobitnú špecifikáciu výdavkov pre § 24, nakoľko aj tu platí všeobecná úprava pre cestovné náhrady poskytované pri dočasnom vyslaní.</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čl. I bode 11</w:t>
            </w:r>
            <w:r>
              <w:rPr>
                <w:rFonts w:ascii="Times" w:hAnsi="Times" w:cs="Times"/>
                <w:sz w:val="25"/>
                <w:szCs w:val="25"/>
              </w:rPr>
              <w:br/>
              <w:t xml:space="preserve">Odporúčame v čl. I bode 11 pred slová „rozvojovej pomoci8)“ vložiť slovo „oficiálnej“. Odôvodnenie: Legislatívno-technická pripomienka. Poznámka pod čiarou k odkazu 8 cituje zákon č. 392/2015 Z. z., ktorý upravuje rozvojovú spoluprácu, zákon č. 617/2007 Z. z. upravuje oficiálnu rozvojovú pomoc.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Predkladateľ upravil znenie ustanovenia v zmysle platnej právnej úpravy.</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článku I bodu 21</w:t>
            </w:r>
            <w:r>
              <w:rPr>
                <w:rFonts w:ascii="Times" w:hAnsi="Times" w:cs="Times"/>
                <w:sz w:val="25"/>
                <w:szCs w:val="25"/>
              </w:rPr>
              <w:br/>
              <w:t xml:space="preserve">Odporúčame v čl. I bode 21 navrhovanom § 14e ods. 3 a § 14f ods. 3 zjednotiť znenie predvetí. Zároveň odporúčame v navrhovanom § 14e ods. 3 a § 14f ods. 3 znenie písmena c) nahradiť znením: „c) tlačeného textu.“. Odôvodnenie: Nie je zrejmý dôvod pre rozdiel v navrhovanom znení, pokiaľ ide o povinnosť v § 14e či možnosť v § 14f vystaviť osvedčovaciu doložku v konkrétnej forme. Účelom druhej časti pripomienky je </w:t>
            </w:r>
            <w:r>
              <w:rPr>
                <w:rFonts w:ascii="Times" w:hAnsi="Times" w:cs="Times"/>
                <w:sz w:val="25"/>
                <w:szCs w:val="25"/>
              </w:rPr>
              <w:lastRenderedPageBreak/>
              <w:t xml:space="preserve">zjednodušenie znenia právnej normy.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čl. I bodu 21</w:t>
            </w:r>
            <w:r>
              <w:rPr>
                <w:rFonts w:ascii="Times" w:hAnsi="Times" w:cs="Times"/>
                <w:sz w:val="25"/>
                <w:szCs w:val="25"/>
              </w:rPr>
              <w:br/>
              <w:t xml:space="preserve">Odporúčame v čl. I bode 21 navrhovanom § 14f ods. 1 preformulovať znenie písmena d) tak, aby pri listinách podľa prvého bodu, ktoré majú byť použité v štáte, ktorý je zmluvnou stranou Dohovoru o zrušení požiadavky vyššieho overenia zahraničných verejných listín, bola upravená kompetencia príslušného útvaru ministerstva osvedčovať tieto listiny. V prípade listín podľa druhého bodu odporúčame text rozdeliť na dve časti, pričom prvá časť sa bude vzťahovať na listiny, ktoré majú byť použité v štáte, ktorý nie je zmluvnou stranou predmetného dohovoru a druhá časť na listiny spojené s obchodnou činnosťou alebo colnou činnosťou. Odôvodnenie: Spresnenie textu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článku I bodu 21</w:t>
            </w:r>
            <w:r>
              <w:rPr>
                <w:rFonts w:ascii="Times" w:hAnsi="Times" w:cs="Times"/>
                <w:sz w:val="25"/>
                <w:szCs w:val="25"/>
              </w:rPr>
              <w:br/>
              <w:t xml:space="preserve">Odporúčame v čl. I bode 21 navrhovanom § 14i vypustiť slová „kopírovaním, skenovaním alebo iným zaznamenávaním“. Odôvodnenie: Ide o nadbytočný text.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Upravené podľa pripomienky iného subjektu.</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článku I bodu 21</w:t>
            </w:r>
            <w:r>
              <w:rPr>
                <w:rFonts w:ascii="Times" w:hAnsi="Times" w:cs="Times"/>
                <w:sz w:val="25"/>
                <w:szCs w:val="25"/>
              </w:rPr>
              <w:br/>
              <w:t xml:space="preserve">Odporúčame v čl. I bode 21 poradie navrhovaného § 14d a 14e vymeniť. Odôvodnenie: Legislatívno-technická pripomienka. Z hľadiska systematiky je vhodnejšie upraviť pôsobnosť na jednotlivých úsekoch (§ 14c, § 14e) a následne prípadnú súčinnosť (§ 14d). Prípadne možno zvoliť aj opačný postup – najskôr upraviť súčinnosť a následne pôsobnosť na jednotlivých </w:t>
            </w:r>
            <w:r>
              <w:rPr>
                <w:rFonts w:ascii="Times" w:hAnsi="Times" w:cs="Times"/>
                <w:sz w:val="25"/>
                <w:szCs w:val="25"/>
              </w:rPr>
              <w:lastRenderedPageBreak/>
              <w:t xml:space="preserve">úsekoch.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Navrhovanú systematiku a poradie jednotlivých ustanovení považujeme za správne.</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článku I bodu 21</w:t>
            </w:r>
            <w:r>
              <w:rPr>
                <w:rFonts w:ascii="Times" w:hAnsi="Times" w:cs="Times"/>
                <w:sz w:val="25"/>
                <w:szCs w:val="25"/>
              </w:rPr>
              <w:br/>
              <w:t xml:space="preserve">Odporúčame v čl. I bode 21 predvetí navrhovaného § 14c čiarku za slovom „evidencií“ nahradiť slovom „a“ a vypustiť slová „a iných zverených konzulárnych funkcií“. Odôvodnenie: Ide o nadbytočný text, ktorý je zopakovaný v navrhovanom § 14c písm. 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V úvodnej vete § 14c sú uvedené tri úseky, na ktorých diplomatická misia a konzulárny úrad vykonáva konzulárne činnosti. Úsek iných konzulárnych funkcií má všeobecné pomenovanie najmä z dôvodu špecifickej agendy, ktorú vykonávajú diplomatické misie a konzulárne úrady v zahraničí. Ide o požiadavku, ktorá vyplýva z aplikačnej praxe.</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článku I bodu 21</w:t>
            </w:r>
            <w:r>
              <w:rPr>
                <w:rFonts w:ascii="Times" w:hAnsi="Times" w:cs="Times"/>
                <w:sz w:val="25"/>
                <w:szCs w:val="25"/>
              </w:rPr>
              <w:br/>
              <w:t xml:space="preserve">Odporúčame v čl. I bode 21 prehodnotiť úpravu navrhovaného §14f ods. 1 písm. a) a b). Odôvodnenie: V zmysle navrhovanej úpravy má príslušný útvar ministerstva postavenie prvostupňového i odvolacieho orgánu, pokiaľ ide o rozhodovanie o udelení víza. Uvedené odporúčame upraviť, prípadne bližšie vysvetliť v osobitnej časti dôvodovej správy k čl. I bodu 21 § 14f.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Na základe pripomienky bola doplnená osobitná časť dôvodovej správy.</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článku I bodu 21</w:t>
            </w:r>
            <w:r>
              <w:rPr>
                <w:rFonts w:ascii="Times" w:hAnsi="Times" w:cs="Times"/>
                <w:sz w:val="25"/>
                <w:szCs w:val="25"/>
              </w:rPr>
              <w:br/>
              <w:t xml:space="preserve">Odporúčame v čl. I bode 21 zosúladiť navrhovaný § 14h ods. 10 s navrhovaným § 14g ods. 2. Odôvodnenie: Legislatívno-technická pripomienka. Podľa navrhovaného § 14g ods. 2 konzulárnu ochranu poskytuje diplomatická misia a konzulárny úrad. Kompetencia príslušného útvaru ministerstva na poskytovanie konzulárnej ochrany nie je v § 14g ods. 2 </w:t>
            </w:r>
            <w:r>
              <w:rPr>
                <w:rFonts w:ascii="Times" w:hAnsi="Times" w:cs="Times"/>
                <w:sz w:val="25"/>
                <w:szCs w:val="25"/>
              </w:rPr>
              <w:lastRenderedPageBreak/>
              <w:t xml:space="preserve">upravená.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čl. I bodu 23</w:t>
            </w:r>
            <w:r>
              <w:rPr>
                <w:rFonts w:ascii="Times" w:hAnsi="Times" w:cs="Times"/>
                <w:sz w:val="25"/>
                <w:szCs w:val="25"/>
              </w:rPr>
              <w:br/>
              <w:t xml:space="preserve">Odporúčame v čl. I bode 23 navrhovanom § 15b ods. 3 vypustiť čiarku za slovom „nich“ a slová „a to aj na účely poskytovaných náhrad14)“. Odôvodnenie: Uvedená úprava je nadbytočná a v rozpore so zákonom č. 283/2002 Z. z. o cestovných náhradách. Podmienky poskytovania náhrad alebo plnení a vylúčenie duplicity ich poskytovania za dieťa obidvom zamestnancom súčasne je riešené v § 19 ods. 7 zákona č. 283/2002 Z. z. o cestovných náhradách v znení zákona č. 503/2011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 xml:space="preserve">Preberá sa z doteraz platného zákona. Toto ustanovenie sa v praxi aplikuje tak, že cestovné náhrady sa poskytujú len v rozsahu ustanovenom zákonom č. 283/2002 Z. z. o cestovných náhradách v znení neskorších predpisov. </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čl. I bodu 23</w:t>
            </w:r>
            <w:r>
              <w:rPr>
                <w:rFonts w:ascii="Times" w:hAnsi="Times" w:cs="Times"/>
                <w:sz w:val="25"/>
                <w:szCs w:val="25"/>
              </w:rPr>
              <w:br/>
              <w:t xml:space="preserve">Odporúčame v čl. I bode 23 navrhovanom § 15c zrušiť označenie odsekov a znenie bývalého odseku 2 nahradiť znením: „Na poverenie podľa prvej vety sa nevzťahuje obmedzenie doby poverenia podľa osobitného predpisu.14a)“. Alternatívne odporúčame upraviť maximálnu dobu poverenia odlišne, než je tomu v prípade všeobecnej úpravy. Odôvodnenie: V prvej časti pripomienky ide o legislatívno-technický návrh. Vo vzťahu k druhej časti pripomienky poukazujeme na skutočnosť, že právny predpis by nemal umožňovať zastupovanie na neobmedzený čas, nakoľko počas tejto doby je štátny zamestnanec povinný plniť aj vlastné povinnosti aj povinnosti osoby, ktorú zastupuje.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Rozdelenie ustanovenia do dvoch odsekov považujeme za prehľadnejšie. Navrhované znenie korešponduje s platnou právnou úpravou § 15 ods. 5 zákona o zahraničnej službe a neustanovenie maximálnej dĺžky poverenia vyplýva z potrieb ministerstva, nakoľko v niektorých prípadoch je funkcia, ktorá je zastupovaná, uvoľnená niekoľko mesiacov.</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čl. I bodu 23</w:t>
            </w:r>
            <w:r>
              <w:rPr>
                <w:rFonts w:ascii="Times" w:hAnsi="Times" w:cs="Times"/>
                <w:sz w:val="25"/>
                <w:szCs w:val="25"/>
              </w:rPr>
              <w:br/>
              <w:t xml:space="preserve">Odporúčame v čl. I bode 23 predvetí navrhovaného § 15a vypustiť slovo „najmä“ a doplniť do návrhu prípadné ďalšie spôsoby obsadzovania štátnozamestnaneckých miest. </w:t>
            </w:r>
            <w:r>
              <w:rPr>
                <w:rFonts w:ascii="Times" w:hAnsi="Times" w:cs="Times"/>
                <w:sz w:val="25"/>
                <w:szCs w:val="25"/>
              </w:rPr>
              <w:lastRenderedPageBreak/>
              <w:t xml:space="preserve">Alternatívne odporúčame prehodnotiť potrebu navrhovanej úpravy. Odôvodnenie: Zastávame názor, že spôsob obsadzovania štátnozamestnaneckých miest by mal byť upravený taxatívnym spôsobom. Navrhovanú úpravu možno vnímať aj ako zámer uprednostniť konkrétne spôsoby obsadzovania štátnozamestnaneckých miest upravené zákonom č. 55/2017 Z. z. o štátnej službe. V tomto kontexte sa úprava v § 15a javí ako nadbytočná.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článku I bodu 43</w:t>
            </w:r>
            <w:r>
              <w:rPr>
                <w:rFonts w:ascii="Times" w:hAnsi="Times" w:cs="Times"/>
                <w:sz w:val="25"/>
                <w:szCs w:val="25"/>
              </w:rPr>
              <w:br/>
              <w:t xml:space="preserve">Odporúčame v čl. I bode 43 navrhovanom § 26f ods. 1 druhej vete nad slovom „predpisu“ odkaz „21b)“ nahradiť iným odkazom. Odôvodnenie: Spresnenie textu zákona. Navrhovaný odkaz „21b)“ na § 7 ods. 4 zákona č. 55/2017 Z. z. o štátnej službe nekorešponduje s predmetným ustanovením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článku I bodu 49</w:t>
            </w:r>
            <w:r>
              <w:rPr>
                <w:rFonts w:ascii="Times" w:hAnsi="Times" w:cs="Times"/>
                <w:sz w:val="25"/>
                <w:szCs w:val="25"/>
              </w:rPr>
              <w:br/>
              <w:t xml:space="preserve">Odporúčame v čl. I bode 49 zosúladiť znenie prílohy č. 4 s § 14h ods. 15 navrhovaným v čl. I bode 21. Odôvodnenie: V zmysle navrhovaného § 14h ods. 15 má byť v prílohe č. 4 zákona uvedený vzor žiadosti. Príloha č. 4 návrhu však neobsahuje vzor žiadosti, ale iba jej obsahové náležitosti.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 14h ods. 15 a označenie prílohy č. 6 (4) boli upravené.</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článku I bodu 5</w:t>
            </w:r>
            <w:r>
              <w:rPr>
                <w:rFonts w:ascii="Times" w:hAnsi="Times" w:cs="Times"/>
                <w:sz w:val="25"/>
                <w:szCs w:val="25"/>
              </w:rPr>
              <w:br/>
              <w:t xml:space="preserve">Odporúčame v čl. I bode 5 navrhovanom § 4 ods. 10 druhej vete za slovo „spôsobená“ vložiť slovo „najmä“ a vypustiť slová „a podobne“.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 xml:space="preserve">Všeobecná pripomienka k čl. I </w:t>
            </w:r>
            <w:r>
              <w:rPr>
                <w:rFonts w:ascii="Times" w:hAnsi="Times" w:cs="Times"/>
                <w:sz w:val="25"/>
                <w:szCs w:val="25"/>
              </w:rPr>
              <w:br/>
              <w:t xml:space="preserve">Odporúčame v čl. I dôsledne dodržiavať základné pojmy vymedzené v čl. I bode 5 navrhovanom § 4. Odôvodnenie: Legislatívno-technická pripomienka. Pojem občan vymedzený v navrhovanom § 4 ods. 7 nie je následne dodržiavaný v § 14c a 14d návrhu vo vzťahu k slovám občan Slovenskej republiky, prípadne štátny občan Slovenskej republiky. Obdobne používanie pojmu zamestnanec v zahraničnej službe, ktorý je vymedzený v navrhovanom § 4 ods. 2, nie je dodržiavané napríklad v § 14e a 14f, kde sa používajú slová konzulárny úradník, zamestnanec diplomatickej misie alebo konzulárneho úradu, prípadne zamestnanec príslušného útvaru ministerstva. Pojem konzulárny úradník je vymedzený v čl. 1 písm. d) Viedenského dohovoru o konzulárnych stykoch (Vyhláška ministra zahraničných vecí č. 32/1969 Zb. o Viedenskom dohovore o konzulárnych stykoch). Pojmy zamestnanec diplomatickej misie alebo konzulárneho úradu a zamestnanec príslušného útvaru ministerstva sú nepresné, vždy by malo ísť o zamestnanca alebo štátneho zamestnanca ministerstva, resp. o zamestnanca v zahraničnej službe.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1. A, 2. N - Používanie viacerých pojmov (konzulárny úradník, zamestnanec diplomatickej misie, zamestnanec v zahraničnej službe,...) je potrebné pre rozlíšenie vecnej pôsobnosti a pre účely aplikačnej praxe.</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Všeobecná pripomienka k úprave dočasného vyslania</w:t>
            </w:r>
            <w:r>
              <w:rPr>
                <w:rFonts w:ascii="Times" w:hAnsi="Times" w:cs="Times"/>
                <w:sz w:val="25"/>
                <w:szCs w:val="25"/>
              </w:rPr>
              <w:br/>
              <w:t xml:space="preserve">Upozorňujeme predkladateľa, že podmienky poskytovania náhrad a plnení pri dočasnom vyslaní prvotne upravuje zákon č. 283/2002 Z. z. o cestovných náhradách v znení neskorších predpisov, a preto zákon č. 151/2010 Z. z. o zahraničnej službe a o zmene a doplnení niektorých zákonov v znení neskorších predpisov nemôže tieto podmienky meniť a upravovať iným </w:t>
            </w:r>
            <w:r>
              <w:rPr>
                <w:rFonts w:ascii="Times" w:hAnsi="Times" w:cs="Times"/>
                <w:sz w:val="25"/>
                <w:szCs w:val="25"/>
              </w:rPr>
              <w:lastRenderedPageBreak/>
              <w:t xml:space="preserve">spôsobom. Aj zákon č. 55/2017 Z. z. o štátnej službe a o zmene a doplnení niektorých zákonov sa pri poskytovaní náhrad a plnení pri dočasnom vyslaní odvoláva na zákon č. 283/2002 Z. z. o cestovných náhradách.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čl. I bodu 43</w:t>
            </w:r>
            <w:r>
              <w:rPr>
                <w:rFonts w:ascii="Times" w:hAnsi="Times" w:cs="Times"/>
                <w:sz w:val="25"/>
                <w:szCs w:val="25"/>
              </w:rPr>
              <w:br/>
              <w:t xml:space="preserve">Upozorňujeme predkladateľa, že v čl. I bode 43 navrhovaný § 26g ods. 1 je nadbytočný a po vecnej a obsahovej stránke zužujúci a v rozpore s platnou úpravou zákona č. 283/2002 Z. z. o cestovných náhradách a zákona č. 55/2017 Z. z. o štátnej službe. Uvedené odporúčame zosúladiť. Odôvodnenie: Navrhované znenie považuje za vykonávanie zahraničnej služby na účely poskytovania náhrad alebo plnení podľa zákona č. 283/2002 Z. z. cestovných náhradách iba dve osobné prekážky zamestnanca, a to dočasnú práceneschopnosť pre chorobu alebo úraz a materskú a rodičovskú dovolenku. Z uvedeného znenia sa dá usúdiť, že počas čerpania ostatných osobných prekážok sa zamestnancovi nebudú poskytovať náhrady alebo plnenia. Navrhovanú úpravu chápeme v tom zmysle, že tieto dve osobné prekážky zamestnanca sú vykonávaním zahraničnej služby na účely poskytovania náhrad výdavkov alebo plnení, t. j. pojem zahraničná služba sa rozširuje o tieto dve prekážky a nie v tom zmysle, že sa iba zdôrazňuje, že okrem iných osobných prekážok sa za vykonávanie zahraničnej služby považujú aj tieto dve prekážky, t. j. práceneschopnosť, materská dovolenka a rodičovská dovolenka. Podľa § 19 a nasl. zákona č. 283/2002 Z. z. o cestovných náhradách zamestnancovi počas celej doby dočasného vyslania patria náhrady alebo plnenia v celom </w:t>
            </w:r>
            <w:r>
              <w:rPr>
                <w:rFonts w:ascii="Times" w:hAnsi="Times" w:cs="Times"/>
                <w:sz w:val="25"/>
                <w:szCs w:val="25"/>
              </w:rPr>
              <w:lastRenderedPageBreak/>
              <w:t xml:space="preserve">rozsahu za splnenia podmienok ich poskytovania. Podľa § 64 ods. 4 zákona č. 55/2017 Z. z. o štátnej službe štátnemu zamestnancovi patria počas dočasného vyslania náhrady podľa osobitného predpisu, ktorým je zákon č. 283/2002 Z. z. o cestovných náhradách. Účelom dočasného vyslania je vykonávanie štátnej služby v zahraničí. Pokiaľ dočasné vyslanie trvá, je irelevantné, či štátny zamestnanec štátnu službu reálne vykonáva alebo mu vo vykonávaní štátnej služby bráni prekážka, či už na strane štátneho zamestnanca alebo služobného úradu. Vo väzbe na vyššie uvedené zamestnancovi počas celej doby dočasného vyslania patria náhrady a plnenia podľa zákona č. 283/2002 Z. z. o cestovných náhradách.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Ustanovenie ods. 1 iba exemplifikatívne ustanovuje, ktoré právne dôvody neprítomnosti zamestnanca v zahraničnej službe sa považujú za vykonávanie zahraničnej služby na účely poskytovania náhrad alebo plnení podľa zákona o cestovných náhradách. Z tohto dôvodu nejde o zúženie platnej právnej úpravy v iných súvisiacich zákonoch (napr. Zákonník práce), ale ide o deklaratórne ustanovenie, a to aj z dôvodu legislatívneho vyjadrenia použitím výrazu „aj“.</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čl. I bodu 4</w:t>
            </w:r>
            <w:r>
              <w:rPr>
                <w:rFonts w:ascii="Times" w:hAnsi="Times" w:cs="Times"/>
                <w:sz w:val="25"/>
                <w:szCs w:val="25"/>
              </w:rPr>
              <w:br/>
              <w:t xml:space="preserve">Nadpis § 4 má správne znieť: „Základné ustanovenie“. Vzhľadom na skutočnosť, že medzi pojmami vymedzenými v § 4 sú aj osoby (napr. generálny tajomník služobného úradu, občan, nezastúpený občan), odporúčame zmeniť nadpis tohto paragrafu.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Vymedzenie základných pojmov je súčasťou prvej časti zákona, ktorá sa nazýva "Základné ustanovenia".</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 xml:space="preserve">K čl. I bodu 40 </w:t>
            </w:r>
            <w:r>
              <w:rPr>
                <w:rFonts w:ascii="Times" w:hAnsi="Times" w:cs="Times"/>
                <w:sz w:val="25"/>
                <w:szCs w:val="25"/>
              </w:rPr>
              <w:br/>
              <w:t xml:space="preserve">Slovo „takéto“ odporúčame vypustiť alebo nahradiť slovami „podľa odseku 1“. To obdobne platí aj pre znenie § 25a ods. 2 (bod 41) a § 26 ods. 2 (bod 42).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čl. I bodu 21 (§ 14h ods. 14) a k bodu 49 (Príloha č. 3, vzory A. a B.)</w:t>
            </w:r>
            <w:r>
              <w:rPr>
                <w:rFonts w:ascii="Times" w:hAnsi="Times" w:cs="Times"/>
                <w:sz w:val="25"/>
                <w:szCs w:val="25"/>
              </w:rPr>
              <w:br/>
              <w:t xml:space="preserve">Upozorňujeme predkladateľa, že záväzok občana alebo </w:t>
            </w:r>
            <w:r>
              <w:rPr>
                <w:rFonts w:ascii="Times" w:hAnsi="Times" w:cs="Times"/>
                <w:sz w:val="25"/>
                <w:szCs w:val="25"/>
              </w:rPr>
              <w:lastRenderedPageBreak/>
              <w:t xml:space="preserve">nezastúpeného občana uhradiť finančné náklady za poskytnutú konzulárnu ochranu nie je sám o sebe exekučným titulom na vymáhanie nákladov za takto poskytnutú pomoc. Je len podkladom (kvázi uznaním dlhu), na základe ktorého sa oprávnená osoba (členský štát, ktorého je takáto osoba štátnym občanom) môže domáhať vydania titulu na vymáhanie dlžnej sumy, a to v súdnom, správnom konaní, event. napríklad spísania notárskej zápisnice. Sám o sebe však prísľub (časť A.) a záväzok (časť B.) uvedené v prílohe č. 3 podľa nášho právneho poriadku na zahájenie exekúcie nepostačujú.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čl. I bodu 21</w:t>
            </w:r>
            <w:r>
              <w:rPr>
                <w:rFonts w:ascii="Times" w:hAnsi="Times" w:cs="Times"/>
                <w:sz w:val="25"/>
                <w:szCs w:val="25"/>
              </w:rPr>
              <w:br/>
              <w:t xml:space="preserve">V § 14a ods. 2 odporúčame vypustiť dvojbodku na konci úvodnej vety odseku 2. To isté platí aj pre § 14g ods. 4.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čl. I bodu 21</w:t>
            </w:r>
            <w:r>
              <w:rPr>
                <w:rFonts w:ascii="Times" w:hAnsi="Times" w:cs="Times"/>
                <w:sz w:val="25"/>
                <w:szCs w:val="25"/>
              </w:rPr>
              <w:br/>
              <w:t xml:space="preserve">V § 14d písmene c) odporúčame za slovami „záujmov detí a“ vypustiť slovo „iných“.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Uvedené znenie má za cieľ poukázať na skutočnosť, že diplomatická misia a konzulárny úrad poskytujú súčinnosť pri ochrane práv a právom chránených záujmov dvoch skupín osôb, detí a iných občanov SR, ktorí majú obmedzenú spôsobilosť na právne úkony. V tomto prípade považujeme formuláciu za správnu, kedže aj dieťa má štátne občianstvo a má obmedzenú spôsobilosť na právne úkony.</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čl. I bodu 21</w:t>
            </w:r>
            <w:r>
              <w:rPr>
                <w:rFonts w:ascii="Times" w:hAnsi="Times" w:cs="Times"/>
                <w:sz w:val="25"/>
                <w:szCs w:val="25"/>
              </w:rPr>
              <w:br/>
              <w:t xml:space="preserve">V § 14e odseku 1 písm. b) je potrebné v celom texte nahradiť slová „vyššie overuje“ slovami „overuje listinu formou superlegalizácie“ v príslušnom tvare. To isté platí pre § 14f. Odôvodnenie: Vyššie overenie zahŕňa aj apostil aj superlegalizáciu. V navrhovanom znení vyznievajú dané slová zmätočne, pretože v tomto prípade nejde o overovanie listín formou apostilu. Podobnú úpravu navrhujeme v celom písmene b) a v § 14f vo všetkých tvaroch. V § 14e ods. 3 a 14f ods. 3 odporúčame v písmene b) čiarku nahradiť slovom „alebo“.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 xml:space="preserve">V §14f ide o činnosť príslušného útvaru ministerstva, ktorý listiny nesuperlegalizuje, ale vyššie overuje. </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čl. I bodu 46</w:t>
            </w:r>
            <w:r>
              <w:rPr>
                <w:rFonts w:ascii="Times" w:hAnsi="Times" w:cs="Times"/>
                <w:sz w:val="25"/>
                <w:szCs w:val="25"/>
              </w:rPr>
              <w:br/>
              <w:t xml:space="preserve">V § 28 ods. 2 písm. b) odporúčame slovo „v“ na začiatku znenia bodov 1. až 3. presunúť do znenia úvodnej vety písmena b).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čl. I bodu 47</w:t>
            </w:r>
            <w:r>
              <w:rPr>
                <w:rFonts w:ascii="Times" w:hAnsi="Times" w:cs="Times"/>
                <w:sz w:val="25"/>
                <w:szCs w:val="25"/>
              </w:rPr>
              <w:br/>
              <w:t xml:space="preserve">V § 34 odporúčame slovo „číslo“ nahradiť slovom „č.“.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čl. I bodu 5</w:t>
            </w:r>
            <w:r>
              <w:rPr>
                <w:rFonts w:ascii="Times" w:hAnsi="Times" w:cs="Times"/>
                <w:sz w:val="25"/>
                <w:szCs w:val="25"/>
              </w:rPr>
              <w:br/>
              <w:t xml:space="preserve">V § 4 ods. 10 odporúčame vypustiť slová „a podobne“. Ak je úmyslom predkladateľa uviesť príkladmý výpočet udalostí, ktoré môžu vyvolať krízovú situáciu, odporúčame tak urobiť napríklad použitím slova „najmä“.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čl. I bodu 5</w:t>
            </w:r>
            <w:r>
              <w:rPr>
                <w:rFonts w:ascii="Times" w:hAnsi="Times" w:cs="Times"/>
                <w:sz w:val="25"/>
                <w:szCs w:val="25"/>
              </w:rPr>
              <w:br/>
              <w:t xml:space="preserve">V § 4 ods. 6 odporúčame na konci vety pripojiť slová „Európskej </w:t>
            </w:r>
            <w:r>
              <w:rPr>
                <w:rFonts w:ascii="Times" w:hAnsi="Times" w:cs="Times"/>
                <w:sz w:val="25"/>
                <w:szCs w:val="25"/>
              </w:rPr>
              <w:lastRenderedPageBreak/>
              <w:t xml:space="preserve">únie“. V § 4 ods. 9 odporúčame slová „pobyt. Toto“ nahradiť slovami „pobyt; toto“. Odôvodnenie: Legislatívno-technická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 xml:space="preserve">V prvej časti pripomienky ide o zavedenú legislatívnu skratku, druhú </w:t>
            </w:r>
            <w:r>
              <w:rPr>
                <w:rFonts w:ascii="Times" w:hAnsi="Times" w:cs="Times"/>
                <w:sz w:val="25"/>
                <w:szCs w:val="25"/>
              </w:rPr>
              <w:lastRenderedPageBreak/>
              <w:t>časť akceptujeme.</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čl. I bodu 8</w:t>
            </w:r>
            <w:r>
              <w:rPr>
                <w:rFonts w:ascii="Times" w:hAnsi="Times" w:cs="Times"/>
                <w:sz w:val="25"/>
                <w:szCs w:val="25"/>
              </w:rPr>
              <w:br/>
              <w:t xml:space="preserve">V § 5 ods. 4 odporúčame vypustiť slová „Slovenskej republiky“, keďže legislatívna skratka pre slovo „občan“ je už zavedená v § 4 ods. 7.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čl. I bodu 10</w:t>
            </w:r>
            <w:r>
              <w:rPr>
                <w:rFonts w:ascii="Times" w:hAnsi="Times" w:cs="Times"/>
                <w:sz w:val="25"/>
                <w:szCs w:val="25"/>
              </w:rPr>
              <w:br/>
              <w:t xml:space="preserve">V § 7 ods. 1 písm. i) odporúčame bodku na konci znenia písmena i) nahradiť čiarkou.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čl. I bodom 28 a 29</w:t>
            </w:r>
            <w:r>
              <w:rPr>
                <w:rFonts w:ascii="Times" w:hAnsi="Times" w:cs="Times"/>
                <w:sz w:val="25"/>
                <w:szCs w:val="25"/>
              </w:rPr>
              <w:br/>
              <w:t xml:space="preserve">V bode 28 odporúčame vypustiť bodku za číslom „5“ a v bode 29 bodku za číslom „6“.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Ustanovenie upravené podľa pripomienky iného subjektu.</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čl. I bodu 21</w:t>
            </w:r>
            <w:r>
              <w:rPr>
                <w:rFonts w:ascii="Times" w:hAnsi="Times" w:cs="Times"/>
                <w:sz w:val="25"/>
                <w:szCs w:val="25"/>
              </w:rPr>
              <w:br/>
              <w:t xml:space="preserve">V poznámke pod čiarou k odkazu 12k odporúčame slovo „Nariadenie“ nahradiť slovom „nariadenie“.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čl. I bodu 48</w:t>
            </w:r>
            <w:r>
              <w:rPr>
                <w:rFonts w:ascii="Times" w:hAnsi="Times" w:cs="Times"/>
                <w:sz w:val="25"/>
                <w:szCs w:val="25"/>
              </w:rPr>
              <w:br/>
              <w:t xml:space="preserve">V Prílohe č. 2 v časti A. odporúčame doplniť vo vzore osvedčovacej doložky riadok pre poplatok, keďže časť B. písm. c) predpokladá spoplatnenie osvedčenia podpisu správnym poplatkom.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 xml:space="preserve">V Prílohe č. 2 (4) časti B. bolo vypustené písm. c). Osvedčovaciu doložku uvedenú v tejto prílohe používa len príslušný organizačný útvar ministerstva v Slovenskej republike, a teda spôsob platby je určený centrálnym systémom </w:t>
            </w:r>
            <w:r>
              <w:rPr>
                <w:rFonts w:ascii="Times" w:hAnsi="Times" w:cs="Times"/>
                <w:sz w:val="25"/>
                <w:szCs w:val="25"/>
              </w:rPr>
              <w:lastRenderedPageBreak/>
              <w:t>elektronických platieb.</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čl. I bodu 43</w:t>
            </w:r>
            <w:r>
              <w:rPr>
                <w:rFonts w:ascii="Times" w:hAnsi="Times" w:cs="Times"/>
                <w:sz w:val="25"/>
                <w:szCs w:val="25"/>
              </w:rPr>
              <w:br/>
              <w:t xml:space="preserve">V úvodnej vete novelizačného bodu 43 odporúčame slová „paragrafy 26a až 26f“ nahradiť slovami „§ 26a až 26g“. Poznámku pod čiarou k odkazu 21g odporúčame upraviť v súlade s bodom 55 Prílohy č. 1 k Legislatívnym pravidlám vlády SR. Na konci novelizačného bodu odporúčame doplniť úvodzovky a bodku.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čl. I bodu 23</w:t>
            </w:r>
            <w:r>
              <w:rPr>
                <w:rFonts w:ascii="Times" w:hAnsi="Times" w:cs="Times"/>
                <w:sz w:val="25"/>
                <w:szCs w:val="25"/>
              </w:rPr>
              <w:br/>
              <w:t xml:space="preserve">Vetu „Poznámky pod čiarou k odkazom 13 a 15 sa vypúšťajú.“ odporúčame presunúť do novelizačného bodu 22. Vzhľadom na skutočnosť, že odkaz 13 sa vypúšťa, odporúčame predkladateľovi odkaz 14 nad slovom „náhrad“ v § 15b ods. 3 označiť ako odkaz 13 a odkaz 14a nad slovom „predpisu“ v § 15c ods. 2 označiť ako odkaz 14. Odkaz 14 v § 26g (bod 43) odporúčame označiť ako odkaz 13.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čl. I bod 17</w:t>
            </w:r>
            <w:r>
              <w:rPr>
                <w:rFonts w:ascii="Times" w:hAnsi="Times" w:cs="Times"/>
                <w:sz w:val="25"/>
                <w:szCs w:val="25"/>
              </w:rPr>
              <w:br/>
              <w:t>Odporúčame slová "10b) až 10l)" nahradiť slovami "10b až 10l".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čl. I bod 15</w:t>
            </w:r>
            <w:r>
              <w:rPr>
                <w:rFonts w:ascii="Times" w:hAnsi="Times" w:cs="Times"/>
                <w:sz w:val="25"/>
                <w:szCs w:val="25"/>
              </w:rPr>
              <w:br/>
              <w:t>Odporúčame slová "s výnimkou" nahradiť slovom "okrem".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čl. I bod 5</w:t>
            </w:r>
            <w:r>
              <w:rPr>
                <w:rFonts w:ascii="Times" w:hAnsi="Times" w:cs="Times"/>
                <w:sz w:val="25"/>
                <w:szCs w:val="25"/>
              </w:rPr>
              <w:br/>
              <w:t xml:space="preserve">Odporúčame zvážiť úpravu ustanovenia do podoby jedného odseku členeného na písmená s úvodnou vetou v znení: "Na </w:t>
            </w:r>
            <w:r>
              <w:rPr>
                <w:rFonts w:ascii="Times" w:hAnsi="Times" w:cs="Times"/>
                <w:sz w:val="25"/>
                <w:szCs w:val="25"/>
              </w:rPr>
              <w:lastRenderedPageBreak/>
              <w:t>účely tohto zákona sa rozumie...". V odseku 9 odporúčame tretiu vetu preformulovať v znení "To neplatí, ak ide o akútne ohrozenie života alebo zdravia".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V odsekoch 1 a 2 sa definujú pojmy nielen na účely tohto zákona.</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čl. I bod 21, § 14a</w:t>
            </w:r>
            <w:r>
              <w:rPr>
                <w:rFonts w:ascii="Times" w:hAnsi="Times" w:cs="Times"/>
                <w:sz w:val="25"/>
                <w:szCs w:val="25"/>
              </w:rPr>
              <w:br/>
              <w:t>V odseku 1 odporúčame vypustiť slová "všeobecne záväznými" a "vnútroštátnymi" ako nadbytočné. Rovnako odporúčame v odseku 2 úvodnej vete vypustiť dvojbodku.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Ustanovenie bolo čiastočne upravené.</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čl. I bod 21, § 14e</w:t>
            </w:r>
            <w:r>
              <w:rPr>
                <w:rFonts w:ascii="Times" w:hAnsi="Times" w:cs="Times"/>
                <w:sz w:val="25"/>
                <w:szCs w:val="25"/>
              </w:rPr>
              <w:br/>
              <w:t>V odseku 1 písm. b) odporúčame slová "diplomatická misia a konzulárny úrad" nahradiť slovami "diplomatická misia alebo konzulárny úrad", vzhľadom na to, že z obsahu ustanovenia možno vyrozumieť, že postačuje vzor, ktorým disponuje jeden z orgánov. V odseku 1 písm. c) odporúčame slová "pre účely" nahradiť slovami "na účel". V odseku 1 písm. e) odporúčame slovo "účely" nahradiť slovom "účel". V odseku 2 odporúčame slová "(priemer 36 mm)" nahradiť slovami "s priemerom 36 mm". V odseku 3 odporúčame úvodnú vetu zosúladiť s úvodnou vetou v § 14f ods. 3 (je/môže byť). V odsekoch 3 a 4 odporúčame pre spresnenie za slovo "doložka"/"doložiek" vložiť slová "diplomatickej misie alebo konzulárneho úradu".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1. N - z hľadiska praktického výkonu tejto činnosti je navrhovaná formulácia správna, 2. A, 3. A, 4. A, 5. A, 6. N - navrhovanú formuláciu považujeme za dostatočne presnú.</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čl. I bod 21, § 14f</w:t>
            </w:r>
            <w:r>
              <w:rPr>
                <w:rFonts w:ascii="Times" w:hAnsi="Times" w:cs="Times"/>
                <w:sz w:val="25"/>
                <w:szCs w:val="25"/>
              </w:rPr>
              <w:br/>
              <w:t xml:space="preserve">V odseku 1 písm. b) odporúčame spresniť, za akých okolností. V odseku 1 písm. d) odporúčame vypustiť slová "príslušný útvar ministerstva" ako nadbytočné. V odseku 2 odporúčame slová "(priemer 36 mm)" nahradiť slovami "s priemerom 36 mm". V odseku 3 úvodnej vete odporúčame pre spresnenie za slovo </w:t>
            </w:r>
            <w:r>
              <w:rPr>
                <w:rFonts w:ascii="Times" w:hAnsi="Times" w:cs="Times"/>
                <w:sz w:val="25"/>
                <w:szCs w:val="25"/>
              </w:rPr>
              <w:lastRenderedPageBreak/>
              <w:t>"doložka" vložiť slová "príslušného útvaru ministerstva". V odseku 4 odporúčame pre spresnenie za slovo "doložky" vložiť slová "príslušného útvaru ministerstva".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 xml:space="preserve">1. N - podľa osobitných všeobecne záväzných právnych predpisov a vnútorných predpisov ministerstva. 2. ČA - celé ustanovenie § 14f ods. 1 pism. d) bolo preformulované v súlade s pripomienkami iných subjektov. 3. </w:t>
            </w:r>
            <w:r>
              <w:rPr>
                <w:rFonts w:ascii="Times" w:hAnsi="Times" w:cs="Times"/>
                <w:sz w:val="25"/>
                <w:szCs w:val="25"/>
              </w:rPr>
              <w:lastRenderedPageBreak/>
              <w:t>A, 4. a 5. N - navrhované ustanovenia považujeme za dostatočne presné.</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čl. I bod 43, § 26f</w:t>
            </w:r>
            <w:r>
              <w:rPr>
                <w:rFonts w:ascii="Times" w:hAnsi="Times" w:cs="Times"/>
                <w:sz w:val="25"/>
                <w:szCs w:val="25"/>
              </w:rPr>
              <w:br/>
              <w:t>V odseku 2 odporúčame za slová "odseku 1" vložiť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čl. I bod 21, § 14h</w:t>
            </w:r>
            <w:r>
              <w:rPr>
                <w:rFonts w:ascii="Times" w:hAnsi="Times" w:cs="Times"/>
                <w:sz w:val="25"/>
                <w:szCs w:val="25"/>
              </w:rPr>
              <w:br/>
              <w:t>V odseku 3 odporúčame za slová "odseku 1" vložiť čiarku. V odseku 5 odporúčame spojiť písmená a) a b) alebo v písmene b) za slovo "štát" vložiť pre spresnenie slová "podľa písmena a)". V odseku 7 poslednej vete odporúčame pre spresnenie slovo "touto" nahradiť slovami "podľa prvej vety". V odseku 18 odporúčame za číslo "15" vložiť čiarku a vypustiť slová "v prípade"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1. A, 2. ČA - upravené podľa pripomienky iného subjektu, 3. N - navrhovanú formuláciu považujeme za vhodnú vzhľadom na zvyšok ustanovenia, 4. N - Navrhované znenie považujeme vzhľadom na predmet jeho úpravy za správne.</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čl. I bod 23, § 15b</w:t>
            </w:r>
            <w:r>
              <w:rPr>
                <w:rFonts w:ascii="Times" w:hAnsi="Times" w:cs="Times"/>
                <w:sz w:val="25"/>
                <w:szCs w:val="25"/>
              </w:rPr>
              <w:br/>
              <w:t>V odseku 4 prvej vete odporúčame slovo "práce" nahradiť slovom "prácu", vzhľadom na to, že aj zákon č. 552/2003 Z. z. používa jednotné číslo.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Znenie návrhu bolo upravené inak.</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čl. I bod 21, § 14g</w:t>
            </w:r>
            <w:r>
              <w:rPr>
                <w:rFonts w:ascii="Times" w:hAnsi="Times" w:cs="Times"/>
                <w:sz w:val="25"/>
                <w:szCs w:val="25"/>
              </w:rPr>
              <w:br/>
              <w:t>V odseku 4 úvodnej vete odporúčame vypustiť dvojbodku ako nadbytočnú.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čl. I bod 21</w:t>
            </w:r>
            <w:r>
              <w:rPr>
                <w:rFonts w:ascii="Times" w:hAnsi="Times" w:cs="Times"/>
                <w:sz w:val="25"/>
                <w:szCs w:val="25"/>
              </w:rPr>
              <w:br/>
              <w:t xml:space="preserve">V poznámke pod čiarou k odkazu 12j odporúčame označenie "395/20002" nahradiť označením "395/2002" a pri citácii zákona č. 253/1998 Z. z. odporúčame na konci pripojiť slová "v znení zákona č. 454/2004 Z. z.". V poznámke pod čiarou k odkazu 12l </w:t>
            </w:r>
            <w:r>
              <w:rPr>
                <w:rFonts w:ascii="Times" w:hAnsi="Times" w:cs="Times"/>
                <w:sz w:val="25"/>
                <w:szCs w:val="25"/>
              </w:rPr>
              <w:lastRenderedPageBreak/>
              <w:t>odporúčame slová "zákona č. 466/2008 Z. z." nahradiť slovami "neskorších predpisov", keďže ustanovenie bolo menené aj zákonom č. 125/2016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čl. I bod 11</w:t>
            </w:r>
            <w:r>
              <w:rPr>
                <w:rFonts w:ascii="Times" w:hAnsi="Times" w:cs="Times"/>
                <w:sz w:val="25"/>
                <w:szCs w:val="25"/>
              </w:rPr>
              <w:br/>
              <w:t>Vzhľadom na to, že upravovaný text sa nachádza na konci vety a účinné znenie nie je citované presne, znenie bodu odporúčame preformulovať takto: "V § 7 ods. 2 sa slová "rozvojovej pomoci.8)" nahrádzajú slovami "rozvojovej spolupráce.8)".".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Prefomulované na základe pripomienky iného subjektu.</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čl. I bod 45</w:t>
            </w:r>
            <w:r>
              <w:rPr>
                <w:rFonts w:ascii="Times" w:hAnsi="Times" w:cs="Times"/>
                <w:sz w:val="25"/>
                <w:szCs w:val="25"/>
              </w:rPr>
              <w:br/>
              <w:t>Vzhľadom na vypustenie slov na začiatku vety odporúčame upraviť aj slovo "štátnemu" na "Štátnemu".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1. V úvodnej vete odporúčame slová „325/2004“ nahradiť slovami „325/2014“. 2. Bod č. 4 odporúčame dať na koniec návrhu. Legislatívno-technická pripomienka. 3. V bode 10 odporúčame bodku na konci písmena i) nahradiť čiarkou. Legislatívno-technická pripomienka. 4. V bode 21 §14c navrhujeme v predvetí vypustiť slová „a iných zverených konzulárnych funkcií“. Iné zverené konzulárne funkcie sa nachádzajú v písmene i). 5. V bode 21 §14f ods. 1 písm. d) prvý bod odporúčame preformulovať, prípadne rozdeliť, nakoľko v spojení s predvetím nie je gramaticky správny. 6. V bode 21 § 14h ods. 1 a ods. 3 navrhujeme slová „nezastúpeným občanom“ nahradiť slovami „nezastúpenému občanovi“ a v ods. 3 odporúčame za slová „odseku 1“ vložiť čiarku. Rovnako odporúčame vložiť čiarku v odseku 15 za slovom „občanom“. </w:t>
            </w:r>
            <w:r>
              <w:rPr>
                <w:rFonts w:ascii="Times" w:hAnsi="Times" w:cs="Times"/>
                <w:sz w:val="25"/>
                <w:szCs w:val="25"/>
              </w:rPr>
              <w:lastRenderedPageBreak/>
              <w:t xml:space="preserve">Legislatívno-technická pripomienka. 7. V bode 43 navrhujeme slová „paragrafy 26a až 26f“ nahradiť slovami „§ 26a až 26g“. Legislatívno-technická pripomienka. 8. V nadväznosti na zmenu v bode 45 navrhujeme v úvodnej vete slovo „štátnemu“ nahradiť slovom „Štátnemu“.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 xml:space="preserve">1. A, 2. N - novelizačný bod sa týka ustanovenia, kde sa zmena vyskytuje prvýkrát v texte návrhu zákona. 3. A, 4. N - Úvodná veta § 14c definuje tri samostatné úseky činnosti diplomatických misií a konzulárnych úradov. 5. ČA - § 14f písm. d) bolo preformulované na základe pripomienok iných subjektov. 6. ČA - ide o všeobecnú dohodu týkajúcu sa poskytovania konzulárnej ochrany, jednotné číslo by evokovalo uzatváranie ad hoc dohody pre konkrétny prípad. 7. A, 8. ČA - upravené na základe pripomienky </w:t>
            </w:r>
            <w:r>
              <w:rPr>
                <w:rFonts w:ascii="Times" w:hAnsi="Times" w:cs="Times"/>
                <w:sz w:val="25"/>
                <w:szCs w:val="25"/>
              </w:rPr>
              <w:lastRenderedPageBreak/>
              <w:t>iného subjektu.</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K čl. I 1. V bode 5 v § 4 ods. 9 odporúčame z vecného hľadiska poslednú vetu začleniť za druhú vetu. 2. V bode 15 v § 9 ods. 3 navrhujeme slovo „s výnimkou“ nahradiť slovom „okrem“ a rovnako upraviť aj v ďalších ustanoveniach návrhu. 3. V bode 21 v § 14a ods. 2 a v § 14g ods. 4 je potrebné vypustiť dvojbodku za úvodnou vetou; v § 14g ods. 4 odporúčame tiež slová „v prípade“ nahradiť slovo „pri“. 4. V bode 21 v § 14h ods. 3 navrhujeme slovo „dojednať“ nahradiť slovom „dohodnúť“ a rovnako upraviť aj v ďalších ustanoveniach návrhu. 5. V bode 21 v § 14h ods. 5 navrhujeme na koniec úvodnej vety doplniť slová „členský štát“; v písmene a) navrhujeme vypustiť slová „členský štát“ a v písmene b) navrhujeme vypustiť slová „tento štát“. 6. V prílohe č. 3 časti A. navrhujeme spresniť tak, aby bolo zrejmé, že predmetná suma sa prepočíta na euro a pri prepočte sa použije referenčný výmenný kurz určený a vyhlásený Európskou centrálnou bankou alebo Národnou bankou Slovenska (Čl. 12 ods. 12.1 Protokolu o Štatúte Európskeho systému centrálnych bánk a Európskej centrálnej banky (Ú.v. EÚ C 326, 26.10.2012) v platnom znení, § 28 ods. 2 zákona Národnej rady Slovenskej republiky č. 566/1992 Zb. o Národnej banke Slovenska v znení neskorších predpisov.). 7. V prílohe č. 4 odporúčame za slovo </w:t>
            </w:r>
            <w:r>
              <w:rPr>
                <w:rFonts w:ascii="Times" w:hAnsi="Times" w:cs="Times"/>
                <w:sz w:val="25"/>
                <w:szCs w:val="25"/>
              </w:rPr>
              <w:lastRenderedPageBreak/>
              <w:t xml:space="preserve">„Náklady“ doplniť slová „v sume“. 8. Znenie príloh 2 až 4 je potrebné upraviť formulačne a gramaticky.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1. N - formuláciu považujeme za správnu, 2. A, 3. ČA - formulácia je v súlade so smernicou, 4. N - navrhované znenie považujeme za správne z dôvodu, že je v súlade so smernicou. Je zrejmý rozdiel medzi dohodou o poskytovaní konzulárnej ochrany a dojednaním o koordinácii a rozdelení zodpovednosti na základe dohody a termín "dojednanie" v súlade so zmluvnou praxou v medzinárodnom práve. 5. A, 6. N - upravené vnútorným predpisom, 7. N - formuláciu považujeme za správnu, 8. A</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čl. I bod 21 návrhu zákona:</w:t>
            </w:r>
            <w:r>
              <w:rPr>
                <w:rFonts w:ascii="Times" w:hAnsi="Times" w:cs="Times"/>
                <w:sz w:val="25"/>
                <w:szCs w:val="25"/>
              </w:rPr>
              <w:br/>
              <w:t>1. Dávame predkladateľovi na zváženie vypustiť § 14a ods. 1 návrhu zákona pre jeho nadbytočnosť. Rovnakú pripomienku uplatňujeme aj pri § 14b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Ustanovenie považujeme za potrebné ponechať z dôvodu prehľadnosti a rešpektovania princípu právnej istoty.</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1. Odporúčame do doložky zlučiteľnosti doplniť nariadenie (EÚ) č. 650/2012 a rozhodnutie č. 94/409/SZBP v platnom znení. 2. Žiadame v bode 4 písm. d) doložky uviesť informáciu o právnych predpisoch, v ktorých sú preberané smernice už prebraté spolu s uvedením rozsahu tohto prebratia, prípadne informáciu, že je to na účely návrhu zákona bezpredmetné.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Bolo doplnené rozhodnutie 96/409/SZBP.</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tabuľke zhody so smernicou (EÚ) 2015.637:</w:t>
            </w:r>
            <w:r>
              <w:rPr>
                <w:rFonts w:ascii="Times" w:hAnsi="Times" w:cs="Times"/>
                <w:sz w:val="25"/>
                <w:szCs w:val="25"/>
              </w:rPr>
              <w:br/>
              <w:t xml:space="preserve">1. Pri preukazovaní transpozície čl. 10 ods. 4 smernice, žiadame vyplniť stĺpec 7 tabuľky zhody. Rovnako žiadame vyplniť stĺpec 7 tabuľky zhody pri preukazovaní transpozície čl. 15 ods. 3 smernice a čl. 19 ods. 1 smernice. 2. Pri preukazovaní transpozície čl. 13 ods. 4 smernice, žiadame vyplniť stĺpec 4 a 7 tabuľky zhody.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čl. I bod 21 návrhu zákona:</w:t>
            </w:r>
            <w:r>
              <w:rPr>
                <w:rFonts w:ascii="Times" w:hAnsi="Times" w:cs="Times"/>
                <w:sz w:val="25"/>
                <w:szCs w:val="25"/>
              </w:rPr>
              <w:br/>
              <w:t xml:space="preserve">10. V §14h ods. 17 návrhu zákona žiadame špecifikovať „podporu z nástrojov Európskej únie“.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čl. I bod 21 návrhu zákona:</w:t>
            </w:r>
            <w:r>
              <w:rPr>
                <w:rFonts w:ascii="Times" w:hAnsi="Times" w:cs="Times"/>
                <w:sz w:val="25"/>
                <w:szCs w:val="25"/>
              </w:rPr>
              <w:br/>
              <w:t xml:space="preserve">2. V § 14c návrhu zákona sú vymenované konzulárne funkcie </w:t>
            </w:r>
            <w:r>
              <w:rPr>
                <w:rFonts w:ascii="Times" w:hAnsi="Times" w:cs="Times"/>
                <w:sz w:val="25"/>
                <w:szCs w:val="25"/>
              </w:rPr>
              <w:lastRenderedPageBreak/>
              <w:t xml:space="preserve">zverené diplomatickej misii a konzulárnemu úradu. V § 14f ods. 1 sú vymenované konzulárne funkcie zverené príslušnému útvaru ministerstva, pričom sa odkazuje aj na funkcie podľa § 14c. Z uvedených ustanovení však nie je zrejmé, kto dané funkcie kedy vykonáva. Žiadame doplniť do návrhu zákona, resp. vysvetliť v osobitnej časti dôvodovej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 xml:space="preserve">Výkon konzulárnych funkcií upravujú jednotlivé všeobecne záväzné právne </w:t>
            </w:r>
            <w:r>
              <w:rPr>
                <w:rFonts w:ascii="Times" w:hAnsi="Times" w:cs="Times"/>
                <w:sz w:val="25"/>
                <w:szCs w:val="25"/>
              </w:rPr>
              <w:lastRenderedPageBreak/>
              <w:t>predpisy a vnútorné predpisy ministerstva.</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čl. I bod 21 návrhu zákona:</w:t>
            </w:r>
            <w:r>
              <w:rPr>
                <w:rFonts w:ascii="Times" w:hAnsi="Times" w:cs="Times"/>
                <w:sz w:val="25"/>
                <w:szCs w:val="25"/>
              </w:rPr>
              <w:br/>
              <w:t>3. V § 14g ods. 2 návrhu zákona je uvedené, že diplomatická misia a konzulárny úrad poskytujú konzulárnu ochranu aj rodinnému príslušníkovi, ktorý nie je občanom Európskej únie a sprevádza nezastúpeného občana v rovnakom rozsahu a za tých istých podmienok ako rodinnému príslušníkovi, ktorý nie je občanom Európskej únie a sprevádza občana. V ustanoveniach návrhu zákona však nie je zadefinované, v akom rozsahu a za akých podmienok sa poskytuje konzulárna ochrana rodinnému príslušníkovi, ktorý nie je občanom Európskej únie a sprevádza občana. Žiadame daný vzťah upraviť a doplniť do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Nie je možné vyšpecifikovať rozsah a podmienky poskytnutia konzulárnej ochrany vzhľadom povahu problematiky. Účelom smernice nie je špecifikovanie rozsahu a podmienok, ale zrovnoprávnenie poskytovania konzulárnej ochrany.</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čl. I bod 21 návrhu zákona:</w:t>
            </w:r>
            <w:r>
              <w:rPr>
                <w:rFonts w:ascii="Times" w:hAnsi="Times" w:cs="Times"/>
                <w:sz w:val="25"/>
                <w:szCs w:val="25"/>
              </w:rPr>
              <w:br/>
              <w:t xml:space="preserve">4. Ustanovenie § 14h ods. 2 návrhu zákona predstavuje transpozíciu čl. 7 ods. 3 smernice (EÚ) 2015/637. Predmetné ustanovenie návrhu zákona odkazuje na dohodu o trvalom zastupovaní, pričom smernica (EÚ) 2015/637 vo svojom čl. 7 ods. 3 odkazuje na praktické dojednania. Odporúčame uvedené ustanovenie prepracovať a odkázať na ustanovenie návrhu zákona, ktoré upravuje možnosť dojednania rozdelenia zodpovednosti a koordinácie pri poskytovaní konzulárnej </w:t>
            </w:r>
            <w:r>
              <w:rPr>
                <w:rFonts w:ascii="Times" w:hAnsi="Times" w:cs="Times"/>
                <w:sz w:val="25"/>
                <w:szCs w:val="25"/>
              </w:rPr>
              <w:lastRenderedPageBreak/>
              <w:t>ochrany nezastúpeným občanom.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Uvedené je transponované do § 14h ods. 3.</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čl. I bod 21 návrhu zákona:</w:t>
            </w:r>
            <w:r>
              <w:rPr>
                <w:rFonts w:ascii="Times" w:hAnsi="Times" w:cs="Times"/>
                <w:sz w:val="25"/>
                <w:szCs w:val="25"/>
              </w:rPr>
              <w:br/>
              <w:t xml:space="preserve">5. Do § 14h ods. 5 návrhu zákona je transponovaný čl. 3 smernice (EÚ) 2015/637, avšak nesprávne. Ustanovenie návrhu zákona upravuje neposkytnutie konzulárnej ochrany (pravdepodobne pri žiadosti nezastúpeného občana), avšak smernica upravuje dve situácie, a to situáciu- ako sa postupuje pri presmerovaní žiadosti nezastúpeného občana a situáciu- ako sa postupuje pri presmerovaní prípadu nezastúpeného občana, keď už mu je konzulárna ochrana poskytovaná. Taktiež nie je transponované ustanovenie čl. 3 smernice (EÚ) 2015/637, v ktorom je uvedené, že „Dožiadaný členský štát sa prípadu vzdá hneď, ako členský štát, ktorého je nezastúpený občan štátnym príslušníkom, potvrdí, že nezastúpenému občanovi poskytuje konzulárnu ochranu.“. Zároveň je potrebné ustanovenie čl. 3 smernice (EÚ) 2015/637 transponovať do návrhu zákona aj tak, aby z neho bolo zrejmé, že aj Slovenská republika môže požiadať iný členský štát o postúpenie žiadosti o konzulárnu ochranu, ktorú podal náš štátny občan. Žiadame správne transponovať.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čl. I bod 21 návrhu zákona:</w:t>
            </w:r>
            <w:r>
              <w:rPr>
                <w:rFonts w:ascii="Times" w:hAnsi="Times" w:cs="Times"/>
                <w:sz w:val="25"/>
                <w:szCs w:val="25"/>
              </w:rPr>
              <w:br/>
              <w:t xml:space="preserve">6. Do § 14h ods. 8 návrhu zákona je transponovaný čl. 10 ods. 3 smernice (EÚ) 2015/637, avšak neúplne. Žiadame predmetné ustanovenie smernice transponovať do návrhu zákona aj tak, aby z neho bolo zrejmé, že diplomatická misia a konzulárny úrad môžu žiadať informácie v súvislosti s poskytnutím konzulárnej ochrany nezastúpenému občanovi (ktorý je občanom SR), od </w:t>
            </w:r>
            <w:r>
              <w:rPr>
                <w:rFonts w:ascii="Times" w:hAnsi="Times" w:cs="Times"/>
                <w:sz w:val="25"/>
                <w:szCs w:val="25"/>
              </w:rPr>
              <w:lastRenderedPageBreak/>
              <w:t xml:space="preserve">členského štátu, ktorý mu takúto konzulárnu ochranu poskytol. V takomto prípade bude SR zodpovedná za všetky potrebné kontakty s rodinnými príslušníkmi alebo relevantnými osobami alebo orgánmi nášho občana, ktorý je nezastúpeným občanom tak, ako to vyplýva s čl. 10 ods. 3 smernice (EÚ) 2015/637. Žiadame transponovať.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čl. I bod 21 návrhu zákona:</w:t>
            </w:r>
            <w:r>
              <w:rPr>
                <w:rFonts w:ascii="Times" w:hAnsi="Times" w:cs="Times"/>
                <w:sz w:val="25"/>
                <w:szCs w:val="25"/>
              </w:rPr>
              <w:br/>
              <w:t>7. V ustanovení § 14h ods. 9 návrhu zákona žiadame špecifikovať od koho si môže diplomatická misia, konzulárny úrad alebo príslušný útvar ministerstva vyžiadať informácie o poskytnutí konzulárnej ochrany občanovi v tretej krajine, v ktorej Slovenská republika nemá diplomatickú misiu alebo konzulárny úrad.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Takáto špecifikácia nie je vzhľadom na aplikačnú prax možná a ani žiaduca.</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čl. I bod 21 návrhu zákona:</w:t>
            </w:r>
            <w:r>
              <w:rPr>
                <w:rFonts w:ascii="Times" w:hAnsi="Times" w:cs="Times"/>
                <w:sz w:val="25"/>
                <w:szCs w:val="25"/>
              </w:rPr>
              <w:br/>
              <w:t xml:space="preserve">8. Žiadame preformulovať ustanovenie § 14h ods. 10 návrhu zákona, keďže z neho nie je zrejmé, ktorá diplomatická misia, konzulárny úrad alebo príslušný útvar ministerstva poskytnú konzulárnu ochranu občanovi v tretej krajine, v ktorej nemá Slovenská republika diplomatickú misiu alebo konzulárny úrad.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Upravené podľa inej pripomienky.</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čl. I bod 21 návrhu zákona:</w:t>
            </w:r>
            <w:r>
              <w:rPr>
                <w:rFonts w:ascii="Times" w:hAnsi="Times" w:cs="Times"/>
                <w:sz w:val="25"/>
                <w:szCs w:val="25"/>
              </w:rPr>
              <w:br/>
              <w:t>9. Do § 14h ods. 13 resp. 17 návrhu zákona žiadame doplniť, že ak Slovenská republika plní v treťom štáte úlohu štátu, ktorý koordinuje pomoc v prípade krízy, je zodpovedná za koordináciu akejkoľvek podpory poskytnutej nezastúpeným občanom tak, ako to vyžaduje čl. 13 ods. 3 smernice (EÚ) 2015/637.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V § 14e ods. 1 písm. c), § 14f ods. 1 písm. e), § 25 ods. 1 návrhu zákona sa používa pojem „cudzí štát“, pričom v návrhu zákona nie je tento pojem zadefinovaný. V ďalších ustanoveniach zákona sa používa pojem „iný štát“ (napr. ustanovenie § 4 ods. 1 písm. b) a ods. 2 písm. b), § 10 ods. 5, § 14d písm. c) ) a v ustanovení § 26c ods. 1 sa používa pojem „cudzina“. Žiadame v celom texte návrhu zákona zjednotiť používanie pojmov „iný štát“, „cudzí štát“ a „cudzina“, prípadne zadefinovať tak, aby bolo zrejmé, že tento pojem zahŕňa „členský štát“ a rovnako aj „tretí štát“.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Pojmy boli zjednotené v tých častiach navrhovanej úpravy, kde to bolo vhodné a možné v zmysle osobitných predpisov.</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čl. I bod 5 návrhu zákona:</w:t>
            </w:r>
            <w:r>
              <w:rPr>
                <w:rFonts w:ascii="Times" w:hAnsi="Times" w:cs="Times"/>
                <w:sz w:val="25"/>
                <w:szCs w:val="25"/>
              </w:rPr>
              <w:br/>
              <w:t xml:space="preserve">V § 4 ods. 8 návrhu zákona žiadame zadefinovať „nezastúpeného občana“ tak, aby z predmetnej definície bolo zrejmé, že takýmto občanom je okrem občana iného členského štátu aj občan Slovenskej republiky. Takáto definícia vyplýva z čl. 4 smernice (EÚ) 2015/637.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Smernica v 5. bode preambuly uvádza, že konzulárna ochrana sa má občanom a nezastúpeným občanom poskytovať rovnako. Z uvedeného vyplýva, že z pohľadu SR nebude nikdy náš štátny občan pri poskytovaní konzulárnej ochrany ministerstvom nezastúpeným občanom. Takéto postavenie mu bude priznané v ostatných právnych poriadkoch členských krajín EÚ.</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čl. II návrhu zákona:</w:t>
            </w:r>
            <w:r>
              <w:rPr>
                <w:rFonts w:ascii="Times" w:hAnsi="Times" w:cs="Times"/>
                <w:sz w:val="25"/>
                <w:szCs w:val="25"/>
              </w:rPr>
              <w:br/>
              <w:t xml:space="preserve">V čl. II návrhu zákona je ustanovená rozdielna účinnosť návrhu zákona. Upozorňujeme, že nie je zrejmé, prečo predkladateľ zvolil účinnosť § 20a, § 20b a príloh č. 5 a 6 na neskorší dátum. Takáto úprava môže spôsobiť problémy v aplikačnej praxi, </w:t>
            </w:r>
            <w:r>
              <w:rPr>
                <w:rFonts w:ascii="Times" w:hAnsi="Times" w:cs="Times"/>
                <w:sz w:val="25"/>
                <w:szCs w:val="25"/>
              </w:rPr>
              <w:lastRenderedPageBreak/>
              <w:t xml:space="preserve">keďže sa s účinnosťou od 1.1.2018 mení znenie prílohy I a II na ktorú § 20a a 20b odkazujú, z čoho vyplýva, že v období od 1.1.2018 do 1.1.2019 budú §20a a 20b (Funkcia a platová trieda, Platové náležitosti) odkazovať na obsahovo nesúvisiace prílohy (Vzory osvedčovacích doložiek a náležitosti osvedčovacích doložiek podľa §14e a Vzor osvedčovacej doložky a náležitosti osvedčovacej doložky podľa § 14f). Žiadame opraviť.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čl. I bod 48 návrhu zákona:</w:t>
            </w:r>
            <w:r>
              <w:rPr>
                <w:rFonts w:ascii="Times" w:hAnsi="Times" w:cs="Times"/>
                <w:sz w:val="25"/>
                <w:szCs w:val="25"/>
              </w:rPr>
              <w:br/>
              <w:t xml:space="preserve">V názve prílohy č. 2 žiadame predložku „s“ nahradiť spojkou „a“.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poznámke pod čiarou k odkazu č. 12i:</w:t>
            </w:r>
            <w:r>
              <w:rPr>
                <w:rFonts w:ascii="Times" w:hAnsi="Times" w:cs="Times"/>
                <w:sz w:val="25"/>
                <w:szCs w:val="25"/>
              </w:rPr>
              <w:br/>
              <w:t xml:space="preserve">V poznámke pod čiarou k odkazu č. 12i) žiadame pri citácii nariadenia (ES) č. 1393/2007 doplniť dodatok „v platnom znení“, keďže v zmysle bodu 62.6. prílohy č. 1 k Legislatívnym pravidlám vlády SR: „Ak má právne záväzný akt Európskej únie jednu novelizáciu alebo viacero novelizácií, uvádza sa s dodatkom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Bod 4</w:t>
            </w:r>
            <w:r>
              <w:rPr>
                <w:rFonts w:ascii="Times" w:hAnsi="Times" w:cs="Times"/>
                <w:sz w:val="25"/>
                <w:szCs w:val="25"/>
              </w:rPr>
              <w:br/>
              <w:t xml:space="preserve">Novelizačný bod odporúčame uvádzať ako posledný novelizačný bod Čl. I v súlade so zaužívanou legislatívno-technickou praxou pri nahrádzaní často používaných výrazov. (napr. zákon č. 180/2013 Z. z.o organizácii miestnej štátnej správy a o zmene a doplnení niektorých zákonov). Legislatívno-technická </w:t>
            </w:r>
            <w:r>
              <w:rPr>
                <w:rFonts w:ascii="Times" w:hAnsi="Times" w:cs="Times"/>
                <w:sz w:val="25"/>
                <w:szCs w:val="25"/>
              </w:rPr>
              <w:lastRenderedPageBreak/>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Novelizačný bod sa týka ustanovenia, kde sa zmena vyskytuje prvýkrát v návrhu zákona.</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Bod 3</w:t>
            </w:r>
            <w:r>
              <w:rPr>
                <w:rFonts w:ascii="Times" w:hAnsi="Times" w:cs="Times"/>
                <w:sz w:val="25"/>
                <w:szCs w:val="25"/>
              </w:rPr>
              <w:br/>
              <w:t>Odporúčame vypustiť novelizačný bod 3 a jeho znenie uvádzať na konci novelizačného bodu 5. Legislatívno-technická pripomienka (bod 38 prílohy č. 1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Odkaz 2 na zákon č. 55/2017 Z. z. je potrebné uviesť už v úvodnej vete § 3.</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Bod 21</w:t>
            </w:r>
            <w:r>
              <w:rPr>
                <w:rFonts w:ascii="Times" w:hAnsi="Times" w:cs="Times"/>
                <w:sz w:val="25"/>
                <w:szCs w:val="25"/>
              </w:rPr>
              <w:br/>
              <w:t>V § 14b ods. 2 odporúčame pred slovo "útvar" doplniť slovo "príslušný" v súlade so znením § 14a ods. 1. v zmysle požiadavky podľa čl 6 ods. 2 Legislatívnych pravidiel vlády SR.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Pripomienka nejasná.</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Bod 5</w:t>
            </w:r>
            <w:r>
              <w:rPr>
                <w:rFonts w:ascii="Times" w:hAnsi="Times" w:cs="Times"/>
                <w:sz w:val="25"/>
                <w:szCs w:val="25"/>
              </w:rPr>
              <w:br/>
              <w:t>V § 4 ods. 1 písm. a) je cez odkaz uvádzaný zákon o štátnej službe ako osobitný predpis. Upozorňujeme predkladateľa na skutočnosť, že zákon č. 55/2017 o štátnej službe je všeobecným predpisom pre oblasť štátnej služby. Túto pripomienku primerane uplatňujeme aj k zneniu úvodnej vety platného § 3. Zároveň je potrebné poznámku pod čiarou k odkazu 2) precizovať v súlade na predmet, na ktorý má odkazovať. 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Pripomienka nejasná.</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dôvodovej správe - osobitná časť</w:t>
            </w:r>
            <w:r>
              <w:rPr>
                <w:rFonts w:ascii="Times" w:hAnsi="Times" w:cs="Times"/>
                <w:sz w:val="25"/>
                <w:szCs w:val="25"/>
              </w:rPr>
              <w:br/>
              <w:t xml:space="preserve">K bodu 23: K § 15c Na konci vety odporúčame za slovo „v celku“ doplniť slová „v rozsahu prekračujúcom dva týždne“. </w:t>
            </w:r>
            <w:r>
              <w:rPr>
                <w:rFonts w:ascii="Times" w:hAnsi="Times" w:cs="Times"/>
                <w:sz w:val="25"/>
                <w:szCs w:val="25"/>
              </w:rPr>
              <w:lastRenderedPageBreak/>
              <w:t>Odôvodnenie: Spresnenie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Pripomienka nejasná.</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dôvodovej správe - osobitná časť</w:t>
            </w:r>
            <w:r>
              <w:rPr>
                <w:rFonts w:ascii="Times" w:hAnsi="Times" w:cs="Times"/>
                <w:sz w:val="25"/>
                <w:szCs w:val="25"/>
              </w:rPr>
              <w:br/>
              <w:t xml:space="preserve">K bodu 41: Slovo „dôvodom“ odporúčame nahradiť slovom „druhom“. Odôvodnenie: Spresnenie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Uvedenú formuláciu považuje za správnu.</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dôvodovej správe - osobitná časť</w:t>
            </w:r>
            <w:r>
              <w:rPr>
                <w:rFonts w:ascii="Times" w:hAnsi="Times" w:cs="Times"/>
                <w:sz w:val="25"/>
                <w:szCs w:val="25"/>
              </w:rPr>
              <w:br/>
              <w:t xml:space="preserve">K bodu 4: Slovo „nahrádzajú“ odporúčame uviesť do správneho gramatického tvaru „nahradiť“. K bodu 10: V poslednej vete odporúčame slovo „uvedené“ uviesť do správneho gramatického tvaru „uvedený“. K bodu 21: k § 14 c V texte uvedenom pod šiestou zarážkou v poslednej vete odporúčame za slovo „služieb“ vložiť slovo „sa“. K § 14d V piatej vete odporúčame slovo „zahrnutá“ uviesť do správneho gramatického tvaru „zahrnuté“ a tiež slovo „vo veciam“ do správneho tvaru „vo veciach“. K § 14f V texte uvedenom pod piatou zarážkou odporúčame za slovo „Slovenskej“ vložiť slovo „republiky“ a pred slovo „dvoch“ vložiť predložku „v“. Odôvodnenie: Gramatická úprava a spresnenie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čl. I bodu 11: Odporúčame pred slovo „rozvojovej pomoci“ vložiť slovo „oficiálnej“. Odôvodnenie: Sprecizovanie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K čl. I bodu 23: V § 15c odseku 1 odporúčame za slovo „Poveriť“ vložiť slovo „štátneho zamestnanca“. Odôvodnenie: Spresnenie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čl. I bodu 39: V § 25 znenie odseku 1 odporúčame preformulovať takto: „Odo dňa, keď štátny zamestnanec v služobnom úrade, ktorým je ministerstvo, pôsobí so súhlasom ministerstva v orgáne verejnej moci iného štátu alebo v medzinárodnej organizácii a za vykonávanie funkcie dostáva plat od orgánu verejnej moci iného štátu alebo medzinárodnej organizácie, zaradí ministerstvo tohto štátneho zamestnanca mimo činnej štátnej služby“. Odôvodnenie: Sprecizovanie textu v nadväznosti znenie § 23 písm. a) a § 24 ods. 1 zákona o zahraničnej službe.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Predkladateľ považuje znenie za vhodné.</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K čl. I bodu 43: V § 26a odseku 1odporúčame nahradiť slová „osobu, ktorá je zamestnancom“ slovom „štátneho zamestnanca“. V § 26f odseku 1 druhej vete odporúčame odkaz 21b) nahradiť odkazom, ktorý nadväzuje na číslovanie odkazov v texte právneho predpisu a súčasne v citácii poznámky pod čiarou k novému odkazu uviesť správne ustanovenie právneho predpisu, nakoľko na uvedený text sa nevzťahuje odkaz 21b). V § 26 f odseku 2 upozorňujeme, že z dôvodov ustanovených v odseku 1, teda ak nemožno zaradiť štátneho zamestnanca na vykonávanie štátnej služby na štátnozamestnanecké miesto podľa § 26c, 26d alebo 26e, alebo na iné vhodné štátnozamestnanecké miesto, nebude možné skončiť štátnozamestnanecký pomer podľa § 71 písm. b) zákona o štátnej službe, výpoveďou zo strany služobného úradu, pretože pôvodné miesto nebolo zrušené. V tejto súvislosti odporúčame </w:t>
            </w:r>
            <w:r>
              <w:rPr>
                <w:rFonts w:ascii="Times" w:hAnsi="Times" w:cs="Times"/>
                <w:sz w:val="25"/>
                <w:szCs w:val="25"/>
              </w:rPr>
              <w:lastRenderedPageBreak/>
              <w:t>prehodnotiť úpravu v odseku 2 a odseku 3 prípadne úpravu v § 26c, 26d a 26e.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 xml:space="preserve">K návrhu uznesenia vlády </w:t>
            </w:r>
            <w:r>
              <w:rPr>
                <w:rFonts w:ascii="Times" w:hAnsi="Times" w:cs="Times"/>
                <w:sz w:val="25"/>
                <w:szCs w:val="25"/>
              </w:rPr>
              <w:br/>
              <w:t xml:space="preserve">V bode B slovo „ministrovi“ odporúčame uviesť do správneho gramatického tvaru „ministra“.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čl. I bode 21 v § 14g ods. 5</w:t>
            </w:r>
            <w:r>
              <w:rPr>
                <w:rFonts w:ascii="Times" w:hAnsi="Times" w:cs="Times"/>
                <w:sz w:val="25"/>
                <w:szCs w:val="25"/>
              </w:rPr>
              <w:br/>
              <w:t xml:space="preserve">odporúčame doplniť „platným“ (cestovným dokladom) ... iným „platným“ (preukazom totožnosti).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V zmysle aplikačnej praxe je v určitých prípadoch nápomocné mať k dispozícii aj neplatný doklad, ak nie sú pochybnosti o jeho pravosti.</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čl. I bode 21 v § 14h ods. 3</w:t>
            </w:r>
            <w:r>
              <w:rPr>
                <w:rFonts w:ascii="Times" w:hAnsi="Times" w:cs="Times"/>
                <w:sz w:val="25"/>
                <w:szCs w:val="25"/>
              </w:rPr>
              <w:br/>
              <w:t>odporúčame nahradiť slová „“dojednať rozdelenie zodpovednosti a koordináciu“ slovami „dojednať koordináciu a rozdelenie zodpovednosti“.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Obsahovo je navrhované znenie totožné so znením pripomienky. Taktiež je potrebné najskôr rozdeliť zodpovednosť a až následne koordinovať činnosť.</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 xml:space="preserve">čl. I bode 21 v § 14g </w:t>
            </w:r>
            <w:r>
              <w:rPr>
                <w:rFonts w:ascii="Times" w:hAnsi="Times" w:cs="Times"/>
                <w:sz w:val="25"/>
                <w:szCs w:val="25"/>
              </w:rPr>
              <w:br/>
              <w:t xml:space="preserve">odporúčame nahradiť slová „diplomatická misia a konzulárny úrad“ slovami „diplomatická misia, konzulárny úrad a príslušný útvar ministerstva“. Odôvodnenie: Navrhovaná pripomienka je v súlade so znením § 14a návrhu zákona, podľa ktorého konzulárne činnosti vymedzené v §14a ods. 2 ako konzulárne funkcie a konzulárna ochrana vykonáva diplomatická misia, konzulárny úrad a príslušný útvar ministerstva. Rovnako sa v ustanovení § 14h ods. 10 uvádza, že „ministerstvo môže určiť, že konzulárnu ochranu tomuto občanovi poskytne ... alebo príslušný útvar ministerstva“.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Predmetné ustanovenie transponuje smernicu, ktorá upravuje poskytovanie konzulárnej ochrany zastupiteľskými úradmi. Ustanovenie navrhovaného § 14h ods. 10 bolo primerane upravené.</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 xml:space="preserve">čl. I bode 21 v § 14g ods. 2 </w:t>
            </w:r>
            <w:r>
              <w:rPr>
                <w:rFonts w:ascii="Times" w:hAnsi="Times" w:cs="Times"/>
                <w:sz w:val="25"/>
                <w:szCs w:val="25"/>
              </w:rPr>
              <w:br/>
              <w:t>odporúčame nahradiť slová „občanom Európskej únie“ slovami „občanom členského štátu“.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Pojemy "občan Európskej únie" a "občan členského štátu" sú v zmysle zavedených legislatívnych skratiek obsahovo totožné. Občan Európskej únie je legálnym pojmom v zmysle práva Európskej únie.</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čl. I bode 5 v § 4 ods. 9 a celom znení návrhu</w:t>
            </w:r>
            <w:r>
              <w:rPr>
                <w:rFonts w:ascii="Times" w:hAnsi="Times" w:cs="Times"/>
                <w:sz w:val="25"/>
                <w:szCs w:val="25"/>
              </w:rPr>
              <w:br/>
              <w:t>odporúčame nahradiť slová „právnickej osoby zriadenej podľa právneho poriadku Slovenskej republiky so sídlom na území Slovenskej republiky“ slovami „právnickej osoby so sídlom na území Slovenskej republiky, zriadenej podľa právneho poriadku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 xml:space="preserve">čl. I bode 21 v § 14e ods. 2, posledná veta a ďalej v texte </w:t>
            </w:r>
            <w:r>
              <w:rPr>
                <w:rFonts w:ascii="Times" w:hAnsi="Times" w:cs="Times"/>
                <w:sz w:val="25"/>
                <w:szCs w:val="25"/>
              </w:rPr>
              <w:br/>
              <w:t>odporúčame nahradiť slová „prekryjú nálepkou a odtlačkom úradnej pečiatky“ slovami „prekryjú nálepkou a opatria odtlačkom úradnej pečiatky“.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 xml:space="preserve">čl. I bode 21 v § 14h ods. 14 </w:t>
            </w:r>
            <w:r>
              <w:rPr>
                <w:rFonts w:ascii="Times" w:hAnsi="Times" w:cs="Times"/>
                <w:sz w:val="25"/>
                <w:szCs w:val="25"/>
              </w:rPr>
              <w:br/>
              <w:t>odporúčame nahradiť slová „vyžiadať záväzok“ slovami „vyžiadať prísľub“.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Diplomatická misia a konzulárny úrad budú od občana a nezastúpeného občana vyžadovať záväzok, že uhradí náklady, ktoré na neho vynaložila Slovenská republika z rozpočtu verejnej správy. Tento záväzok má v zmysle transponovanej smernice formu prísľubu, ktorého vzor je uvedený v prílohe.</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 xml:space="preserve">čl. I bod 21 v § 14i </w:t>
            </w:r>
            <w:r>
              <w:rPr>
                <w:rFonts w:ascii="Times" w:hAnsi="Times" w:cs="Times"/>
                <w:sz w:val="25"/>
                <w:szCs w:val="25"/>
              </w:rPr>
              <w:br/>
              <w:t>odporúčame nahradiť slová „získavať kopírovaním, skenovaním alebo iným zaznamenávaním osobné údaje, ako aj ďalšie údaje z úradných dokladov alebo iných dokladov“ slovami „spracúvať osobné údaje, ako aj ďalšie údaje z úradných dokladov alebo iných dokladov“. Zvyšok vety navrhujeme vypustiť, okrem odkazu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čl. I bod 21 v § 14c</w:t>
            </w:r>
            <w:r>
              <w:rPr>
                <w:rFonts w:ascii="Times" w:hAnsi="Times" w:cs="Times"/>
                <w:sz w:val="25"/>
                <w:szCs w:val="25"/>
              </w:rPr>
              <w:br/>
              <w:t>odporúčame nahradiť slovo „víza“ slovom „víz“.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V zmysle Legislatívnych pravidiel vlády SR je použité podstatné meno v jednotnom čísle.</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čl. I bod 5 v § 4 ods. 9</w:t>
            </w:r>
            <w:r>
              <w:rPr>
                <w:rFonts w:ascii="Times" w:hAnsi="Times" w:cs="Times"/>
                <w:sz w:val="25"/>
                <w:szCs w:val="25"/>
              </w:rPr>
              <w:br/>
              <w:t>odporúčame nahradiť spojenie „...bez dostatočných finančných prostriedkov na cestu a pobyt. Toto neplatí ...“ slovami „„...bez dostatočných finančných prostriedkov na cestu a pobyt; to neplatí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 xml:space="preserve">čl. I bod 5 v § 4 ods. 10 </w:t>
            </w:r>
            <w:r>
              <w:rPr>
                <w:rFonts w:ascii="Times" w:hAnsi="Times" w:cs="Times"/>
                <w:sz w:val="25"/>
                <w:szCs w:val="25"/>
              </w:rPr>
              <w:br/>
              <w:t>odporúčame nahradiť spojenie „ktorá predstavuje“ slovami „ktorou 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 xml:space="preserve">čl. I bode 21 v § 14g ods. 4 </w:t>
            </w:r>
            <w:r>
              <w:rPr>
                <w:rFonts w:ascii="Times" w:hAnsi="Times" w:cs="Times"/>
                <w:sz w:val="25"/>
                <w:szCs w:val="25"/>
              </w:rPr>
              <w:br/>
              <w:t xml:space="preserve">odporúčame pre duplicitu vypustiť celé ustanovenie pod písm. g).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Ustanovenie písm. g) považujeme za potrebné aj vzhľadom na transpozíciu smernice.</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 xml:space="preserve">čl. I bod 23 v § 15c </w:t>
            </w:r>
            <w:r>
              <w:rPr>
                <w:rFonts w:ascii="Times" w:hAnsi="Times" w:cs="Times"/>
                <w:sz w:val="25"/>
                <w:szCs w:val="25"/>
              </w:rPr>
              <w:br/>
              <w:t>odporúčame preformulovať celé ustanovenie ods. 1. a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Pripomienka nejasná.</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 xml:space="preserve">čl. I bode 43 § 26c </w:t>
            </w:r>
            <w:r>
              <w:rPr>
                <w:rFonts w:ascii="Times" w:hAnsi="Times" w:cs="Times"/>
                <w:sz w:val="25"/>
                <w:szCs w:val="25"/>
              </w:rPr>
              <w:br/>
              <w:t>odporúčame preformulovať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Pripomienka nejasná.</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 xml:space="preserve">čl. I bod 43 § 26d </w:t>
            </w:r>
            <w:r>
              <w:rPr>
                <w:rFonts w:ascii="Times" w:hAnsi="Times" w:cs="Times"/>
                <w:sz w:val="25"/>
                <w:szCs w:val="25"/>
              </w:rPr>
              <w:br/>
              <w:t>odporúčame preformulovať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Pripomienka nejasná.</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 xml:space="preserve">čl. I bode 43 § 26e </w:t>
            </w:r>
            <w:r>
              <w:rPr>
                <w:rFonts w:ascii="Times" w:hAnsi="Times" w:cs="Times"/>
                <w:sz w:val="25"/>
                <w:szCs w:val="25"/>
              </w:rPr>
              <w:br/>
              <w:t>odporúčame preformulovať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Pripomienka nejasná.</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čl. I bode 43 § 26a</w:t>
            </w:r>
            <w:r>
              <w:rPr>
                <w:rFonts w:ascii="Times" w:hAnsi="Times" w:cs="Times"/>
                <w:sz w:val="25"/>
                <w:szCs w:val="25"/>
              </w:rPr>
              <w:br/>
              <w:t xml:space="preserve">odporúčame preformulovať prvú časť vety.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Pripomienka nejasná.</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čl. I bode 21 v § 14f</w:t>
            </w:r>
            <w:r>
              <w:rPr>
                <w:rFonts w:ascii="Times" w:hAnsi="Times" w:cs="Times"/>
                <w:sz w:val="25"/>
                <w:szCs w:val="25"/>
              </w:rPr>
              <w:br/>
              <w:t xml:space="preserve">odporúčame za písm. b) zaradiť nové ustanovenie „poskytuje konzulárnu ochranu podľa § 14h ods. 10“.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 14 f tvorí výpočet konzulárnych funkcií, ktoré vykonáva príslušný útvar ministerstva. Konzulárne činnosti sú delené na konzulárne funkcie a konzulárnu ochranu, ktorá je upravená ďalej v návrhu zákona ( § 14g-14i).</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čl. I bode 21 v § 14f ods. 1</w:t>
            </w:r>
            <w:r>
              <w:rPr>
                <w:rFonts w:ascii="Times" w:hAnsi="Times" w:cs="Times"/>
                <w:sz w:val="25"/>
                <w:szCs w:val="25"/>
              </w:rPr>
              <w:br/>
              <w:t xml:space="preserve">odporúčame zameniť poradie uvádzané pod písm. a) a b). Odôvodnenie: Domnievame sa, že v ustanovení §14f ods. 1 písm. a) by malo byť výslovne vyjadrené, že príslušný útvar ministerstva je odvolacím orgánom v konaní o udelení víza podľa § 14c písm. a), ak o udelení víza rozhodla diplomatická misia alebo konzulárny úrad.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sz w:val="25"/>
                <w:szCs w:val="25"/>
              </w:rPr>
              <w:t>Navrhované znenie považujeme za správne a zrozumiteľné.</w:t>
            </w:r>
          </w:p>
        </w:tc>
      </w:tr>
      <w:tr w:rsidR="00E01A91">
        <w:trPr>
          <w:divId w:val="20617831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rPr>
                <w:rFonts w:ascii="Times" w:hAnsi="Times" w:cs="Times"/>
                <w:sz w:val="25"/>
                <w:szCs w:val="25"/>
              </w:rPr>
            </w:pPr>
            <w:r>
              <w:rPr>
                <w:rFonts w:ascii="Times" w:hAnsi="Times" w:cs="Times"/>
                <w:b/>
                <w:bCs/>
                <w:sz w:val="25"/>
                <w:szCs w:val="25"/>
              </w:rPr>
              <w:t xml:space="preserve">čl. I bode 21 v § 14e ods. 2 a v ďalšom texte </w:t>
            </w:r>
            <w:r>
              <w:rPr>
                <w:rFonts w:ascii="Times" w:hAnsi="Times" w:cs="Times"/>
                <w:sz w:val="25"/>
                <w:szCs w:val="25"/>
              </w:rPr>
              <w:br/>
              <w:t xml:space="preserve">odporúčame zjednotiť terminológiu pri používaní slov „nálepka“ </w:t>
            </w:r>
            <w:r>
              <w:rPr>
                <w:rFonts w:ascii="Times" w:hAnsi="Times" w:cs="Times"/>
                <w:sz w:val="25"/>
                <w:szCs w:val="25"/>
              </w:rPr>
              <w:lastRenderedPageBreak/>
              <w:t>a „samolepka“.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01A91" w:rsidRDefault="00E01A91">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CF59C4"/>
    <w:rsid w:val="00D261C9"/>
    <w:rsid w:val="00D85172"/>
    <w:rsid w:val="00D969AC"/>
    <w:rsid w:val="00DF7085"/>
    <w:rsid w:val="00E01A91"/>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46871">
      <w:bodyDiv w:val="1"/>
      <w:marLeft w:val="0"/>
      <w:marRight w:val="0"/>
      <w:marTop w:val="0"/>
      <w:marBottom w:val="0"/>
      <w:divBdr>
        <w:top w:val="none" w:sz="0" w:space="0" w:color="auto"/>
        <w:left w:val="none" w:sz="0" w:space="0" w:color="auto"/>
        <w:bottom w:val="none" w:sz="0" w:space="0" w:color="auto"/>
        <w:right w:val="none" w:sz="0" w:space="0" w:color="auto"/>
      </w:divBdr>
    </w:div>
    <w:div w:id="296879475">
      <w:bodyDiv w:val="1"/>
      <w:marLeft w:val="0"/>
      <w:marRight w:val="0"/>
      <w:marTop w:val="0"/>
      <w:marBottom w:val="0"/>
      <w:divBdr>
        <w:top w:val="none" w:sz="0" w:space="0" w:color="auto"/>
        <w:left w:val="none" w:sz="0" w:space="0" w:color="auto"/>
        <w:bottom w:val="none" w:sz="0" w:space="0" w:color="auto"/>
        <w:right w:val="none" w:sz="0" w:space="0" w:color="auto"/>
      </w:divBdr>
    </w:div>
    <w:div w:id="1116951915">
      <w:bodyDiv w:val="1"/>
      <w:marLeft w:val="0"/>
      <w:marRight w:val="0"/>
      <w:marTop w:val="0"/>
      <w:marBottom w:val="0"/>
      <w:divBdr>
        <w:top w:val="none" w:sz="0" w:space="0" w:color="auto"/>
        <w:left w:val="none" w:sz="0" w:space="0" w:color="auto"/>
        <w:bottom w:val="none" w:sz="0" w:space="0" w:color="auto"/>
        <w:right w:val="none" w:sz="0" w:space="0" w:color="auto"/>
      </w:divBdr>
    </w:div>
    <w:div w:id="1340043241">
      <w:bodyDiv w:val="1"/>
      <w:marLeft w:val="0"/>
      <w:marRight w:val="0"/>
      <w:marTop w:val="0"/>
      <w:marBottom w:val="0"/>
      <w:divBdr>
        <w:top w:val="none" w:sz="0" w:space="0" w:color="auto"/>
        <w:left w:val="none" w:sz="0" w:space="0" w:color="auto"/>
        <w:bottom w:val="none" w:sz="0" w:space="0" w:color="auto"/>
        <w:right w:val="none" w:sz="0" w:space="0" w:color="auto"/>
      </w:divBdr>
    </w:div>
    <w:div w:id="1544102171">
      <w:bodyDiv w:val="1"/>
      <w:marLeft w:val="0"/>
      <w:marRight w:val="0"/>
      <w:marTop w:val="0"/>
      <w:marBottom w:val="0"/>
      <w:divBdr>
        <w:top w:val="none" w:sz="0" w:space="0" w:color="auto"/>
        <w:left w:val="none" w:sz="0" w:space="0" w:color="auto"/>
        <w:bottom w:val="none" w:sz="0" w:space="0" w:color="auto"/>
        <w:right w:val="none" w:sz="0" w:space="0" w:color="auto"/>
      </w:divBdr>
    </w:div>
    <w:div w:id="1720400668">
      <w:bodyDiv w:val="1"/>
      <w:marLeft w:val="0"/>
      <w:marRight w:val="0"/>
      <w:marTop w:val="0"/>
      <w:marBottom w:val="0"/>
      <w:divBdr>
        <w:top w:val="none" w:sz="0" w:space="0" w:color="auto"/>
        <w:left w:val="none" w:sz="0" w:space="0" w:color="auto"/>
        <w:bottom w:val="none" w:sz="0" w:space="0" w:color="auto"/>
        <w:right w:val="none" w:sz="0" w:space="0" w:color="auto"/>
      </w:divBdr>
    </w:div>
    <w:div w:id="2061783148">
      <w:bodyDiv w:val="1"/>
      <w:marLeft w:val="0"/>
      <w:marRight w:val="0"/>
      <w:marTop w:val="0"/>
      <w:marBottom w:val="0"/>
      <w:divBdr>
        <w:top w:val="none" w:sz="0" w:space="0" w:color="auto"/>
        <w:left w:val="none" w:sz="0" w:space="0" w:color="auto"/>
        <w:bottom w:val="none" w:sz="0" w:space="0" w:color="auto"/>
        <w:right w:val="none" w:sz="0" w:space="0" w:color="auto"/>
      </w:divBdr>
    </w:div>
    <w:div w:id="210286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8.8.2017 16:29:20"/>
    <f:field ref="objchangedby" par="" text="Administrator, System"/>
    <f:field ref="objmodifiedat" par="" text="18.8.2017 16:29:3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10950</Words>
  <Characters>62418</Characters>
  <Application>Microsoft Office Word</Application>
  <DocSecurity>0</DocSecurity>
  <Lines>520</Lines>
  <Paragraphs>146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2017-08-18T14:29:00Z</dcterms:created>
  <dcterms:modified xsi:type="dcterms:W3CDTF">2017-08-18T14:29:00Z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width="99%"&gt;	&lt;tbody&gt;		&lt;tr&gt;			&lt;td colspan="5" style="width:100.0%;height:36px;"&gt;			&lt;h2 style="text-align: center;"&gt;&lt;strong&gt;Scenár 1: Verejnosť je informovaná o tvorbe právneho predpisu&lt;/strong&gt;</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Medzinárodné právo_x000d_
Právo EÚ_x000d_
Pracovné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Viktor Valla</vt:lpwstr>
  </property>
  <property fmtid="{D5CDD505-2E9C-101B-9397-08002B2CF9AE}" pid="11" name="FSC#SKEDITIONSLOVLEX@103.510:zodppredkladatel">
    <vt:lpwstr>Miroslav Lajčák</vt:lpwstr>
  </property>
  <property fmtid="{D5CDD505-2E9C-101B-9397-08002B2CF9AE}" pid="12" name="FSC#SKEDITIONSLOVLEX@103.510:dalsipredkladatel">
    <vt:lpwstr/>
  </property>
  <property fmtid="{D5CDD505-2E9C-101B-9397-08002B2CF9AE}" pid="13" name="FSC#SKEDITIONSLOVLEX@103.510:nazovpredpis">
    <vt:lpwstr>, ktorým sa mení a dopĺňa zákon č. 151/2010 Z. z. o zahraničnej službe a o zmene a doplnení niektorých zákonov v znení neskorších predpisov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zahraničných vecí a európskych záležitostí Slovenskej republiky</vt:lpwstr>
  </property>
  <property fmtid="{D5CDD505-2E9C-101B-9397-08002B2CF9AE}" pid="19" name="FSC#SKEDITIONSLOVLEX@103.510:pripomienkovatelia">
    <vt:lpwstr>Ministerstvo zahraničných vecí a európskych záležitostí Slovenskej republiky, Ministerstvo zahraničných vecí a európskych záležitostí Slovenskej republiky, Ministerstvo zahraničných vecí a európskych záležitostí Slovenskej republiky, Ministerstvo zahranič</vt:lpwstr>
  </property>
  <property fmtid="{D5CDD505-2E9C-101B-9397-08002B2CF9AE}" pid="20" name="FSC#SKEDITIONSLOVLEX@103.510:autorpredpis">
    <vt:lpwstr/>
  </property>
  <property fmtid="{D5CDD505-2E9C-101B-9397-08002B2CF9AE}" pid="21" name="FSC#SKEDITIONSLOVLEX@103.510:podnetpredpis">
    <vt:lpwstr>Plán legislatívnych úloh vlády SR na rok 2017</vt:lpwstr>
  </property>
  <property fmtid="{D5CDD505-2E9C-101B-9397-08002B2CF9AE}" pid="22" name="FSC#SKEDITIONSLOVLEX@103.510:plnynazovpredpis">
    <vt:lpwstr> Zákon, ktorým sa mení a dopĺňa zákon č. 151/2010 Z. z. o zahraničnej službe a o zmene a doplnení niektorých zákonov v znení neskorších predpisov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014783/2017-LEG1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LP/2017/154</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čl. 18, čl. 20, čl. 21 ods. 2, čl. 23, čl. 45, čl. 151 a čl. 153 Zmluvy o fungovaní Európskej únie</vt:lpwstr>
  </property>
  <property fmtid="{D5CDD505-2E9C-101B-9397-08002B2CF9AE}" pid="46" name="FSC#SKEDITIONSLOVLEX@103.510:AttrStrListDocPropSekundarneLegPravoPO">
    <vt:lpwstr>Smernica Rady (EÚ) 2015/637 z 20. apríla 2015 o opatreniach koordinácie a spolupráce na uľahčenie konzulárnej ochrany nezastúpených občanov Únie v tretích krajinách a o zrušení rozhodnutia 95/553/ES (Ú. v. EÚ L 106, 24.4.2015, s. 1 – 13)</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Nariadenie Európskeho parlamentu a Rady (ES) č. 810/2009 z 13. júla 2009, ktorým sa ustanovuje vízový kódex Spoločenstva (vízový kódex) (Ú. v. EÚ L 243, 15.9.2009) v platnom znení_x000d_
Nariadenie Európskeho parlamentu a Rady (ES) č. 1393/2007 z 13. novembra 2</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Smernica Rady (EÚ) 2015/637 z 20. apríla 2015 o opatreniach koordinácie a spolupráce na uľahčenie konzulárnej ochrany nezastúpených občanov Únie v tretích krajinách a o zrušení rozhodnutia 95/553/ES – termín pre transpozíciu je 1. 5. 2018</vt:lpwstr>
  </property>
  <property fmtid="{D5CDD505-2E9C-101B-9397-08002B2CF9AE}" pid="52" name="FSC#SKEDITIONSLOVLEX@103.510:AttrStrListDocPropLehotaNaPredlozenie">
    <vt:lpwstr>31. 8. 2017</vt:lpwstr>
  </property>
  <property fmtid="{D5CDD505-2E9C-101B-9397-08002B2CF9AE}" pid="53" name="FSC#SKEDITIONSLOVLEX@103.510:AttrStrListDocPropInfoZaciatokKonania">
    <vt:lpwstr>konanie nebolo začaté</vt:lpwstr>
  </property>
  <property fmtid="{D5CDD505-2E9C-101B-9397-08002B2CF9AE}" pid="54" name="FSC#SKEDITIONSLOVLEX@103.510:AttrStrListDocPropInfoUzPreberanePP">
    <vt:lpwstr>uvedením rozsahu tohto prebratia</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zahraničných vecí a európskych záležitostí Slovenskej republiky</vt:lpwstr>
  </property>
  <property fmtid="{D5CDD505-2E9C-101B-9397-08002B2CF9AE}" pid="57" name="FSC#SKEDITIONSLOVLEX@103.510:AttrDateDocPropZaciatokPKK">
    <vt:lpwstr>15. 6. 2017</vt:lpwstr>
  </property>
  <property fmtid="{D5CDD505-2E9C-101B-9397-08002B2CF9AE}" pid="58" name="FSC#SKEDITIONSLOVLEX@103.510:AttrDateDocPropUkonceniePKK">
    <vt:lpwstr>28. 6. 2017</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Neboli posudzované alternatívne riešenia.</vt:lpwstr>
  </property>
  <property fmtid="{D5CDD505-2E9C-101B-9397-08002B2CF9AE}" pid="66" name="FSC#SKEDITIONSLOVLEX@103.510:AttrStrListDocPropStanoviskoGest">
    <vt:lpwstr>Komisia pre posudzovanie vybraných vplyvov vyslovila s predloženým materiálom súhlasné stanovisko. Pripomienka Komisie k bodu 4.1 týkajúca sa doplnenia opisu hodnoteného opatrenia a kvantifikácie jeho sociálneho vplyvu (v časti týkajúcej sa kvantifikácie)</vt:lpwstr>
  </property>
  <property fmtid="{D5CDD505-2E9C-101B-9397-08002B2CF9AE}" pid="67" name="FSC#SKEDITIONSLOVLEX@103.510:AttrStrListDocPropTextKomunike">
    <vt:lpwstr>Vláda Slovenskej republiky na svojom rokovaní dňa ....................... prerokovala a schválila návrh zákona, ktorým sa mení a dopĺňa zákon č. 151/2010 Z. z. o zahraničnej službe a o zmene a doplnení niektorých zákonov v znení neskorších predpisov.</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zahraničných vecí a európskych záležitostí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zahraničných vecí a európskych záležitostí Slovenskej republiky</vt:lpwstr>
  </property>
  <property fmtid="{D5CDD505-2E9C-101B-9397-08002B2CF9AE}" pid="141" name="FSC#SKEDITIONSLOVLEX@103.510:funkciaZodpPredAkuzativ">
    <vt:lpwstr>ministrovi zahraničných vecí a európskych záležitostí Slovenskej republiky</vt:lpwstr>
  </property>
  <property fmtid="{D5CDD505-2E9C-101B-9397-08002B2CF9AE}" pid="142" name="FSC#SKEDITIONSLOVLEX@103.510:funkciaZodpPredDativ">
    <vt:lpwstr>ministra zahraničných vecí a európskych záležitostí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Miroslav Lajčák_x000d_
minister zahraničných vecí a európskych záležitostí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zahraničných vecí a&amp;nbsp;európskych záležitostí Slovenskej republiky (ďalej len „ministerstvo“) predkladá do medzirezortného pripomienkového konania návrh zákona, ktorým sa mení a dopĺňa zákon č. 151/2010 Z. z.</vt:lpwstr>
  </property>
  <property fmtid="{D5CDD505-2E9C-101B-9397-08002B2CF9AE}" pid="149" name="FSC#COOSYSTEM@1.1:Container">
    <vt:lpwstr>COO.2145.1000.3.2128817</vt:lpwstr>
  </property>
  <property fmtid="{D5CDD505-2E9C-101B-9397-08002B2CF9AE}" pid="150" name="FSC#FSCFOLIO@1.1001:docpropproject">
    <vt:lpwstr/>
  </property>
  <property fmtid="{D5CDD505-2E9C-101B-9397-08002B2CF9AE}" pid="151" name="FSC#SKEDITIONSLOVLEX@103.510:aktualnyrok">
    <vt:lpwstr>2017</vt:lpwstr>
  </property>
  <property fmtid="{D5CDD505-2E9C-101B-9397-08002B2CF9AE}" pid="152" name="FSC#SKEDITIONSLOVLEX@103.510:vytvorenedna">
    <vt:lpwstr>18. 8. 2017</vt:lpwstr>
  </property>
</Properties>
</file>