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  <w:bookmarkStart w:id="0" w:name="_GoBack"/>
      <w:bookmarkEnd w:id="0"/>
    </w:p>
    <w:p w:rsidR="00C438B7" w:rsidRDefault="00C438B7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C438B7">
        <w:trPr>
          <w:divId w:val="185672827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C438B7">
        <w:trPr>
          <w:divId w:val="185672827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C438B7">
        <w:trPr>
          <w:divId w:val="185672827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382/2004 Z. z. o znalcoch, tlmočníkoch a prekladateľoch a o zmene a doplnení niektorých zákonov v znení neskorších predpisov</w:t>
            </w:r>
          </w:p>
        </w:tc>
      </w:tr>
      <w:tr w:rsidR="00C438B7">
        <w:trPr>
          <w:divId w:val="185672827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C438B7">
        <w:trPr>
          <w:divId w:val="185672827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spravodlivosti Slovenskej republiky</w:t>
            </w:r>
          </w:p>
        </w:tc>
      </w:tr>
      <w:tr w:rsidR="00C438B7">
        <w:trPr>
          <w:divId w:val="185672827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438B7" w:rsidRDefault="00C438B7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C438B7">
        <w:trPr>
          <w:divId w:val="185672827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C438B7">
        <w:trPr>
          <w:divId w:val="185672827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C438B7">
        <w:trPr>
          <w:divId w:val="1856728271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C438B7">
        <w:trPr>
          <w:divId w:val="185672827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 w:rsidP="00BC7D7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Začiatok:   </w:t>
            </w:r>
            <w:r w:rsidR="00FF42B5">
              <w:rPr>
                <w:rFonts w:ascii="Times" w:hAnsi="Times" w:cs="Times"/>
                <w:sz w:val="20"/>
                <w:szCs w:val="20"/>
              </w:rPr>
              <w:t> 7</w:t>
            </w:r>
            <w:r w:rsidR="00BC7D7B">
              <w:rPr>
                <w:rFonts w:ascii="Times" w:hAnsi="Times" w:cs="Times"/>
                <w:sz w:val="20"/>
                <w:szCs w:val="20"/>
              </w:rPr>
              <w:t>.7.2017</w:t>
            </w:r>
            <w:r w:rsidR="00BC7D7B">
              <w:rPr>
                <w:rFonts w:ascii="Times" w:hAnsi="Times" w:cs="Times"/>
                <w:sz w:val="20"/>
                <w:szCs w:val="20"/>
              </w:rPr>
              <w:br/>
              <w:t>Ukončenie: 21.7.2017</w:t>
            </w:r>
          </w:p>
        </w:tc>
      </w:tr>
      <w:tr w:rsidR="00C438B7">
        <w:trPr>
          <w:divId w:val="185672827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FC46EA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september</w:t>
            </w:r>
            <w:r w:rsidR="00C438B7">
              <w:rPr>
                <w:rFonts w:ascii="Times" w:hAnsi="Times" w:cs="Times"/>
                <w:sz w:val="20"/>
                <w:szCs w:val="20"/>
              </w:rPr>
              <w:t xml:space="preserve"> 2017</w:t>
            </w:r>
          </w:p>
        </w:tc>
      </w:tr>
      <w:tr w:rsidR="00C438B7">
        <w:trPr>
          <w:divId w:val="185672827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A823B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</w:t>
            </w:r>
            <w:r w:rsidR="00C438B7">
              <w:rPr>
                <w:rFonts w:ascii="Times" w:hAnsi="Times" w:cs="Times"/>
                <w:sz w:val="20"/>
                <w:szCs w:val="20"/>
              </w:rPr>
              <w:t xml:space="preserve"> 2017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C438B7" w:rsidRDefault="00C438B7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438B7">
        <w:trPr>
          <w:divId w:val="15340027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C438B7">
        <w:trPr>
          <w:divId w:val="15340027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 w:rsidP="004F16C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Úspešnosť uchádzačov o zápis do zoznamu znalcov, prekladateľov a tlmočníkov, informácie v zozname o aktuálnom statuse znalca, tlmočníka a prekladateľa kvôli výberu pre zadanie úkonu, flexibilita pri dohode o odmene za úkon, vykonanie požadovaného úkonu riadne a včas, náležitosti a prehľadnosť vypracovaného úkonu a jeho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preskúmateľnosť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, absentujúca súčinnosť pri oznamovaní skutočností, ktoré majú vplyv na aktuálnosť údajov </w:t>
            </w:r>
            <w:r w:rsidR="008D7310">
              <w:rPr>
                <w:rFonts w:ascii="Times" w:hAnsi="Times" w:cs="Times"/>
                <w:sz w:val="20"/>
                <w:szCs w:val="20"/>
              </w:rPr>
              <w:t xml:space="preserve">v </w:t>
            </w:r>
            <w:r>
              <w:rPr>
                <w:rFonts w:ascii="Times" w:hAnsi="Times" w:cs="Times"/>
                <w:sz w:val="20"/>
                <w:szCs w:val="20"/>
              </w:rPr>
              <w:t>zozname, systematické nedostatky z pohľadu právnej teórie, predvídateľnosť nakladania s podnetmi, neskoré úhrady za vykonanú činnosť od orgánov verejnej správy, ochrana pred zneužitím v prípade straty, odcudzenia identifikačných znakov, vykonávanie znaleckej činnosti právnickými osobami nezapísanými v zozname, rozsah mlčanlivosti, súlad s novými a novelizovanými právnymi predpismi.</w:t>
            </w:r>
          </w:p>
        </w:tc>
      </w:tr>
      <w:tr w:rsidR="00C438B7">
        <w:trPr>
          <w:divId w:val="15340027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C438B7">
        <w:trPr>
          <w:divId w:val="15340027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 w:rsidP="004F16CC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navrhovanej právnej úpravy je zvýšenie právnej istoty a úspešnosti uchádzačov o zápis do zoznamu znalcov, tlmočníkov a prekladateľov spresnením ustanovení o podmienkach pre zápis do zoznamu, ktoré pripúšťali rôzny výklad, zväčšuje sa rozsah informácií zapísaných a zverejňovaných v zozname k výkonu činnosti znalcov, tlmočníkov a prekladateľov, odstraňujú sa nedostatky právnej úpravy vyplývajúcej z rozhodovacej činnosti ministerstva pri zápise znalcov, tlmočníkov a prekladateľov do zoznamu a vyvodzovaní administratívno-právnej zodpovednosti za správne delikty, upravujú sa niektoré aspekty, ktoré boli v praxi prekonané a naopak zabraňuje sa nežiaducim javom, ktoré majú vplyv na kvalitu podávaných výkonov. Zároveň sa vykonávajú systematické zmeny v zaradení obsahu sťažností pod podstatu iných správnych deliktov, návrh zákona reaguje na prijatie Civilného sporového poriadku</w:t>
            </w:r>
            <w:r w:rsidR="00A823BD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  <w:tr w:rsidR="00C438B7">
        <w:trPr>
          <w:divId w:val="15340027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C438B7">
        <w:trPr>
          <w:divId w:val="15340027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Znalci, prekladatelia, tlmočníci, zadávatelia - fyzické a právnické osoby, orgány verejnej moci.</w:t>
            </w:r>
          </w:p>
        </w:tc>
      </w:tr>
      <w:tr w:rsidR="00C438B7">
        <w:trPr>
          <w:divId w:val="15340027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C438B7">
        <w:trPr>
          <w:divId w:val="15340027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7934FF" w:rsidP="007934FF">
            <w:pPr>
              <w:jc w:val="both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7934FF">
              <w:rPr>
                <w:rFonts w:ascii="Times" w:hAnsi="Times" w:cs="Times"/>
                <w:sz w:val="20"/>
                <w:szCs w:val="20"/>
              </w:rPr>
              <w:t>Alternatívne riešenia neboli posudzované, nakoľko Programové vyhlásenie vlády SR exaktne vymedzuje zadanie, ktoré je premietnuté do návrhu zákona.</w:t>
            </w:r>
          </w:p>
        </w:tc>
      </w:tr>
      <w:tr w:rsidR="00C438B7">
        <w:trPr>
          <w:divId w:val="15340027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C438B7">
        <w:trPr>
          <w:divId w:val="15340027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C438B7">
        <w:trPr>
          <w:divId w:val="15340027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C438B7">
        <w:trPr>
          <w:divId w:val="15340027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C438B7">
        <w:trPr>
          <w:divId w:val="153400271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C438B7">
        <w:trPr>
          <w:divId w:val="153400271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438B7" w:rsidRDefault="00C438B7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C438B7">
        <w:trPr>
          <w:divId w:val="560600568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C438B7">
        <w:trPr>
          <w:divId w:val="560600568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438B7">
        <w:trPr>
          <w:divId w:val="560600568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C438B7">
        <w:trPr>
          <w:divId w:val="560600568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438B7">
        <w:trPr>
          <w:divId w:val="560600568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438B7">
        <w:trPr>
          <w:divId w:val="56060056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438B7">
        <w:trPr>
          <w:divId w:val="56060056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438B7">
        <w:trPr>
          <w:divId w:val="560600568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438B7">
        <w:trPr>
          <w:divId w:val="560600568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C438B7">
        <w:trPr>
          <w:divId w:val="560600568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C438B7" w:rsidRDefault="00C438B7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C438B7">
        <w:trPr>
          <w:divId w:val="130975186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C438B7">
        <w:trPr>
          <w:divId w:val="130975186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sz w:val="20"/>
                <w:szCs w:val="20"/>
              </w:rPr>
              <w:t>Informatizačné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procesy prebiehajú pod kódom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isvs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260, preto sa nepredpokladajú vplyvy na informatizáciu. </w:t>
            </w:r>
          </w:p>
        </w:tc>
      </w:tr>
      <w:tr w:rsidR="00C438B7">
        <w:trPr>
          <w:divId w:val="130975186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C438B7">
        <w:trPr>
          <w:divId w:val="130975186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JUDr. Gabriela Rusnáková,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gabriela.rusnakova@justice.sk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>, 02/888 91 569</w:t>
            </w:r>
          </w:p>
        </w:tc>
      </w:tr>
      <w:tr w:rsidR="00C438B7">
        <w:trPr>
          <w:divId w:val="130975186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C438B7">
        <w:trPr>
          <w:divId w:val="130975186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C438B7">
        <w:trPr>
          <w:divId w:val="130975186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C438B7">
        <w:trPr>
          <w:divId w:val="1309751866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F08E3" w:rsidRPr="00BF08E3" w:rsidRDefault="00BF08E3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BF08E3">
              <w:rPr>
                <w:rFonts w:ascii="Times" w:hAnsi="Times" w:cs="Times"/>
                <w:sz w:val="20"/>
                <w:szCs w:val="20"/>
              </w:rPr>
              <w:t>Stála pracovná komisia na posudzov</w:t>
            </w:r>
            <w:r>
              <w:rPr>
                <w:rFonts w:ascii="Times" w:hAnsi="Times" w:cs="Times"/>
                <w:sz w:val="20"/>
                <w:szCs w:val="20"/>
              </w:rPr>
              <w:t>anie vybraných vplyvov vyjadrila</w:t>
            </w:r>
            <w:r w:rsidRPr="00BF08E3">
              <w:rPr>
                <w:rFonts w:ascii="Times" w:hAnsi="Times" w:cs="Times"/>
                <w:sz w:val="20"/>
                <w:szCs w:val="20"/>
              </w:rPr>
              <w:t xml:space="preserve"> nesúhlasné stanovisko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>s materiálom predloženým na predbežné pripomienkové konanie s odporúčaním na jeho dopracovanie podľa pripomienok v bode II.  K analýze vplyvov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t xml:space="preserve"> má </w:t>
            </w:r>
            <w:r w:rsidRPr="00BF08E3">
              <w:rPr>
                <w:rFonts w:ascii="Times" w:hAnsi="Times" w:cs="Times"/>
                <w:sz w:val="20"/>
                <w:szCs w:val="20"/>
              </w:rPr>
              <w:t>Komisia za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 xml:space="preserve">to, že predkladateľ by mal kvalitatívnejšie a prehľadnejšie rozpísať v časti 3.3 Náklady regulácie, bod 3.3.3 Administratívne náklady (najmä vzhľadom na východiskové opatrenie, ktorým je zväčšenie rozsahu informácií zapísaných a zverejňovaných v zozname k výkonu činnosti znalcov, tlmočníkov a prekladateľov a ich momentálneho statusu pre lepšiu informovanosť verejnosti a jednotlivých zadávateľov), taktiež </w:t>
            </w:r>
            <w:proofErr w:type="spellStart"/>
            <w:r w:rsidRPr="00BF08E3">
              <w:rPr>
                <w:rFonts w:ascii="Times" w:hAnsi="Times" w:cs="Times"/>
                <w:sz w:val="20"/>
                <w:szCs w:val="20"/>
              </w:rPr>
              <w:t>upresniť</w:t>
            </w:r>
            <w:proofErr w:type="spellEnd"/>
            <w:r w:rsidR="00D37185">
              <w:rPr>
                <w:rFonts w:ascii="Times" w:hAnsi="Times" w:cs="Times"/>
                <w:sz w:val="20"/>
                <w:szCs w:val="20"/>
              </w:rPr>
              <w:t>,</w:t>
            </w:r>
            <w:r w:rsidRPr="00BF08E3">
              <w:rPr>
                <w:rFonts w:ascii="Times" w:hAnsi="Times" w:cs="Times"/>
                <w:sz w:val="20"/>
                <w:szCs w:val="20"/>
              </w:rPr>
              <w:t xml:space="preserve"> v čom a aký vplyv, resp. prínos spočíva v súvislosti s bodom 3.4 Konkurencieschopnosť a správanie sa podnikov na trhu (najmä vzhľadom na východiskové opatrenie, ktorým je rozlíšenie výkonu znaleckej, tlmočníckej a prekladateľskej činnosti pre súdy a iné orgány verejnej moci a pre súkromné potreby fyzických a právnických osôb, kde ponecháva väčší priestor pre dohodu zadávateľov a osôb, ktoré činnosť vykonávajú) a zároveň vyčísliť aspoň náklady na 1 podnikateľa v bode 3.3.4 Súhrnná tabuľka nákladov regulácie. </w:t>
            </w:r>
          </w:p>
          <w:p w:rsidR="00BF08E3" w:rsidRPr="00BF08E3" w:rsidRDefault="00BF08E3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BF08E3" w:rsidRPr="00BF08E3" w:rsidRDefault="00BF08E3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Komisia má ďalej za to, že v a</w:t>
            </w:r>
            <w:r w:rsidRPr="00BF08E3">
              <w:rPr>
                <w:rFonts w:ascii="Times" w:hAnsi="Times" w:cs="Times"/>
                <w:sz w:val="20"/>
                <w:szCs w:val="20"/>
              </w:rPr>
              <w:t>nalýze vplyvov na podnikateľské prostredie absentuje kvalitatívny popis opatrení, ktoré majú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>pozitívny vplyv na podnikanie v rámci týchto slobodných povolaní, ko</w:t>
            </w:r>
            <w:r w:rsidR="00D37185">
              <w:rPr>
                <w:rFonts w:ascii="Times" w:hAnsi="Times" w:cs="Times"/>
                <w:sz w:val="20"/>
                <w:szCs w:val="20"/>
              </w:rPr>
              <w:t xml:space="preserve">nkrétne </w:t>
            </w:r>
            <w:proofErr w:type="spellStart"/>
            <w:r w:rsidRPr="00BF08E3">
              <w:rPr>
                <w:rFonts w:ascii="Times" w:hAnsi="Times" w:cs="Times"/>
                <w:sz w:val="20"/>
                <w:szCs w:val="20"/>
              </w:rPr>
              <w:t>znalečné</w:t>
            </w:r>
            <w:proofErr w:type="spellEnd"/>
            <w:r w:rsidRPr="00BF08E3">
              <w:rPr>
                <w:rFonts w:ascii="Times" w:hAnsi="Times" w:cs="Times"/>
                <w:sz w:val="20"/>
                <w:szCs w:val="20"/>
              </w:rPr>
              <w:t xml:space="preserve"> alebo </w:t>
            </w:r>
            <w:proofErr w:type="spellStart"/>
            <w:r w:rsidRPr="00BF08E3">
              <w:rPr>
                <w:rFonts w:ascii="Times" w:hAnsi="Times" w:cs="Times"/>
                <w:sz w:val="20"/>
                <w:szCs w:val="20"/>
              </w:rPr>
              <w:t>tlmočné</w:t>
            </w:r>
            <w:proofErr w:type="spellEnd"/>
            <w:r w:rsidRPr="00BF08E3">
              <w:rPr>
                <w:rFonts w:ascii="Times" w:hAnsi="Times" w:cs="Times"/>
                <w:sz w:val="20"/>
                <w:szCs w:val="20"/>
              </w:rPr>
              <w:t>, ktoré je dnes zo strany súdov uhrádzané so značným časovým odstupom, bude podmienené uhradením preddavku,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 xml:space="preserve">po novom sa počas dočasného pozastavenia výkonu činnosti, prerušenia výkonu činnosti a trvania </w:t>
            </w:r>
            <w:r w:rsidRPr="00BF08E3">
              <w:rPr>
                <w:rFonts w:ascii="Times" w:hAnsi="Times" w:cs="Times"/>
                <w:sz w:val="20"/>
                <w:szCs w:val="20"/>
              </w:rPr>
              <w:lastRenderedPageBreak/>
              <w:t>sankcie zákaz výkonu činnosti nebude vyžadovať plniť povinnosť mať poistenie zodpovednosti za škodu,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>potenciálny pozitívny aj negatívny vplyv na podnikanie v rámci týchto slobodných povolaní, konkrétne: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>za získanie vzdelania ako podmienky na zápis fyzickej osoby do oddielu na zápis znalcov sa bude považovať vysokoškolské vzdelanie druhého stupňa, ak je takéto vzdelanie možné získať v podmienkach SR (ak nie, tak SŠ),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>odstránenie nejednoznačnosti začiatku počítania praxe, t. j. až od momentu získania vzdelania v odbore,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BF08E3">
              <w:rPr>
                <w:rFonts w:ascii="Times" w:hAnsi="Times" w:cs="Times"/>
                <w:sz w:val="20"/>
                <w:szCs w:val="20"/>
              </w:rPr>
              <w:t>pričom Komisia odporúča predkladateľovi kvalitatívne tieto opatrenia popísať a priradiť k nim potenciál vplyvu (pozitívny, negatívny).</w:t>
            </w:r>
          </w:p>
          <w:p w:rsidR="00BF08E3" w:rsidRPr="00BF08E3" w:rsidRDefault="00BF08E3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BF08E3" w:rsidRPr="00BF08E3" w:rsidRDefault="00BF08E3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BF08E3">
              <w:rPr>
                <w:rFonts w:ascii="Times" w:hAnsi="Times" w:cs="Times"/>
                <w:sz w:val="20"/>
                <w:szCs w:val="20"/>
              </w:rPr>
              <w:t xml:space="preserve">Komisia chce zároveň upozorniť predkladateľa na chybne vyplnený bod 3.2 Vyhodnotenie konzultácií, nakoľko predmetný materiál je zaradený do zoznamu legislatívnych úloh, ku ktorým je potrebné vykonať konzultácie s podnikateľskými subjektmi, a ktorý je uverejnený na </w:t>
            </w:r>
            <w:hyperlink r:id="rId9" w:history="1">
              <w:r w:rsidRPr="00BF08E3">
                <w:rPr>
                  <w:rFonts w:ascii="Times" w:hAnsi="Times" w:cs="Times"/>
                  <w:sz w:val="20"/>
                  <w:szCs w:val="20"/>
                </w:rPr>
                <w:t>webovom portáli MH SR</w:t>
              </w:r>
            </w:hyperlink>
            <w:r w:rsidRPr="00BF08E3">
              <w:rPr>
                <w:rFonts w:ascii="Times" w:hAnsi="Times" w:cs="Times"/>
                <w:sz w:val="20"/>
                <w:szCs w:val="20"/>
              </w:rPr>
              <w:t xml:space="preserve">. Podľa názoru Komisie by mali byť, v rámci prípravy takto rozsiahlej právnej úpravy, oslovené na konzultácie minimálne tieto subjekty: </w:t>
            </w:r>
          </w:p>
          <w:p w:rsidR="00BF08E3" w:rsidRPr="00BF08E3" w:rsidRDefault="00BF08E3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BF08E3">
              <w:rPr>
                <w:rFonts w:ascii="Times" w:hAnsi="Times" w:cs="Times"/>
                <w:sz w:val="20"/>
                <w:szCs w:val="20"/>
              </w:rPr>
              <w:t xml:space="preserve">Slovenská komora znalcov </w:t>
            </w:r>
          </w:p>
          <w:p w:rsidR="00BF08E3" w:rsidRDefault="00BF08E3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BF08E3">
              <w:rPr>
                <w:rFonts w:ascii="Times" w:hAnsi="Times" w:cs="Times"/>
                <w:sz w:val="20"/>
                <w:szCs w:val="20"/>
              </w:rPr>
              <w:t>Slovenská asociácia prekladateľov a</w:t>
            </w:r>
            <w:r w:rsidR="00D37185">
              <w:rPr>
                <w:rFonts w:ascii="Times" w:hAnsi="Times" w:cs="Times"/>
                <w:sz w:val="20"/>
                <w:szCs w:val="20"/>
              </w:rPr>
              <w:t> </w:t>
            </w:r>
            <w:r w:rsidRPr="00BF08E3">
              <w:rPr>
                <w:rFonts w:ascii="Times" w:hAnsi="Times" w:cs="Times"/>
                <w:sz w:val="20"/>
                <w:szCs w:val="20"/>
              </w:rPr>
              <w:t>tlmočníkov</w:t>
            </w:r>
            <w:r w:rsidR="00D37185"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CC5E30" w:rsidRDefault="00CC5E30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</w:p>
          <w:p w:rsidR="00BF08E3" w:rsidRPr="00BF08E3" w:rsidRDefault="00550FC9" w:rsidP="00BF08E3">
            <w:pPr>
              <w:ind w:right="-2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Analýza vplyvov na podnikateľské prostredie je dopracovaná v zmysle pripomienok  </w:t>
            </w:r>
            <w:r w:rsidR="00FF42B5">
              <w:rPr>
                <w:rFonts w:ascii="Times" w:hAnsi="Times" w:cs="Times"/>
                <w:sz w:val="20"/>
                <w:szCs w:val="20"/>
              </w:rPr>
              <w:t xml:space="preserve">a </w:t>
            </w:r>
            <w:r>
              <w:rPr>
                <w:rFonts w:ascii="Times" w:hAnsi="Times" w:cs="Times"/>
                <w:sz w:val="20"/>
                <w:szCs w:val="20"/>
              </w:rPr>
              <w:t xml:space="preserve">chybne vyplnený bod 3.2. je opravený, nakoľko Ministerstvo spravodlivosti SR </w:t>
            </w:r>
            <w:r w:rsidR="00FF42B5">
              <w:rPr>
                <w:rFonts w:ascii="Times" w:hAnsi="Times" w:cs="Times"/>
                <w:sz w:val="20"/>
                <w:szCs w:val="20"/>
              </w:rPr>
              <w:t xml:space="preserve">vykonalo konzultácie s 15 </w:t>
            </w:r>
            <w:r w:rsidR="008D51DA">
              <w:rPr>
                <w:rFonts w:ascii="Times" w:hAnsi="Times" w:cs="Times"/>
                <w:sz w:val="20"/>
                <w:szCs w:val="20"/>
              </w:rPr>
              <w:t>subjektmi</w:t>
            </w:r>
            <w:r w:rsidR="00FF42B5">
              <w:rPr>
                <w:rFonts w:ascii="Times" w:hAnsi="Times" w:cs="Times"/>
                <w:sz w:val="20"/>
                <w:szCs w:val="20"/>
              </w:rPr>
              <w:t xml:space="preserve"> začiatkom roka 2017.</w:t>
            </w:r>
          </w:p>
          <w:p w:rsidR="00C438B7" w:rsidRDefault="00C438B7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2C" w:rsidRDefault="0006612C">
      <w:r>
        <w:separator/>
      </w:r>
    </w:p>
  </w:endnote>
  <w:endnote w:type="continuationSeparator" w:id="0">
    <w:p w:rsidR="0006612C" w:rsidRDefault="0006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2C" w:rsidRDefault="0006612C">
      <w:r>
        <w:separator/>
      </w:r>
    </w:p>
  </w:footnote>
  <w:footnote w:type="continuationSeparator" w:id="0">
    <w:p w:rsidR="0006612C" w:rsidRDefault="0006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A72"/>
    <w:multiLevelType w:val="hybridMultilevel"/>
    <w:tmpl w:val="B3CE6ACA"/>
    <w:lvl w:ilvl="0" w:tplc="041B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3A1A3E7B"/>
    <w:multiLevelType w:val="hybridMultilevel"/>
    <w:tmpl w:val="634CE760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CC622B"/>
    <w:multiLevelType w:val="hybridMultilevel"/>
    <w:tmpl w:val="35E290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F6BB7"/>
    <w:multiLevelType w:val="hybridMultilevel"/>
    <w:tmpl w:val="57C0E910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12C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0484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16CC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0FC9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2DD0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44807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4FF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1DA"/>
    <w:rsid w:val="008D5A75"/>
    <w:rsid w:val="008D6B5B"/>
    <w:rsid w:val="008D7310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23B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C7D7B"/>
    <w:rsid w:val="00BD7A52"/>
    <w:rsid w:val="00BE20C1"/>
    <w:rsid w:val="00BF08E3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7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5E30"/>
    <w:rsid w:val="00CC7445"/>
    <w:rsid w:val="00CD3ED1"/>
    <w:rsid w:val="00CD7368"/>
    <w:rsid w:val="00CE07E4"/>
    <w:rsid w:val="00CE212E"/>
    <w:rsid w:val="00CE5E05"/>
    <w:rsid w:val="00CF18ED"/>
    <w:rsid w:val="00CF34A0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185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5996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1C6D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6EA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2B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semiHidden/>
    <w:unhideWhenUsed/>
    <w:rsid w:val="00BF08E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F08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semiHidden/>
    <w:unhideWhenUsed/>
    <w:rsid w:val="00BF08E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F08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hsr.sk/podnikatelske-prostredie/jednotna-metodika/informacie-tykajuce-sa-konzult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6.2017 13:48:42"/>
    <f:field ref="objchangedby" par="" text="Administrator, System"/>
    <f:field ref="objmodifiedat" par="" text="30.6.2017 13:48:4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RUSNAKOVA Gabriela</cp:lastModifiedBy>
  <cp:revision>2</cp:revision>
  <dcterms:created xsi:type="dcterms:W3CDTF">2017-10-24T11:37:00Z</dcterms:created>
  <dcterms:modified xsi:type="dcterms:W3CDTF">2017-10-24T11:37:00Z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Občianske právo_x000d_
Obchodné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Gabriela Rusnáková</vt:lpwstr>
  </property>
  <property fmtid="{D5CDD505-2E9C-101B-9397-08002B2CF9AE}" pid="9" name="FSC#SKEDITIONSLOVLEX@103.510:zodppredkladatel">
    <vt:lpwstr>Lucia Žitňanská</vt:lpwstr>
  </property>
  <property fmtid="{D5CDD505-2E9C-101B-9397-08002B2CF9AE}" pid="10" name="FSC#SKEDITIONSLOVLEX@103.510:nazovpredpis">
    <vt:lpwstr>, ktorým sa mení a dopĺňa zákon č. 382/2004 Z. z. o znalcoch, tlmočníkoch a prekladateľoch a o zmene a doplnení niektorých zákonov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Plán legislatívnych úloh vlády SR na rok 2017</vt:lpwstr>
  </property>
  <property fmtid="{D5CDD505-2E9C-101B-9397-08002B2CF9AE}" pid="16" name="FSC#SKEDITIONSLOVLEX@103.510:plnynazovpredpis">
    <vt:lpwstr> Zákon, ktorým sa mení a dopĺňa zákon č. 382/2004 Z. z. o znalcoch, tlmočníkoch a prekladateľoch a o zmene a doplnení niektorých zákonov v znení neskorších predpisov</vt:lpwstr>
  </property>
  <property fmtid="{D5CDD505-2E9C-101B-9397-08002B2CF9AE}" pid="17" name="FSC#SKEDITIONSLOVLEX@103.510:rezortcislopredpis">
    <vt:lpwstr>45245/17-110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LP/2017/449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spravodlivosti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Pozitívne_x000d_
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Informatizačné procesy prebiehajú pod kódom isvs 260, preto sa nepredpokladajú vplyvy na informatizáciu. </vt:lpwstr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382/2004 Z. z. o znalcoch, tlmočníkoch a prekladateľoch a o zmene a doplnení niektorých zákonov v znení neskor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podpredsedníčka vlády a 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align="center" style="margin-left:36.0pt;"&gt;&lt;strong&gt;&lt;u&gt;Predkladacia správa&lt;/u&gt;&lt;/strong&gt;&lt;/p&gt;&lt;p&gt;&amp;nbsp;&lt;/p&gt;&lt;p style="text-align: justify;"&gt;Ministerstvo spravodlivosti Slovenskej republiky predkladá do medzirezortného pripomienkového konania návrh zákona, k</vt:lpwstr>
  </property>
  <property fmtid="{D5CDD505-2E9C-101B-9397-08002B2CF9AE}" pid="130" name="FSC#COOSYSTEM@1.1:Container">
    <vt:lpwstr>COO.2145.1000.3.2044840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podpredsedníčka vlády a ministerka spravodlivosti Slovenskej republiky</vt:lpwstr>
  </property>
  <property fmtid="{D5CDD505-2E9C-101B-9397-08002B2CF9AE}" pid="145" name="FSC#SKEDITIONSLOVLEX@103.510:funkciaZodpPredAkuzativ">
    <vt:lpwstr>podpredsedníčke vlády a ministerke spravodlivosti Slovenskej republiky</vt:lpwstr>
  </property>
  <property fmtid="{D5CDD505-2E9C-101B-9397-08002B2CF9AE}" pid="146" name="FSC#SKEDITIONSLOVLEX@103.510:funkciaZodpPredDativ">
    <vt:lpwstr>podpredsedníčku vlády a ministerku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Lucia Žitňanská_x000d_
podpredsedníčka vlády a ministerka spravodlivosti Slovenskej republiky</vt:lpwstr>
  </property>
  <property fmtid="{D5CDD505-2E9C-101B-9397-08002B2CF9AE}" pid="151" name="FSC#SKEDITIONSLOVLEX@103.510:aktualnyrok">
    <vt:lpwstr>2017</vt:lpwstr>
  </property>
</Properties>
</file>