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8739F8" w:rsidP="00DF1F85">
            <w:r>
              <w:t xml:space="preserve">Návrh zákona </w:t>
            </w:r>
            <w:r w:rsidR="00E674E2" w:rsidRPr="00E674E2">
              <w:t>o posudzovaní zhody výrobku, sprístupňovaní určen</w:t>
            </w:r>
            <w:r w:rsidR="00DF1F85">
              <w:t>ého</w:t>
            </w:r>
            <w:r w:rsidR="00E674E2" w:rsidRPr="00E674E2">
              <w:t xml:space="preserve"> výrobk</w:t>
            </w:r>
            <w:r w:rsidR="00DF1F85">
              <w:t>u</w:t>
            </w:r>
            <w:r w:rsidR="00E674E2" w:rsidRPr="00E674E2">
              <w:t xml:space="preserve"> na trhu a o zmene a doplnení niektorých zákonov</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A19C3" w:rsidP="007B71A4">
            <w:r w:rsidRPr="003A19C3">
              <w:t>Úrad pre normalizáciu, metrológiu a skúšobníctvo Slovenskej republiky</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A19C3"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EF146F"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5058B2">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EF146F" w:rsidRPr="00EF146F" w:rsidRDefault="00EF146F" w:rsidP="00EF146F">
            <w:pPr>
              <w:numPr>
                <w:ilvl w:val="0"/>
                <w:numId w:val="2"/>
              </w:numPr>
              <w:tabs>
                <w:tab w:val="clear" w:pos="720"/>
              </w:tabs>
              <w:rPr>
                <w:i/>
              </w:rPr>
            </w:pPr>
            <w:r w:rsidRPr="00EF146F">
              <w:rPr>
                <w:i/>
              </w:rPr>
              <w:t>Smernica Európskeho parlamentu a Rady 2013/29/EÚ z 12. júna 2013 o harmonizácii zákonov členských štátov týkajúcich sa sprístupňovania pyrotechnických výrobkov na trhu (prepracované znenie) (Ú. v. EÚ L 178, 28. 6. 2013).</w:t>
            </w:r>
          </w:p>
          <w:p w:rsidR="00EF146F" w:rsidRPr="00EF146F" w:rsidRDefault="00EF146F" w:rsidP="00EF146F">
            <w:pPr>
              <w:numPr>
                <w:ilvl w:val="0"/>
                <w:numId w:val="2"/>
              </w:numPr>
              <w:tabs>
                <w:tab w:val="clear" w:pos="720"/>
              </w:tabs>
              <w:rPr>
                <w:i/>
              </w:rPr>
            </w:pPr>
            <w:r w:rsidRPr="00EF146F">
              <w:rPr>
                <w:i/>
              </w:rPr>
              <w:t>Smernica Európskeho parlamentu a Rady 2013/53/EÚ z 20. novembra 2013 o rekreačných plavidlách a vodných skútroch a o zrušení smernice 94/25/ES (Ú. v. EÚ L 354, 28. 12. 2013).</w:t>
            </w:r>
          </w:p>
          <w:p w:rsidR="00EF146F" w:rsidRPr="00EF146F" w:rsidRDefault="00EF146F" w:rsidP="00EF146F">
            <w:pPr>
              <w:numPr>
                <w:ilvl w:val="0"/>
                <w:numId w:val="2"/>
              </w:numPr>
              <w:tabs>
                <w:tab w:val="clear" w:pos="720"/>
              </w:tabs>
              <w:rPr>
                <w:i/>
              </w:rPr>
            </w:pPr>
            <w:r w:rsidRPr="00EF146F">
              <w:rPr>
                <w:i/>
              </w:rPr>
              <w:t>Smernica Európskeho parlamentu a Rady 2014/28/EÚ z 26. februára 2014 o harmonizácii právnych predpisov členských štátov týkajúcich sa sprístupňovania výbušnín na civilné použitie na trhu a ich kontroly (prepracované znenie)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2014/29/EÚ z 26. februára 2014 o harmonizácii právnych predpisov členských štátov týkajúcich sa sprístupnenia jednoduchých tlakových nádob na trhu (prepracované znenie)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2014/30/EÚ z 26. februára 2014 o harmonizácii právnych predpisov členských štátov vzťahujúcich sa na elektromagnetickú kompatibilitu (prepracované znenie)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2014/31/EÚ z 26. februára 2014 o harmonizácii právnych predpisov členských štátov týkajúcich sa sprístupňovania váh s neautomatickou činnosťou na trhu (prepracované znenie)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2014/32/EÚ z 26. februára 2014 o harmonizácii právnych predpisov členských štátov týkajúcich sa sprístupnenia meradiel na trhu (Ú. v. EÚ L 96, 29. 3. 2014) v znení delegovanej smernice (EÚ) č. 2015/13 (Ú. v. EÚ L 3, 7. 1. 2015).</w:t>
            </w:r>
          </w:p>
          <w:p w:rsidR="00EF146F" w:rsidRPr="00EF146F" w:rsidRDefault="00EF146F" w:rsidP="00EF146F">
            <w:pPr>
              <w:numPr>
                <w:ilvl w:val="0"/>
                <w:numId w:val="2"/>
              </w:numPr>
              <w:tabs>
                <w:tab w:val="clear" w:pos="720"/>
              </w:tabs>
              <w:rPr>
                <w:i/>
              </w:rPr>
            </w:pPr>
            <w:r w:rsidRPr="00EF146F">
              <w:rPr>
                <w:i/>
              </w:rPr>
              <w:t>Smernica Európskeho parlamentu a Rady 2014/33/EÚ z 26. februára 2014 o harmonizácii právnych predpisov členských štátov týkajúcich sa výťahov a bezpečnostných komponentov do výťahov (prepracované znenie)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2014/34/EÚ z 26. februára 2014 o harmonizácii právnych predpisov členských štátov týkajúcich sa zariadení a ochranných systémov určených na použitie v potenciálne výbušnej atmosfére (prepracované znenie)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2014/35/EÚ z 26. februára 2014 o harmonizácii právnych predpisov členských štátov týkajúcich sa sprístupnenia elektrického zariadenia určeného na používanie v rámci určitých limitov napätia na trhu (Ú. v. EÚ L 96, 29. 3. 2014).</w:t>
            </w:r>
          </w:p>
          <w:p w:rsidR="00EF146F" w:rsidRPr="00EF146F" w:rsidRDefault="00EF146F" w:rsidP="00EF146F">
            <w:pPr>
              <w:numPr>
                <w:ilvl w:val="0"/>
                <w:numId w:val="2"/>
              </w:numPr>
              <w:tabs>
                <w:tab w:val="clear" w:pos="720"/>
              </w:tabs>
              <w:rPr>
                <w:i/>
              </w:rPr>
            </w:pPr>
            <w:r w:rsidRPr="00EF146F">
              <w:rPr>
                <w:i/>
              </w:rPr>
              <w:t>Smernica Európskeho parlamentu a Rady 2014/53/EÚ zo 16. apríla 2014 o harmonizácii právnych predpisov členských štátov týkajúcich sa sprístupňovania rádiových zariadení na trhu, ktorou sa zrušuje smernica 1999/5/ES (prepracované znenie) (Ú. v. EÚ L 153, 22. 05. 2014) .</w:t>
            </w:r>
          </w:p>
          <w:p w:rsidR="00EF146F" w:rsidRPr="00EF146F" w:rsidRDefault="00EF146F" w:rsidP="00EF146F">
            <w:pPr>
              <w:numPr>
                <w:ilvl w:val="0"/>
                <w:numId w:val="2"/>
              </w:numPr>
              <w:tabs>
                <w:tab w:val="clear" w:pos="720"/>
              </w:tabs>
              <w:rPr>
                <w:i/>
              </w:rPr>
            </w:pPr>
            <w:r w:rsidRPr="00EF146F">
              <w:rPr>
                <w:i/>
              </w:rPr>
              <w:t>Smernica Európskeho parlamentu a Rady 2014/68/EÚ z 15. mája 2014 o harmonizácii právnych predpisov členských štátov týkajúcich sa sprístupňovania tlakových zariadení na trhu (Ú. v. EÚ L 189, 27. 6. 2014).</w:t>
            </w:r>
          </w:p>
          <w:p w:rsidR="00EF146F" w:rsidRPr="00EF146F" w:rsidRDefault="00EF146F" w:rsidP="00EF146F">
            <w:pPr>
              <w:numPr>
                <w:ilvl w:val="0"/>
                <w:numId w:val="2"/>
              </w:numPr>
              <w:tabs>
                <w:tab w:val="clear" w:pos="720"/>
              </w:tabs>
              <w:rPr>
                <w:i/>
              </w:rPr>
            </w:pPr>
            <w:r w:rsidRPr="00EF146F">
              <w:rPr>
                <w:i/>
              </w:rPr>
              <w:t>Smernica Európskeho parlamentu a Rady 2014/90/EÚ z 23. júla 2014 o vybavení námorných lodí a o zrušení smernice Rady 96/98/ES (Ú. v. EÚ L 257, 28. 8. 2014).</w:t>
            </w:r>
          </w:p>
          <w:p w:rsidR="003501A1" w:rsidRPr="00A179AE" w:rsidRDefault="003501A1" w:rsidP="008739F8"/>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7E2193" w:rsidP="008739F8">
            <w:pPr>
              <w:rPr>
                <w:i/>
              </w:rPr>
            </w:pPr>
            <w:r>
              <w:rPr>
                <w:i/>
              </w:rPr>
              <w:t>21. 06. 2017 – 04. 07.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CC4CEA" w:rsidP="007B71A4">
            <w:pPr>
              <w:rPr>
                <w:i/>
              </w:rPr>
            </w:pPr>
            <w:r>
              <w:rPr>
                <w:i/>
              </w:rPr>
              <w:t xml:space="preserve">31. 07. </w:t>
            </w:r>
            <w:r w:rsidR="000556C5">
              <w:rPr>
                <w:i/>
              </w:rPr>
              <w:t>2017</w:t>
            </w:r>
            <w:r>
              <w:rPr>
                <w:i/>
              </w:rPr>
              <w:t xml:space="preserve"> – 18. 08.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CC4CEA" w:rsidP="007B71A4">
            <w:pPr>
              <w:rPr>
                <w:i/>
              </w:rPr>
            </w:pPr>
            <w:r>
              <w:rPr>
                <w:i/>
              </w:rPr>
              <w:t xml:space="preserve">október </w:t>
            </w:r>
            <w:r w:rsidR="000556C5">
              <w:rPr>
                <w:i/>
              </w:rPr>
              <w:t>2017</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Default="003501A1" w:rsidP="007B71A4"/>
          <w:p w:rsidR="002C1E53" w:rsidRPr="00A179AE" w:rsidRDefault="002C1E53"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základné problémy, na ktoré navrhovaná regulácia reaguje.</w:t>
            </w:r>
          </w:p>
          <w:p w:rsidR="003501A1" w:rsidRPr="003A19C3" w:rsidRDefault="003A19C3" w:rsidP="00E674E2">
            <w:pPr>
              <w:jc w:val="both"/>
            </w:pPr>
            <w:r w:rsidRPr="003A19C3">
              <w:t xml:space="preserve">Vytvorenie rámcového zákona, ktorý by obsahoval základné princípy Nového legislatívneho rámca Európskej únie pre podmienky Slovenskej republiky, kde by boli zosúladené všetky spoločné požiadavky, terminológia pre oblasť posudzovania zhody a pravidlá v oblasti sprístupňovania </w:t>
            </w:r>
            <w:r w:rsidR="00E674E2">
              <w:t xml:space="preserve">určených </w:t>
            </w:r>
            <w:r w:rsidRPr="003A19C3">
              <w:t>výrobkov na trhu.</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3501A1" w:rsidRPr="00A179AE" w:rsidRDefault="003A19C3" w:rsidP="009D0205">
            <w:pPr>
              <w:jc w:val="both"/>
            </w:pPr>
            <w:r w:rsidRPr="003A19C3">
              <w:t>Potreba precizovania a zosúladenia zákona s Novým legisla</w:t>
            </w:r>
            <w:r w:rsidR="006843F8">
              <w:t>tívnym rámcom Európskej únie</w:t>
            </w:r>
            <w:r w:rsidR="00E674E2">
              <w:t xml:space="preserve"> a potreba rozdelenia zákona č. 264/1999 Z. z</w:t>
            </w:r>
            <w:r w:rsidR="009D0205">
              <w:t>.</w:t>
            </w:r>
            <w:r w:rsidR="00E674E2">
              <w:t xml:space="preserve">  o technických požiadavkách na výrobky a </w:t>
            </w:r>
            <w:r w:rsidR="00E674E2" w:rsidRPr="00E674E2">
              <w:t>o posudzovaní zhody a o zmene a doplnení niektorých zákonov</w:t>
            </w:r>
            <w:r w:rsidR="00E674E2">
              <w:t xml:space="preserve"> v znení neskorších predpisov na tri samostatné častí z dôvodu sprehľadnenia a zjednodušenia právnej úpravy v oblasti posudzovania zhody, technickej normalizácie a poskytovania informácii o technickom predpise.</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3501A1" w:rsidRPr="003A19C3" w:rsidRDefault="00C3492E" w:rsidP="00C2327D">
            <w:pPr>
              <w:jc w:val="both"/>
            </w:pPr>
            <w:r>
              <w:t xml:space="preserve">Autorizované a </w:t>
            </w:r>
            <w:r w:rsidR="003A19C3" w:rsidRPr="003A19C3">
              <w:t>notifikované osoby, výrobcovia, splnomocnení zástupcovia</w:t>
            </w:r>
            <w:r w:rsidR="00C2327D">
              <w:t xml:space="preserve"> výrobcov</w:t>
            </w:r>
            <w:r w:rsidR="003A19C3" w:rsidRPr="003A19C3">
              <w:t>, dovozcovia</w:t>
            </w:r>
            <w:r w:rsidR="00C2327D">
              <w:t xml:space="preserve"> a</w:t>
            </w:r>
            <w:r w:rsidR="003A19C3" w:rsidRPr="003A19C3">
              <w:t xml:space="preserve"> distribútori určených výrobkov.</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Pr="004C5676" w:rsidRDefault="004C5676" w:rsidP="007B71A4">
            <w:r w:rsidRPr="004C5676">
              <w:t>Alternatívne riešenia neboli zvažované.</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0556C5">
        <w:trPr>
          <w:trHeight w:val="559"/>
        </w:trPr>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 xml:space="preserve">Predpokladá sa prijatie/zmena  vykonávacích </w:t>
            </w:r>
            <w:r w:rsidRPr="00A4557C">
              <w:rPr>
                <w:i/>
              </w:rPr>
              <w:t>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BC33D4" w:rsidP="007B71A4">
            <w:pPr>
              <w:jc w:val="center"/>
            </w:pPr>
            <w:sdt>
              <w:sdtPr>
                <w:id w:val="-1407611648"/>
                <w14:checkbox>
                  <w14:checked w14:val="0"/>
                  <w14:checkedState w14:val="2612" w14:font="MS Gothic"/>
                  <w14:uncheckedState w14:val="2610" w14:font="MS Gothic"/>
                </w14:checkbox>
              </w:sdtPr>
              <w:sdtEndPr/>
              <w:sdtContent>
                <w:r w:rsidR="00366ED4">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Default="00BC33D4" w:rsidP="007B71A4">
            <w:pPr>
              <w:jc w:val="center"/>
            </w:pPr>
            <w:sdt>
              <w:sdtPr>
                <w:id w:val="-1625842802"/>
                <w14:checkbox>
                  <w14:checked w14:val="1"/>
                  <w14:checkedState w14:val="2612" w14:font="MS Gothic"/>
                  <w14:uncheckedState w14:val="2610" w14:font="MS Gothic"/>
                </w14:checkbox>
              </w:sdtPr>
              <w:sdtEndPr/>
              <w:sdtContent>
                <w:r w:rsidR="00366ED4">
                  <w:rPr>
                    <w:rFonts w:ascii="MS Gothic" w:eastAsia="MS Gothic" w:hAnsi="MS Gothic" w:hint="eastAsia"/>
                  </w:rPr>
                  <w:t>☒</w:t>
                </w:r>
              </w:sdtContent>
            </w:sdt>
            <w:r w:rsidR="003501A1" w:rsidRPr="00A179AE">
              <w:t xml:space="preserve">  Nie</w:t>
            </w:r>
          </w:p>
          <w:p w:rsidR="00DA740D" w:rsidRPr="00A179AE" w:rsidRDefault="00DA740D" w:rsidP="00DA740D"/>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EF146F" w:rsidRPr="00CC4CEA" w:rsidRDefault="00EF146F" w:rsidP="00EF146F">
            <w:r w:rsidRPr="00EF146F">
              <w:rPr>
                <w:i/>
              </w:rPr>
              <w:t>1.</w:t>
            </w:r>
            <w:r w:rsidRPr="00EF146F">
              <w:rPr>
                <w:i/>
              </w:rPr>
              <w:tab/>
              <w:t xml:space="preserve">Smernica </w:t>
            </w:r>
            <w:r>
              <w:rPr>
                <w:i/>
              </w:rPr>
              <w:t>č. 2013/29/EÚ</w:t>
            </w:r>
            <w:r>
              <w:t xml:space="preserve"> - národná právna úprava nejde nad rámec minimálnych požiadaviek EÚ.</w:t>
            </w:r>
          </w:p>
          <w:p w:rsidR="00EF146F" w:rsidRPr="00CC4CEA" w:rsidRDefault="00EF146F" w:rsidP="00EF146F">
            <w:r w:rsidRPr="00EF146F">
              <w:rPr>
                <w:i/>
              </w:rPr>
              <w:t>2.</w:t>
            </w:r>
            <w:r w:rsidRPr="00EF146F">
              <w:rPr>
                <w:i/>
              </w:rPr>
              <w:tab/>
              <w:t xml:space="preserve">Smernica </w:t>
            </w:r>
            <w:r>
              <w:rPr>
                <w:i/>
              </w:rPr>
              <w:t>č.</w:t>
            </w:r>
            <w:r w:rsidRPr="00EF146F">
              <w:rPr>
                <w:i/>
              </w:rPr>
              <w:t xml:space="preserve"> 2013/53/EÚ </w:t>
            </w:r>
            <w:r>
              <w:t>- národná právna úprava nejde nad rámec minimálnych požiadaviek EÚ.</w:t>
            </w:r>
          </w:p>
          <w:p w:rsidR="00EF146F" w:rsidRPr="00CC4CEA" w:rsidRDefault="00EF146F" w:rsidP="00EF146F">
            <w:r w:rsidRPr="00EF146F">
              <w:rPr>
                <w:i/>
              </w:rPr>
              <w:t>3.</w:t>
            </w:r>
            <w:r w:rsidRPr="00EF146F">
              <w:rPr>
                <w:i/>
              </w:rPr>
              <w:tab/>
              <w:t xml:space="preserve">Smernica </w:t>
            </w:r>
            <w:r>
              <w:rPr>
                <w:i/>
              </w:rPr>
              <w:t>č.</w:t>
            </w:r>
            <w:r w:rsidRPr="00EF146F">
              <w:rPr>
                <w:i/>
              </w:rPr>
              <w:t xml:space="preserve"> 2014/28/EÚ </w:t>
            </w:r>
            <w:r>
              <w:t>- národná právna úprava nejde nad rámec minimálnych požiadaviek EÚ.</w:t>
            </w:r>
          </w:p>
          <w:p w:rsidR="00EF146F" w:rsidRPr="00CC4CEA" w:rsidRDefault="00EF146F" w:rsidP="00EF146F">
            <w:r w:rsidRPr="00EF146F">
              <w:rPr>
                <w:i/>
              </w:rPr>
              <w:t>4.</w:t>
            </w:r>
            <w:r w:rsidRPr="00EF146F">
              <w:rPr>
                <w:i/>
              </w:rPr>
              <w:tab/>
              <w:t xml:space="preserve">Smernica </w:t>
            </w:r>
            <w:r>
              <w:rPr>
                <w:i/>
              </w:rPr>
              <w:t xml:space="preserve">č. </w:t>
            </w:r>
            <w:r w:rsidRPr="00EF146F">
              <w:rPr>
                <w:i/>
              </w:rPr>
              <w:t xml:space="preserve">2014/29/EÚ </w:t>
            </w:r>
            <w:r>
              <w:t>- národná právna úprava nejde nad rámec minimálnych požiadaviek EÚ.</w:t>
            </w:r>
          </w:p>
          <w:p w:rsidR="00EF146F" w:rsidRPr="00CC4CEA" w:rsidRDefault="00EF146F" w:rsidP="00EF146F">
            <w:r w:rsidRPr="00EF146F">
              <w:rPr>
                <w:i/>
              </w:rPr>
              <w:t>5.</w:t>
            </w:r>
            <w:r w:rsidRPr="00EF146F">
              <w:rPr>
                <w:i/>
              </w:rPr>
              <w:tab/>
              <w:t xml:space="preserve">Smernica </w:t>
            </w:r>
            <w:r>
              <w:rPr>
                <w:i/>
              </w:rPr>
              <w:t>č.</w:t>
            </w:r>
            <w:r w:rsidRPr="00EF146F">
              <w:rPr>
                <w:i/>
              </w:rPr>
              <w:t xml:space="preserve"> 2014/30/EÚ </w:t>
            </w:r>
            <w:r>
              <w:t>- národná právna úprava nejde nad rámec minimálnych požiadaviek EÚ.</w:t>
            </w:r>
          </w:p>
          <w:p w:rsidR="00EF146F" w:rsidRPr="00CC4CEA" w:rsidRDefault="00EF146F" w:rsidP="00EF146F">
            <w:r w:rsidRPr="00EF146F">
              <w:rPr>
                <w:i/>
              </w:rPr>
              <w:t>6.</w:t>
            </w:r>
            <w:r w:rsidRPr="00EF146F">
              <w:rPr>
                <w:i/>
              </w:rPr>
              <w:tab/>
              <w:t xml:space="preserve">Smernica </w:t>
            </w:r>
            <w:r>
              <w:rPr>
                <w:i/>
              </w:rPr>
              <w:t>č.</w:t>
            </w:r>
            <w:r w:rsidRPr="00EF146F">
              <w:rPr>
                <w:i/>
              </w:rPr>
              <w:t xml:space="preserve"> 2014/31/EÚ </w:t>
            </w:r>
            <w:r>
              <w:t>- národná právna úprava nejde nad rámec minimálnych požiadaviek EÚ.</w:t>
            </w:r>
          </w:p>
          <w:p w:rsidR="00EF146F" w:rsidRPr="00CC4CEA" w:rsidRDefault="00EF146F" w:rsidP="00EF146F">
            <w:r w:rsidRPr="00EF146F">
              <w:rPr>
                <w:i/>
              </w:rPr>
              <w:t>7.</w:t>
            </w:r>
            <w:r w:rsidRPr="00EF146F">
              <w:rPr>
                <w:i/>
              </w:rPr>
              <w:tab/>
              <w:t xml:space="preserve">Smernica </w:t>
            </w:r>
            <w:r>
              <w:rPr>
                <w:i/>
              </w:rPr>
              <w:t xml:space="preserve">č. </w:t>
            </w:r>
            <w:r w:rsidRPr="00EF146F">
              <w:rPr>
                <w:i/>
              </w:rPr>
              <w:t xml:space="preserve">2014/32/EÚ </w:t>
            </w:r>
            <w:r>
              <w:t>- národná právna úprava nejde nad rámec minimálnych</w:t>
            </w:r>
            <w:r w:rsidR="00366ED4">
              <w:t xml:space="preserve"> </w:t>
            </w:r>
            <w:r>
              <w:t>požiadaviek EÚ.</w:t>
            </w:r>
          </w:p>
          <w:p w:rsidR="00EF146F" w:rsidRPr="00CC4CEA" w:rsidRDefault="00EF146F" w:rsidP="00EF146F">
            <w:r w:rsidRPr="00EF146F">
              <w:rPr>
                <w:i/>
              </w:rPr>
              <w:t>8.</w:t>
            </w:r>
            <w:r w:rsidRPr="00EF146F">
              <w:rPr>
                <w:i/>
              </w:rPr>
              <w:tab/>
              <w:t xml:space="preserve">Smernica </w:t>
            </w:r>
            <w:r>
              <w:rPr>
                <w:i/>
              </w:rPr>
              <w:t>č.</w:t>
            </w:r>
            <w:r w:rsidRPr="00EF146F">
              <w:rPr>
                <w:i/>
              </w:rPr>
              <w:t xml:space="preserve"> 2014/33/EÚ </w:t>
            </w:r>
            <w:r>
              <w:t>- národná právna úprava nejde nad rámec minimálnych požiadaviek EÚ.</w:t>
            </w:r>
          </w:p>
          <w:p w:rsidR="00EF146F" w:rsidRPr="00CC4CEA" w:rsidRDefault="00EF146F" w:rsidP="00EF146F">
            <w:r w:rsidRPr="00EF146F">
              <w:rPr>
                <w:i/>
              </w:rPr>
              <w:t>9.</w:t>
            </w:r>
            <w:r w:rsidRPr="00EF146F">
              <w:rPr>
                <w:i/>
              </w:rPr>
              <w:tab/>
              <w:t xml:space="preserve">Smernica </w:t>
            </w:r>
            <w:r>
              <w:rPr>
                <w:i/>
              </w:rPr>
              <w:t>č.</w:t>
            </w:r>
            <w:r w:rsidRPr="00EF146F">
              <w:rPr>
                <w:i/>
              </w:rPr>
              <w:t xml:space="preserve"> 2014/34/EÚ </w:t>
            </w:r>
            <w:r>
              <w:t>- národná právna úprava nejde nad rámec minimálnych požiadaviek EÚ.</w:t>
            </w:r>
          </w:p>
          <w:p w:rsidR="00EF146F" w:rsidRPr="00CC4CEA" w:rsidRDefault="00EF146F" w:rsidP="00EF146F">
            <w:r w:rsidRPr="00EF146F">
              <w:rPr>
                <w:i/>
              </w:rPr>
              <w:t>10.</w:t>
            </w:r>
            <w:r w:rsidRPr="00EF146F">
              <w:rPr>
                <w:i/>
              </w:rPr>
              <w:tab/>
              <w:t xml:space="preserve">Smernica </w:t>
            </w:r>
            <w:r>
              <w:rPr>
                <w:i/>
              </w:rPr>
              <w:t>č.</w:t>
            </w:r>
            <w:r w:rsidRPr="00EF146F">
              <w:rPr>
                <w:i/>
              </w:rPr>
              <w:t xml:space="preserve"> 2014/35/EÚ </w:t>
            </w:r>
            <w:r>
              <w:t>- národná právna úprava nejde nad rámec minimálnych požiadaviek EÚ.</w:t>
            </w:r>
          </w:p>
          <w:p w:rsidR="00EF146F" w:rsidRPr="00CC4CEA" w:rsidRDefault="00EF146F" w:rsidP="00EF146F">
            <w:r w:rsidRPr="00EF146F">
              <w:rPr>
                <w:i/>
              </w:rPr>
              <w:t>11.</w:t>
            </w:r>
            <w:r w:rsidRPr="00EF146F">
              <w:rPr>
                <w:i/>
              </w:rPr>
              <w:tab/>
              <w:t xml:space="preserve">Smernica </w:t>
            </w:r>
            <w:r>
              <w:rPr>
                <w:i/>
              </w:rPr>
              <w:t>č.</w:t>
            </w:r>
            <w:r w:rsidRPr="00EF146F">
              <w:rPr>
                <w:i/>
              </w:rPr>
              <w:t xml:space="preserve"> 2014/53/EÚ </w:t>
            </w:r>
            <w:r>
              <w:t>- národná právna úprava nejde nad rámec minimálnych požiadaviek EÚ.</w:t>
            </w:r>
          </w:p>
          <w:p w:rsidR="00EF146F" w:rsidRPr="00CC4CEA" w:rsidRDefault="00EF146F" w:rsidP="00EF146F">
            <w:r w:rsidRPr="00EF146F">
              <w:rPr>
                <w:i/>
              </w:rPr>
              <w:t>12.</w:t>
            </w:r>
            <w:r w:rsidRPr="00EF146F">
              <w:rPr>
                <w:i/>
              </w:rPr>
              <w:tab/>
              <w:t xml:space="preserve">Smernica </w:t>
            </w:r>
            <w:r>
              <w:rPr>
                <w:i/>
              </w:rPr>
              <w:t xml:space="preserve">č. </w:t>
            </w:r>
            <w:r w:rsidRPr="00EF146F">
              <w:rPr>
                <w:i/>
              </w:rPr>
              <w:t xml:space="preserve">2014/68/EÚ </w:t>
            </w:r>
            <w:r>
              <w:t>- národná právna úprava nejde nad rámec minimálnych požiadaviek EÚ.</w:t>
            </w:r>
          </w:p>
          <w:p w:rsidR="003501A1" w:rsidRPr="00CC4CEA" w:rsidRDefault="00EF146F" w:rsidP="00EF146F">
            <w:r w:rsidRPr="00EF146F">
              <w:rPr>
                <w:i/>
              </w:rPr>
              <w:t>13.</w:t>
            </w:r>
            <w:r w:rsidRPr="00EF146F">
              <w:rPr>
                <w:i/>
              </w:rPr>
              <w:tab/>
              <w:t xml:space="preserve">Smernica </w:t>
            </w:r>
            <w:r>
              <w:rPr>
                <w:i/>
              </w:rPr>
              <w:t>č.</w:t>
            </w:r>
            <w:r w:rsidRPr="00EF146F">
              <w:rPr>
                <w:i/>
              </w:rPr>
              <w:t xml:space="preserve"> 2014/90/EÚ </w:t>
            </w:r>
            <w:r>
              <w:t>- národná právna úprava nejde nad rámec minimálnych požiadaviek EÚ.</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C2327D"/>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6843F8">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E219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9E0A07">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887A7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010918"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670A7B" w:rsidRDefault="00670A7B"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670A7B" w:rsidRDefault="003501A1" w:rsidP="007B71A4">
            <w:r w:rsidRPr="00670A7B">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670A7B" w:rsidRDefault="00010918"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670A7B" w:rsidRDefault="003501A1" w:rsidP="007B71A4">
            <w:r w:rsidRPr="00670A7B">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670A7B" w:rsidRDefault="00EB09BA" w:rsidP="007B71A4">
                <w:pPr>
                  <w:ind w:left="-107" w:right="-108"/>
                  <w:jc w:val="center"/>
                </w:pPr>
                <w:r w:rsidRPr="00670A7B">
                  <w:rPr>
                    <w:rFonts w:ascii="MS Gothic" w:eastAsia="MS Gothic" w:hAnsi="MS Gothic"/>
                  </w:rPr>
                  <w:t>☐</w:t>
                </w:r>
              </w:p>
            </w:tc>
          </w:sdtContent>
        </w:sdt>
        <w:tc>
          <w:tcPr>
            <w:tcW w:w="1297" w:type="dxa"/>
            <w:tcBorders>
              <w:top w:val="single" w:sz="4" w:space="0" w:color="auto"/>
              <w:left w:val="nil"/>
              <w:bottom w:val="single" w:sz="4" w:space="0" w:color="auto"/>
              <w:right w:val="single" w:sz="4" w:space="0" w:color="auto"/>
            </w:tcBorders>
          </w:tcPr>
          <w:p w:rsidR="003501A1" w:rsidRPr="00670A7B" w:rsidRDefault="003501A1" w:rsidP="007B71A4">
            <w:pPr>
              <w:ind w:left="34"/>
            </w:pPr>
            <w:r w:rsidRPr="00670A7B">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670A7B"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670A7B"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670A7B"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670A7B"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E0A07"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670A7B" w:rsidRDefault="003E38BF" w:rsidP="007B71A4">
                <w:pPr>
                  <w:jc w:val="center"/>
                  <w:rPr>
                    <w:b/>
                  </w:rPr>
                </w:pPr>
                <w:r w:rsidRPr="00670A7B">
                  <w:rPr>
                    <w:rFonts w:ascii="MS Gothic" w:eastAsia="MS Gothic" w:hAnsi="MS Gothic"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670A7B" w:rsidRDefault="003501A1" w:rsidP="007B71A4">
            <w:pPr>
              <w:ind w:right="-108"/>
              <w:rPr>
                <w:b/>
              </w:rPr>
            </w:pPr>
            <w:r w:rsidRPr="00670A7B">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E38B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670A7B" w:rsidRDefault="003E38BF" w:rsidP="007B71A4">
                <w:pPr>
                  <w:jc w:val="center"/>
                  <w:rPr>
                    <w:b/>
                  </w:rPr>
                </w:pPr>
                <w:r w:rsidRPr="00670A7B">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670A7B" w:rsidRDefault="003501A1" w:rsidP="007B71A4">
            <w:pPr>
              <w:ind w:right="-108"/>
              <w:rPr>
                <w:b/>
              </w:rPr>
            </w:pPr>
            <w:r w:rsidRPr="00670A7B">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E38B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lastRenderedPageBreak/>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3A19C3"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3A19C3"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2E33F1">
        <w:trPr>
          <w:trHeight w:val="56"/>
        </w:trPr>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0541C7" w:rsidRPr="000541C7" w:rsidRDefault="007C4AE5" w:rsidP="00B9160D">
            <w:pPr>
              <w:jc w:val="both"/>
            </w:pPr>
            <w:r w:rsidRPr="000541C7">
              <w:t>K predkladanému návrhu zákona</w:t>
            </w:r>
            <w:r w:rsidR="000541C7">
              <w:t xml:space="preserve"> vytvoril </w:t>
            </w:r>
            <w:r w:rsidR="000541C7" w:rsidRPr="000541C7">
              <w:t xml:space="preserve">Úrad pre normalizáciu, metrológiu a skúšobníctvo Slovenskej republiky </w:t>
            </w:r>
            <w:r w:rsidR="000541C7">
              <w:t xml:space="preserve">(ďalej len „úrad“) pracovnú skupinu </w:t>
            </w:r>
            <w:r w:rsidR="00145D5C">
              <w:t>pozostávajúcu z</w:t>
            </w:r>
            <w:r w:rsidR="00244EFD">
              <w:t xml:space="preserve">o zástupcov </w:t>
            </w:r>
            <w:r w:rsidR="00145D5C">
              <w:t>nominov</w:t>
            </w:r>
            <w:r w:rsidR="00244EFD">
              <w:t>aných</w:t>
            </w:r>
            <w:r w:rsidR="00145D5C">
              <w:t xml:space="preserve"> ministr</w:t>
            </w:r>
            <w:r w:rsidR="00244EFD">
              <w:t>ami</w:t>
            </w:r>
            <w:r w:rsidR="00145D5C">
              <w:t xml:space="preserve"> a predsed</w:t>
            </w:r>
            <w:r w:rsidR="00244EFD">
              <w:t>ami</w:t>
            </w:r>
            <w:r w:rsidR="00145D5C">
              <w:t xml:space="preserve"> jednotlivých ministerstiev, ostatných ústredných orgánov štátnej správy a orgánov dohľadu z dôvodu ustanove</w:t>
            </w:r>
            <w:r w:rsidR="00301432">
              <w:t>nia orgánov trhového dohľadu k jednotlivým určeným výrobkom</w:t>
            </w:r>
            <w:r w:rsidR="000424DC">
              <w:t>, ktoré</w:t>
            </w:r>
            <w:r w:rsidR="00301432">
              <w:t xml:space="preserve"> ustanov</w:t>
            </w:r>
            <w:r w:rsidR="000424DC">
              <w:t>ujú technické predpisy z oblasti posudzovania zhody.</w:t>
            </w:r>
            <w:r w:rsidR="00301432">
              <w:t xml:space="preserve"> </w:t>
            </w:r>
            <w:r w:rsidR="004C5E92">
              <w:t>Úrad</w:t>
            </w:r>
            <w:r w:rsidRPr="000541C7">
              <w:t xml:space="preserve"> uskutočnil </w:t>
            </w:r>
            <w:r w:rsidR="000541C7" w:rsidRPr="000541C7">
              <w:t>1</w:t>
            </w:r>
            <w:r w:rsidR="007E2193">
              <w:t>4</w:t>
            </w:r>
            <w:r w:rsidR="000541C7" w:rsidRPr="000541C7">
              <w:t xml:space="preserve"> </w:t>
            </w:r>
            <w:r w:rsidR="000541C7">
              <w:t xml:space="preserve">rokovaní </w:t>
            </w:r>
            <w:r w:rsidR="004C5E92">
              <w:t xml:space="preserve">tejto pracovnej skupiny, ktorej závery sú premietnuté do ustanovení </w:t>
            </w:r>
            <w:r w:rsidR="000424DC">
              <w:t>§ 25 až 28</w:t>
            </w:r>
            <w:r w:rsidR="004C5E92">
              <w:t xml:space="preserve"> návrhu zákona.</w:t>
            </w:r>
          </w:p>
          <w:p w:rsidR="007C4AE5" w:rsidRDefault="007C4AE5" w:rsidP="00B9160D">
            <w:pPr>
              <w:jc w:val="both"/>
              <w:rPr>
                <w:highlight w:val="yellow"/>
              </w:rPr>
            </w:pPr>
          </w:p>
          <w:p w:rsidR="002C1E53" w:rsidRDefault="005058B2" w:rsidP="002C1E53">
            <w:pPr>
              <w:jc w:val="both"/>
            </w:pPr>
            <w:r w:rsidRPr="005058B2">
              <w:t>Návrh zákona má precizovať ustanovenia zákona</w:t>
            </w:r>
            <w:r w:rsidR="008B4A09">
              <w:t xml:space="preserve"> o</w:t>
            </w:r>
            <w:r w:rsidRPr="005058B2">
              <w:t xml:space="preserve"> autorizácii, notifikácii, právach a povinnostiach autorizovaných a notifikovaných osôb, značkách a označení CE, </w:t>
            </w:r>
            <w:r w:rsidR="008B4A09">
              <w:t>informačných</w:t>
            </w:r>
            <w:r>
              <w:t xml:space="preserve"> povinnost</w:t>
            </w:r>
            <w:r w:rsidR="008B4A09">
              <w:t>iach</w:t>
            </w:r>
            <w:r w:rsidRPr="005058B2">
              <w:t xml:space="preserve"> a</w:t>
            </w:r>
            <w:r w:rsidR="008B4A09">
              <w:t> </w:t>
            </w:r>
            <w:r w:rsidRPr="005058B2">
              <w:t>čiastočne</w:t>
            </w:r>
            <w:r w:rsidR="008B4A09">
              <w:t xml:space="preserve"> precizuje</w:t>
            </w:r>
            <w:r w:rsidRPr="005058B2">
              <w:t xml:space="preserve">  postupy orgánov dohľadu, ale výhradne len pri vymožiteľnosti práv a povinností hospodárskych subjektov ustanovených v návrhu zákona, ktoré vyplývajú z prijatej európskej legislatívy</w:t>
            </w:r>
            <w:r w:rsidR="008B4A09">
              <w:t xml:space="preserve"> a ktorými sa zabezpečuje zlepšenie transpozície jednotlivých smerníc Nového prístupu ako aj implementácie nariadenia Európskeho parlamentu a Rady (ES</w:t>
            </w:r>
            <w:r w:rsidR="008B4A09" w:rsidRPr="005058B2">
              <w:t xml:space="preserve"> </w:t>
            </w:r>
            <w:r w:rsidR="008B4A09">
              <w:t xml:space="preserve"> č. 765/2008 </w:t>
            </w:r>
            <w:r w:rsidRPr="005058B2">
              <w:t xml:space="preserve">a nie sú návrhom zákona žiadnym spôsobom rozšírené nad rámec práva Európskej únie. </w:t>
            </w:r>
          </w:p>
          <w:p w:rsidR="002C1E53" w:rsidRDefault="002C1E53" w:rsidP="002C1E53">
            <w:pPr>
              <w:jc w:val="both"/>
            </w:pPr>
          </w:p>
          <w:p w:rsidR="002C1E53" w:rsidRDefault="002C1E53" w:rsidP="002C1E53">
            <w:pPr>
              <w:jc w:val="both"/>
            </w:pPr>
            <w:r w:rsidRPr="00670A7B">
              <w:t xml:space="preserve">Predkladaný návrh zákona upravuje </w:t>
            </w:r>
            <w:r>
              <w:t>pôsobnosť orgánov</w:t>
            </w:r>
            <w:r w:rsidRPr="00670A7B">
              <w:t xml:space="preserve"> dohľadu nad dodržiavaním povinností podľa návrhu zákona a technických predpisov z oblasti posudzovania zhody a novelizuje jednotlivé zákony ustanovené v č</w:t>
            </w:r>
            <w:r>
              <w:t>lánkoch II až IX návrhu zákona.</w:t>
            </w:r>
          </w:p>
          <w:p w:rsidR="002C1E53" w:rsidRDefault="002C1E53" w:rsidP="002C1E53">
            <w:pPr>
              <w:jc w:val="both"/>
            </w:pPr>
          </w:p>
          <w:p w:rsidR="002C1E53" w:rsidRDefault="002C1E53" w:rsidP="002C1E53">
            <w:pPr>
              <w:jc w:val="both"/>
            </w:pPr>
            <w:r>
              <w:t xml:space="preserve">Vplyvy na podnikateľské prostredie, informatizáciu spoločnosti a životné prostredie sa </w:t>
            </w:r>
            <w:r w:rsidRPr="00670A7B">
              <w:t>vo vzťahu k účinnej právnej úprave, ktorá sa len nahradí novou právnou úpravou</w:t>
            </w:r>
            <w:r>
              <w:t>, nemenia</w:t>
            </w:r>
            <w:r w:rsidRPr="00670A7B">
              <w:t>.</w:t>
            </w:r>
          </w:p>
          <w:p w:rsidR="002C1E53" w:rsidRDefault="002C1E53" w:rsidP="002C1E53">
            <w:pPr>
              <w:jc w:val="both"/>
            </w:pPr>
          </w:p>
          <w:p w:rsidR="005058B2" w:rsidRPr="00670A7B" w:rsidRDefault="002C1E53" w:rsidP="00B9160D">
            <w:pPr>
              <w:jc w:val="both"/>
            </w:pPr>
            <w:r w:rsidRPr="002C1E53">
              <w:t>Návrh zákona bude mať pozitívny vplyv na rozpočet verejnej správy. Konkrétne účinnosťou návrhu zákona dôjde k zlepšeniu riešenia kompetenčných sporov medzi jednotlivými orgánmi dohľadu ustanovenými návrhom zákona, a zároveň k možnému zvýšeniu príjmov rozpočtu verejnej správy v dôsledku precíznejšieho výkonu dohľadu nad trhom nad jednotlivými skupinami určených výrobkov, a tým aj ukladaniu pokút v prípade porušenia ustanovení návrhu zákona alebo technického predpisu z oblasti posudzovania zhody. Nakoľko množstvo zistených porušení zákona závisí od aktivity konkrétnych orgánov dohľadu pri zisťovaní porušenia zákona priamo na trhu, a zároveň od úrovne dodržiavania všeobecne záväzných právnych predpisov hospodárskymi subjektmi, úrad nevie ani približne vyčísliť vplyv uložených pokút na rozpočet verejnej správy.</w:t>
            </w:r>
          </w:p>
          <w:p w:rsidR="00D22CAF" w:rsidRPr="002E33F1" w:rsidRDefault="00D22CAF" w:rsidP="006B7087">
            <w:pPr>
              <w:jc w:val="both"/>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3A19C3" w:rsidRDefault="003A19C3" w:rsidP="003A19C3">
            <w:r w:rsidRPr="003A19C3">
              <w:t>Mgr. Veroni</w:t>
            </w:r>
            <w:bookmarkStart w:id="0" w:name="_GoBack"/>
            <w:bookmarkEnd w:id="0"/>
            <w:r w:rsidRPr="003A19C3">
              <w:t xml:space="preserve">ka Kalužská, </w:t>
            </w:r>
            <w:hyperlink r:id="rId9" w:history="1">
              <w:r w:rsidRPr="00C66FF6">
                <w:rPr>
                  <w:rStyle w:val="Hypertextovprepojenie"/>
                </w:rPr>
                <w:t>veronika.kaluzska@normoff.gov.sk</w:t>
              </w:r>
            </w:hyperlink>
            <w:r>
              <w:t>,</w:t>
            </w:r>
            <w:r w:rsidRPr="003A19C3">
              <w:t xml:space="preserve"> </w:t>
            </w:r>
            <w:r>
              <w:t xml:space="preserve"> </w:t>
            </w:r>
            <w:r w:rsidRPr="003A19C3">
              <w:t>02/ 57 485 319.</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A179AE" w:rsidRDefault="003501A1" w:rsidP="007B71A4">
            <w:pPr>
              <w:rPr>
                <w:i/>
              </w:rPr>
            </w:pPr>
          </w:p>
          <w:p w:rsidR="003501A1" w:rsidRPr="00D73947" w:rsidRDefault="00D73947" w:rsidP="009042D3">
            <w:pPr>
              <w:jc w:val="both"/>
            </w:pPr>
            <w:r w:rsidRPr="00D73947">
              <w:t>Úrad pri vypracovaní analýzy vplyvov na rozpočet verejnej správy vychádzal z podkladov, ktoré mu doručil</w:t>
            </w:r>
            <w:r w:rsidR="009042D3">
              <w:t>i</w:t>
            </w:r>
            <w:r w:rsidRPr="00D73947">
              <w:t xml:space="preserve"> Ministerstvo hospodárstva Slovenskej republiky a Dopravný úrad.</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3501A1" w:rsidRPr="00A179AE" w:rsidRDefault="003501A1" w:rsidP="007B71A4">
            <w:pPr>
              <w:rPr>
                <w:b/>
              </w:rPr>
            </w:pPr>
          </w:p>
          <w:p w:rsidR="003501A1" w:rsidRDefault="00EF725F" w:rsidP="00EF725F">
            <w:pPr>
              <w:jc w:val="both"/>
            </w:pPr>
            <w:r w:rsidRPr="00EF725F">
              <w:t>Stála pracovná komisia na posudzovanie vybraných vplyvov vyjadrila k materiálu nesúhlasné stanovisko s odporúčaním na jeho dopracovanie podľa nasledovných pripomienok:</w:t>
            </w:r>
          </w:p>
          <w:p w:rsidR="00EF725F" w:rsidRDefault="00EF725F" w:rsidP="00EF725F">
            <w:pPr>
              <w:jc w:val="both"/>
            </w:pPr>
          </w:p>
          <w:p w:rsidR="00EF725F" w:rsidRPr="00EF725F" w:rsidRDefault="00EF725F" w:rsidP="00EF725F">
            <w:pPr>
              <w:jc w:val="both"/>
              <w:rPr>
                <w:b/>
              </w:rPr>
            </w:pPr>
            <w:r w:rsidRPr="00EF725F">
              <w:rPr>
                <w:b/>
              </w:rPr>
              <w:t>K doložke vybraných vplyvov</w:t>
            </w:r>
          </w:p>
          <w:p w:rsidR="00EF725F" w:rsidRDefault="00EF725F" w:rsidP="00EF725F">
            <w:pPr>
              <w:jc w:val="both"/>
            </w:pPr>
            <w:r>
              <w:t xml:space="preserve">Komisia odporúča predkladateľovi v doložke vybraných vplyvov v časti „1. Základné údaje“ aktualizovať termín začiatku a ukončenia PPK. – </w:t>
            </w:r>
            <w:r w:rsidRPr="00EF725F">
              <w:rPr>
                <w:i/>
              </w:rPr>
              <w:t xml:space="preserve">materiál bol podľa pripomienky upravený, pričom predkladateľ nemohol v čase predkladania materiálu do predbežného pripomienkového konania predpokladať termín jeho ukončenia, nakoľko ten je závislý od doručenia stanoviska Stálej pracovnej komisie na posudzovanie vybraných vplyvov </w:t>
            </w:r>
            <w:r w:rsidRPr="00EF725F">
              <w:rPr>
                <w:i/>
              </w:rPr>
              <w:lastRenderedPageBreak/>
              <w:t>predkladateľovi.</w:t>
            </w:r>
          </w:p>
          <w:p w:rsidR="00EF725F" w:rsidRDefault="00EF725F" w:rsidP="00EF725F">
            <w:pPr>
              <w:jc w:val="both"/>
            </w:pPr>
          </w:p>
          <w:p w:rsidR="00EF725F" w:rsidRPr="00EF725F" w:rsidRDefault="00EF725F" w:rsidP="00EF725F">
            <w:pPr>
              <w:jc w:val="both"/>
              <w:rPr>
                <w:b/>
              </w:rPr>
            </w:pPr>
            <w:r w:rsidRPr="00EF725F">
              <w:rPr>
                <w:b/>
              </w:rPr>
              <w:t>K analýze vplyvov na rozpočet verejnej správy</w:t>
            </w:r>
          </w:p>
          <w:p w:rsidR="00EF725F" w:rsidRDefault="00EF725F" w:rsidP="00EF725F">
            <w:pPr>
              <w:jc w:val="both"/>
            </w:pPr>
            <w:r>
              <w:t>V doložke vybraných vplyvov je uvedené, že materiál má negatívny vplyv na rozpočet verejnej správy, rozpočtovo nezabezpečený.</w:t>
            </w:r>
          </w:p>
          <w:p w:rsidR="00EF725F" w:rsidRDefault="00EF725F" w:rsidP="00EF725F">
            <w:pPr>
              <w:jc w:val="both"/>
            </w:pPr>
            <w:r>
              <w:t>V analýze vplyvov sú kvantifikované výdavky kapitoly Ministerstva hospodárstva SR na roky 2018 až 2020 ročne v sume 45 360 eur a kapitoly Ministerstva dopravy a výstavby SR v sume 257 449 eur na rok 2018 a v rokoch 2019 a 2020 každoročne v sume 272 649 eur.</w:t>
            </w:r>
          </w:p>
          <w:p w:rsidR="00EF725F" w:rsidRDefault="00EF725F" w:rsidP="00EF725F">
            <w:pPr>
              <w:jc w:val="both"/>
            </w:pPr>
            <w:r>
              <w:t xml:space="preserve">V komentároch prílohy č. 2 analýzy vplyvov na rozpočet verejnej správy je uvedené, že výdavky MH SR sú kvantifikované pre 2 zamestnancov na osobné výdavky (mzdy a poistné). Je tiež uvedené, že nárast výdavkov kapitoly o 45 360 eur zohľadňuje nárast od účinnosti zákona od 1. apríla 2018, avšak z nasledujúceho výpočtu vyplýva, že ide o ročné výdavky. Je potrebné zosúladiť kvantifikácie vplyvov na rozpočet verejnej správy na rok 2018 s navrhovaným termínom účinnosti zákona. – </w:t>
            </w:r>
            <w:r w:rsidR="00CC4CEA">
              <w:rPr>
                <w:i/>
              </w:rPr>
              <w:t>negatívny vplyv na rozpočet verejnej správy bol z materiálu vypustený, čím sa stala pripomienka bezpredmetnou.</w:t>
            </w:r>
          </w:p>
          <w:p w:rsidR="00EF725F" w:rsidRDefault="00EF725F" w:rsidP="00EF725F">
            <w:pPr>
              <w:jc w:val="both"/>
            </w:pPr>
          </w:p>
          <w:p w:rsidR="00EF725F" w:rsidRDefault="00EF725F" w:rsidP="00EF725F">
            <w:pPr>
              <w:jc w:val="both"/>
            </w:pPr>
            <w:r>
              <w:t xml:space="preserve">Zároveň je uvedené, že MH SR žiada o navýšenie finančných prostriedkov a počtu zamestnancov za účelom riadneho plnenia informačných a koordinačných úloh, ktoré vyplývajú z nariadenia ES č. 765/2008 a sú implementované v § 27 návrhu zákona. Vzhľadom na skutočnosť, že nejde o nové nariadenie ES, Komisia žiada doplniť odôvodnenie, akým spôsobom bolo zabezpečené plnenie povinností vyplývajúcich z predmetného nariadenia doteraz a kto ich zabezpečoval. Zároveň taktiež Komisia žiada konkretizovať, aké nové úlohy oproti súčasnosti by mali noví zamestnanci plniť. - </w:t>
            </w:r>
            <w:r w:rsidR="00CC4CEA">
              <w:rPr>
                <w:i/>
              </w:rPr>
              <w:t xml:space="preserve">negatívny vplyv na rozpočet verejnej správy bol z materiálu vypustený, čím sa stala pripomienka bezpredmetnou. </w:t>
            </w:r>
            <w:r>
              <w:t>Výdavky kapitoly MDV SR sú kvantifikované pre Dopravný úrad pre 7 zamestnancov na osobné výdavky 175 689 eur ročne, bežné výdavky na materiálno-technické vybavenie v sume 51 600 eur ročne a kapitálové výdavky v sume 30 160 eur na rok 2018.</w:t>
            </w:r>
          </w:p>
          <w:p w:rsidR="00EF725F" w:rsidRDefault="00EF725F" w:rsidP="00EF725F">
            <w:pPr>
              <w:jc w:val="both"/>
            </w:pPr>
            <w:r>
              <w:t xml:space="preserve">V komentároch prílohy č. 2 analýzy vplyvov na rozpočet verejnej správy je uvedené,  že Dopravný úrad žiada o navýšenie o 3 zamestnancov v divízii vnútrozemskej plavby na zabezpečenie registrácie plavidiel a štátneho odborného dozoru o 4 zamestnancov v divízii dráh a dopravy na dráhach súvislosti požiadavkou posilniť štátny odborný dozor, nakoľko súčasné personálne obsadenie je nepostačujúce a nedokázalo by pokryť novo navrhované kompetencie. Je potrebné zosúladiť kvantifikácie vplyvov na rozpočet verejnej správy na rok 2018 za osobné výdavky s navrhovaným termínom účinnosti zákona. - </w:t>
            </w:r>
            <w:r w:rsidR="00CC4CEA">
              <w:rPr>
                <w:i/>
              </w:rPr>
              <w:t>negatívny vplyv na rozpočet verejnej správy bol z materiálu vypustený, čím sa stala pripomienka bezpredmetnou.</w:t>
            </w:r>
          </w:p>
          <w:p w:rsidR="00EF725F" w:rsidRDefault="00EF725F" w:rsidP="00EF725F">
            <w:pPr>
              <w:jc w:val="both"/>
            </w:pPr>
          </w:p>
          <w:p w:rsidR="00EF725F" w:rsidRDefault="00EF725F" w:rsidP="00EF725F">
            <w:pPr>
              <w:jc w:val="both"/>
            </w:pPr>
            <w:r>
              <w:t xml:space="preserve">Komisia upozorňuje, že v tabuľke č. 4 analýzy vplyvov na rozpočet verejnej správy sú v tabuľke za MDV SR kvantifikované výdavky v rámci bežných transferov (640), avšak pod tabuľkou sú špecifikované výdavky v rámci tovarov a služieb (630). Uvedené je potrebné vzájomne zosúladiť. - </w:t>
            </w:r>
            <w:r w:rsidR="00CC4CEA">
              <w:rPr>
                <w:i/>
              </w:rPr>
              <w:t>negatívny vplyv na rozpočet verejnej správy bol z materiálu vypustený, čím sa stala pripomienka bezpredmetnou.</w:t>
            </w:r>
          </w:p>
          <w:p w:rsidR="00EF725F" w:rsidRDefault="00EF725F" w:rsidP="00EF725F">
            <w:pPr>
              <w:jc w:val="both"/>
            </w:pPr>
          </w:p>
          <w:p w:rsidR="00EF725F" w:rsidRDefault="00EF725F" w:rsidP="00EF725F">
            <w:pPr>
              <w:jc w:val="both"/>
            </w:pPr>
            <w:r>
              <w:t xml:space="preserve">V tabuľke č. 5  je potrebné doplniť aj údaje v riadku osobné výdavky celkom. - </w:t>
            </w:r>
            <w:r w:rsidR="00CC4CEA">
              <w:rPr>
                <w:i/>
              </w:rPr>
              <w:t>negatívny vplyv na rozpočet verejnej správy bol z materiálu vypustený, čím sa stala pripomienka bezpredmetnou.</w:t>
            </w:r>
          </w:p>
          <w:p w:rsidR="00EF725F" w:rsidRDefault="00EF725F" w:rsidP="00EF725F">
            <w:pPr>
              <w:jc w:val="both"/>
            </w:pPr>
          </w:p>
          <w:p w:rsidR="00EF725F" w:rsidRDefault="00EF725F" w:rsidP="00EF725F">
            <w:pPr>
              <w:jc w:val="both"/>
            </w:pPr>
            <w:r>
              <w:t xml:space="preserve">Všetky  kvantifikované  výdavky  a  zvýšenie počtu zamestnancov  Komisia žiada zabezpečiť  v  rámci stanovených limitov výdavkov a limitov počtov zamestnancov dotknutých kapitol. Uvedenú pripomienku Komisia žiada zohľadniť v doložke vybraných vplyvov a v analýze vplyvov - v tabuľke č. 1 a časti 2.1. Financovanie návrhu analýzy vplyvov. </w:t>
            </w:r>
            <w:r w:rsidR="00CC4CEA">
              <w:t xml:space="preserve">- </w:t>
            </w:r>
            <w:r w:rsidR="00CC4CEA">
              <w:rPr>
                <w:i/>
              </w:rPr>
              <w:t>negatívny vplyv na rozpočet verejnej správy bol z materiálu vypustený, čím sa stala pripomienka bezpredmetnou.</w:t>
            </w:r>
          </w:p>
          <w:p w:rsidR="00EF725F" w:rsidRDefault="00EF725F" w:rsidP="00EF725F">
            <w:pPr>
              <w:jc w:val="both"/>
            </w:pPr>
          </w:p>
          <w:p w:rsidR="00EF725F" w:rsidRPr="00EF725F" w:rsidRDefault="00EF725F" w:rsidP="00EF725F">
            <w:pPr>
              <w:jc w:val="both"/>
            </w:pPr>
            <w:r>
              <w:t xml:space="preserve">V časti 2.2.1. analýzy vplyvov na rozpočet verejnej správy je tiež uvedené, návrh zákona bude mať aj pozitívny vplyv na rozpočet verejnej správy, týkajúci sa ukladania pokút v prípade porušenia ustanovení návrhu zákona. Ďalej je uvedené, že nakoľko množstvo zistených porušení zákona závisí od aktivity konkrétnych orgánov dohľadu a od úrovne dodržiavania všeobecne záväzných predpisov, úrad nevie ani približne vyčísliť vplyv uložených pokút na rozpočet verejnej správy. Na základe uvedeného Komisia žiada doplniť do doložky vybraných vplyvov, že materiál má aj pozitívny vplyv a rozpočet verejnej správy. Pokiaľ predkladateľ vie kvantifikovať vplyv na rozpočet verejnej správy, uvedie príslušné kvantifikácie v analýze vplyvov na rozpočet verejnej správy. Pokiaľ ich nevie kvantifikovať, uvedie dôvod, prečo ich nevie kvantifikovať. - </w:t>
            </w:r>
            <w:r w:rsidRPr="00EF725F">
              <w:rPr>
                <w:i/>
              </w:rPr>
              <w:t>materiál bol podľa pripomienky upravený</w:t>
            </w:r>
            <w:r>
              <w:rPr>
                <w:i/>
              </w:rPr>
              <w:t>, v Doložke vybraných vplyvov bol zároveň vyznačený aj pozitívny vplyv na rozpočet verejnej správy, pričom však predkladateľ v Analýze vplyvov na rozpočet verejnej správy, v časti 2.2.1 už v štádiu predbežného pripomienkového konania uviedol, že „</w:t>
            </w:r>
            <w:r w:rsidRPr="00EF725F">
              <w:rPr>
                <w:i/>
              </w:rPr>
              <w:t xml:space="preserve">účinnosťou návrhu zákona dôjde k zlepšeniu riešenia kompetenčných sporov medzi jednotlivými orgánmi dohľadu ustanovenými návrhom zákona, a zároveň k možnému zvýšeniu príjmov rozpočtu verejnej správy v dôsledku precíznejšieho výkonu dohľadu nad trhom nad jednotlivými skupinami určených výrobkov, a tým aj ukladaniu pokút v prípade porušenia ustanovení návrhu zákona alebo technického predpisu z oblasti posudzovania zhody. Nakoľko množstvo zistených porušení </w:t>
            </w:r>
            <w:r w:rsidRPr="00EF725F">
              <w:rPr>
                <w:i/>
              </w:rPr>
              <w:lastRenderedPageBreak/>
              <w:t>zákona závisí od aktivity konkrétnych orgánov dohľadu pri zisťovaní porušenia zákona priamo na trhu, a zároveň od úrovne dodržiavania všeobecne záväzných právnych predpisov hospodárskymi subjektmi, úrad nevie ani približne vyčísliť vplyv uložených pokút na rozpočet verejnej správy</w:t>
            </w:r>
            <w:r>
              <w:rPr>
                <w:i/>
              </w:rPr>
              <w:t>.“, preto podľa názoru predkladateľa, bolo pripomienke vyhovené.</w:t>
            </w:r>
          </w:p>
        </w:tc>
      </w:tr>
    </w:tbl>
    <w:p w:rsidR="00CB3623" w:rsidRDefault="00CB3623"/>
    <w:sectPr w:rsidR="00CB3623" w:rsidSect="00477455">
      <w:headerReference w:type="default" r:id="rId10"/>
      <w:footerReference w:type="default" r:id="rId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67" w:rsidRDefault="008E1B67" w:rsidP="003501A1">
      <w:r>
        <w:separator/>
      </w:r>
    </w:p>
  </w:endnote>
  <w:endnote w:type="continuationSeparator" w:id="0">
    <w:p w:rsidR="008E1B67" w:rsidRDefault="008E1B67"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30228"/>
      <w:docPartObj>
        <w:docPartGallery w:val="Page Numbers (Bottom of Page)"/>
        <w:docPartUnique/>
      </w:docPartObj>
    </w:sdtPr>
    <w:sdtContent>
      <w:p w:rsidR="002C1E53" w:rsidRDefault="002C1E53">
        <w:pPr>
          <w:pStyle w:val="Pta"/>
          <w:jc w:val="center"/>
        </w:pPr>
        <w:r>
          <w:fldChar w:fldCharType="begin"/>
        </w:r>
        <w:r>
          <w:instrText>PAGE   \* MERGEFORMAT</w:instrText>
        </w:r>
        <w:r>
          <w:fldChar w:fldCharType="separate"/>
        </w:r>
        <w:r w:rsidR="00BC33D4">
          <w:rPr>
            <w:noProof/>
          </w:rPr>
          <w:t>5</w:t>
        </w:r>
        <w:r>
          <w:fldChar w:fldCharType="end"/>
        </w:r>
      </w:p>
    </w:sdtContent>
  </w:sdt>
  <w:p w:rsidR="002C1E53" w:rsidRDefault="002C1E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67" w:rsidRDefault="008E1B67" w:rsidP="003501A1">
      <w:r>
        <w:separator/>
      </w:r>
    </w:p>
  </w:footnote>
  <w:footnote w:type="continuationSeparator" w:id="0">
    <w:p w:rsidR="008E1B67" w:rsidRDefault="008E1B67"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526A2"/>
    <w:multiLevelType w:val="hybridMultilevel"/>
    <w:tmpl w:val="06BE12B4"/>
    <w:lvl w:ilvl="0" w:tplc="041B000F">
      <w:start w:val="1"/>
      <w:numFmt w:val="decimal"/>
      <w:lvlText w:val="%1."/>
      <w:lvlJc w:val="left"/>
      <w:pPr>
        <w:tabs>
          <w:tab w:val="left" w:pos="720"/>
        </w:tabs>
        <w:ind w:left="720" w:hanging="360"/>
      </w:pPr>
      <w:rPr>
        <w:rFonts w:hint="default"/>
      </w:rPr>
    </w:lvl>
    <w:lvl w:ilvl="1" w:tplc="2F6461FC">
      <w:start w:val="1"/>
      <w:numFmt w:val="decimal"/>
      <w:lvlText w:val="(%2)"/>
      <w:lvlJc w:val="left"/>
      <w:pPr>
        <w:ind w:left="704" w:hanging="420"/>
      </w:pPr>
      <w:rPr>
        <w:rFonts w:cs="Times New Roman" w:hint="default"/>
      </w:rPr>
    </w:lvl>
    <w:lvl w:ilvl="2" w:tplc="041B001B" w:tentative="1">
      <w:start w:val="1"/>
      <w:numFmt w:val="lowerRoman"/>
      <w:lvlText w:val="%3."/>
      <w:lvlJc w:val="right"/>
      <w:pPr>
        <w:tabs>
          <w:tab w:val="left" w:pos="2160"/>
        </w:tabs>
        <w:ind w:left="2160" w:hanging="180"/>
      </w:pPr>
      <w:rPr>
        <w:rFonts w:cs="Times New Roman"/>
      </w:rPr>
    </w:lvl>
    <w:lvl w:ilvl="3" w:tplc="041B000F" w:tentative="1">
      <w:start w:val="1"/>
      <w:numFmt w:val="decimal"/>
      <w:lvlText w:val="%4."/>
      <w:lvlJc w:val="left"/>
      <w:pPr>
        <w:tabs>
          <w:tab w:val="left" w:pos="2880"/>
        </w:tabs>
        <w:ind w:left="2880" w:hanging="360"/>
      </w:pPr>
      <w:rPr>
        <w:rFonts w:cs="Times New Roman"/>
      </w:rPr>
    </w:lvl>
    <w:lvl w:ilvl="4" w:tplc="041B0019" w:tentative="1">
      <w:start w:val="1"/>
      <w:numFmt w:val="lowerLetter"/>
      <w:lvlText w:val="%5."/>
      <w:lvlJc w:val="left"/>
      <w:pPr>
        <w:tabs>
          <w:tab w:val="left" w:pos="3600"/>
        </w:tabs>
        <w:ind w:left="3600" w:hanging="360"/>
      </w:pPr>
      <w:rPr>
        <w:rFonts w:cs="Times New Roman"/>
      </w:rPr>
    </w:lvl>
    <w:lvl w:ilvl="5" w:tplc="041B001B" w:tentative="1">
      <w:start w:val="1"/>
      <w:numFmt w:val="lowerRoman"/>
      <w:lvlText w:val="%6."/>
      <w:lvlJc w:val="right"/>
      <w:pPr>
        <w:tabs>
          <w:tab w:val="left" w:pos="4320"/>
        </w:tabs>
        <w:ind w:left="4320" w:hanging="180"/>
      </w:pPr>
      <w:rPr>
        <w:rFonts w:cs="Times New Roman"/>
      </w:rPr>
    </w:lvl>
    <w:lvl w:ilvl="6" w:tplc="041B000F" w:tentative="1">
      <w:start w:val="1"/>
      <w:numFmt w:val="decimal"/>
      <w:lvlText w:val="%7."/>
      <w:lvlJc w:val="left"/>
      <w:pPr>
        <w:tabs>
          <w:tab w:val="left" w:pos="5040"/>
        </w:tabs>
        <w:ind w:left="5040" w:hanging="360"/>
      </w:pPr>
      <w:rPr>
        <w:rFonts w:cs="Times New Roman"/>
      </w:rPr>
    </w:lvl>
    <w:lvl w:ilvl="7" w:tplc="041B0019" w:tentative="1">
      <w:start w:val="1"/>
      <w:numFmt w:val="lowerLetter"/>
      <w:lvlText w:val="%8."/>
      <w:lvlJc w:val="left"/>
      <w:pPr>
        <w:tabs>
          <w:tab w:val="left" w:pos="5760"/>
        </w:tabs>
        <w:ind w:left="5760" w:hanging="360"/>
      </w:pPr>
      <w:rPr>
        <w:rFonts w:cs="Times New Roman"/>
      </w:rPr>
    </w:lvl>
    <w:lvl w:ilvl="8" w:tplc="041B001B" w:tentative="1">
      <w:start w:val="1"/>
      <w:numFmt w:val="lowerRoman"/>
      <w:lvlText w:val="%9."/>
      <w:lvlJc w:val="right"/>
      <w:pPr>
        <w:tabs>
          <w:tab w:val="left" w:pos="6480"/>
        </w:tabs>
        <w:ind w:left="6480" w:hanging="180"/>
      </w:pPr>
      <w:rPr>
        <w:rFonts w:cs="Times New Roman"/>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0918"/>
    <w:rsid w:val="000118C5"/>
    <w:rsid w:val="00036A60"/>
    <w:rsid w:val="000424DC"/>
    <w:rsid w:val="000541C7"/>
    <w:rsid w:val="000556C5"/>
    <w:rsid w:val="00083235"/>
    <w:rsid w:val="0009521B"/>
    <w:rsid w:val="000D40AB"/>
    <w:rsid w:val="000D4504"/>
    <w:rsid w:val="000F7EC9"/>
    <w:rsid w:val="0011693A"/>
    <w:rsid w:val="00145D5C"/>
    <w:rsid w:val="00175FD8"/>
    <w:rsid w:val="001A1559"/>
    <w:rsid w:val="001A240C"/>
    <w:rsid w:val="001E159F"/>
    <w:rsid w:val="00234982"/>
    <w:rsid w:val="00244EFD"/>
    <w:rsid w:val="00274751"/>
    <w:rsid w:val="002B4BA1"/>
    <w:rsid w:val="002B79C1"/>
    <w:rsid w:val="002C1E53"/>
    <w:rsid w:val="002E33F1"/>
    <w:rsid w:val="00301432"/>
    <w:rsid w:val="003501A1"/>
    <w:rsid w:val="00366ED4"/>
    <w:rsid w:val="00395098"/>
    <w:rsid w:val="003A19C3"/>
    <w:rsid w:val="003E38BF"/>
    <w:rsid w:val="0045465B"/>
    <w:rsid w:val="00477455"/>
    <w:rsid w:val="00491024"/>
    <w:rsid w:val="004A038F"/>
    <w:rsid w:val="004C5676"/>
    <w:rsid w:val="004C5E92"/>
    <w:rsid w:val="004C60B8"/>
    <w:rsid w:val="004C794A"/>
    <w:rsid w:val="004F6F1F"/>
    <w:rsid w:val="004F7D6F"/>
    <w:rsid w:val="005058B2"/>
    <w:rsid w:val="005173C9"/>
    <w:rsid w:val="00526136"/>
    <w:rsid w:val="005417EE"/>
    <w:rsid w:val="00570B48"/>
    <w:rsid w:val="00572112"/>
    <w:rsid w:val="005B7A8D"/>
    <w:rsid w:val="005C4E0D"/>
    <w:rsid w:val="005D54F7"/>
    <w:rsid w:val="00604CF4"/>
    <w:rsid w:val="006073B5"/>
    <w:rsid w:val="00670A7B"/>
    <w:rsid w:val="006843F8"/>
    <w:rsid w:val="006A404F"/>
    <w:rsid w:val="006B7087"/>
    <w:rsid w:val="006C3B7D"/>
    <w:rsid w:val="006F1FBB"/>
    <w:rsid w:val="00780489"/>
    <w:rsid w:val="007B0F64"/>
    <w:rsid w:val="007C4AE5"/>
    <w:rsid w:val="007E2193"/>
    <w:rsid w:val="00872B4D"/>
    <w:rsid w:val="008739F8"/>
    <w:rsid w:val="00887A79"/>
    <w:rsid w:val="008B4A09"/>
    <w:rsid w:val="008E1B67"/>
    <w:rsid w:val="008F678E"/>
    <w:rsid w:val="009042D3"/>
    <w:rsid w:val="009201EC"/>
    <w:rsid w:val="00944AC4"/>
    <w:rsid w:val="009A0066"/>
    <w:rsid w:val="009B1F41"/>
    <w:rsid w:val="009D0205"/>
    <w:rsid w:val="009E0A07"/>
    <w:rsid w:val="00A4557C"/>
    <w:rsid w:val="00AC2477"/>
    <w:rsid w:val="00B65A86"/>
    <w:rsid w:val="00B80BBC"/>
    <w:rsid w:val="00B82EA1"/>
    <w:rsid w:val="00B9160D"/>
    <w:rsid w:val="00B91FE3"/>
    <w:rsid w:val="00BC33D4"/>
    <w:rsid w:val="00BF14F6"/>
    <w:rsid w:val="00C2327D"/>
    <w:rsid w:val="00C30FAA"/>
    <w:rsid w:val="00C3492E"/>
    <w:rsid w:val="00CB3623"/>
    <w:rsid w:val="00CC4CEA"/>
    <w:rsid w:val="00D13B6F"/>
    <w:rsid w:val="00D22CAF"/>
    <w:rsid w:val="00D73947"/>
    <w:rsid w:val="00D75D35"/>
    <w:rsid w:val="00DA740D"/>
    <w:rsid w:val="00DE2A12"/>
    <w:rsid w:val="00DF1F85"/>
    <w:rsid w:val="00DF4C74"/>
    <w:rsid w:val="00E12165"/>
    <w:rsid w:val="00E26F6D"/>
    <w:rsid w:val="00E461E5"/>
    <w:rsid w:val="00E674E2"/>
    <w:rsid w:val="00EB09BA"/>
    <w:rsid w:val="00EB59E3"/>
    <w:rsid w:val="00ED1C75"/>
    <w:rsid w:val="00EF146F"/>
    <w:rsid w:val="00EF466C"/>
    <w:rsid w:val="00EF725F"/>
    <w:rsid w:val="00F22831"/>
    <w:rsid w:val="00F6042E"/>
    <w:rsid w:val="00F6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3A1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3A1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onika.kaluzska@normoff.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4657-B756-46CD-8EA0-14E48C49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2489</Words>
  <Characters>14190</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Pankievičová Anežka</cp:lastModifiedBy>
  <cp:revision>8</cp:revision>
  <dcterms:created xsi:type="dcterms:W3CDTF">2017-07-31T11:49:00Z</dcterms:created>
  <dcterms:modified xsi:type="dcterms:W3CDTF">2017-11-01T13:43:00Z</dcterms:modified>
</cp:coreProperties>
</file>