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031ED3" w:rsidP="007B71A4">
            <w:r>
              <w:rPr>
                <w:color w:val="000000"/>
              </w:rPr>
              <w:t xml:space="preserve">Návrh </w:t>
            </w:r>
            <w:r w:rsidRPr="002B4343">
              <w:rPr>
                <w:color w:val="000000"/>
              </w:rPr>
              <w:t>zákona</w:t>
            </w:r>
            <w:r>
              <w:rPr>
                <w:color w:val="000000"/>
              </w:rPr>
              <w:t>,</w:t>
            </w:r>
            <w:r w:rsidRPr="002B4343">
              <w:rPr>
                <w:color w:val="000000"/>
              </w:rPr>
              <w:t xml:space="preserve"> ktorým sa mení a dopĺňa zákon č. 207/2009 </w:t>
            </w:r>
            <w:r>
              <w:rPr>
                <w:color w:val="000000"/>
              </w:rPr>
              <w:t xml:space="preserve">Z. z. </w:t>
            </w:r>
            <w:r w:rsidRPr="002B4343">
              <w:rPr>
                <w:color w:val="000000"/>
              </w:rPr>
              <w:t>o podmienkach vývozu a dovozu predmetu kultúrnej hodnoty a o doplnení zákona č. 652/2004 Z. z. o orgánoch štátnej správy v colníctve a o zmene a doplnení niektorých zákonov v znení neskorších predpisov v znení zákona č. 38/2014 Z. z. a ktorým sa menia a dopĺňajú niektoré zákony</w:t>
            </w:r>
            <w:r>
              <w:rPr>
                <w:noProof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B14B2C" w:rsidP="007B71A4">
            <w:r>
              <w:t>Ministerstvo kultúry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B14B2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173E6D" w:rsidP="007B71A4">
            <w:pPr>
              <w:rPr>
                <w:i/>
              </w:rPr>
            </w:pPr>
            <w:r>
              <w:rPr>
                <w:i/>
              </w:rPr>
              <w:t>16. 11. 2017 – 21. 11. 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F01FCC" w:rsidP="00F01FCC">
            <w:pPr>
              <w:rPr>
                <w:i/>
              </w:rPr>
            </w:pPr>
            <w:r>
              <w:rPr>
                <w:i/>
              </w:rPr>
              <w:t>November</w:t>
            </w:r>
            <w:r w:rsidR="00B87461">
              <w:rPr>
                <w:i/>
              </w:rPr>
              <w:t xml:space="preserve"> 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B87461" w:rsidP="007B71A4">
            <w:pPr>
              <w:rPr>
                <w:i/>
              </w:rPr>
            </w:pPr>
            <w:r>
              <w:rPr>
                <w:i/>
              </w:rPr>
              <w:t>December 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B73338" w:rsidRDefault="00B73338" w:rsidP="007B71A4"/>
          <w:p w:rsidR="008A3FB7" w:rsidRDefault="008A3FB7" w:rsidP="008A3FB7">
            <w:pPr>
              <w:jc w:val="both"/>
            </w:pPr>
            <w:r>
              <w:t xml:space="preserve">Návrh zákona rozširuje okruh predmetov kultúrnej hodnoty, na ktoré sa podmienky vývozu z územia Slovenskej republiky nevzťahujú, a to o predmety dovezené na územie Slovenskej republiky, ktoré boli prepustené do colného režimu dočasné použitie v zmysle Spoločného colného sadzobníka Európskej únie. </w:t>
            </w:r>
          </w:p>
          <w:p w:rsidR="008A3FB7" w:rsidRDefault="008A3FB7" w:rsidP="008A3FB7">
            <w:pPr>
              <w:jc w:val="both"/>
            </w:pPr>
          </w:p>
          <w:p w:rsidR="008A3FB7" w:rsidRDefault="008A3FB7" w:rsidP="008A3FB7">
            <w:pPr>
              <w:jc w:val="both"/>
            </w:pPr>
            <w:r>
              <w:t xml:space="preserve">Obsahovo sa spresňuje zoznam kategórií predmetov kultúrnej hodnoty, ktorých vývoz z územia Slovenskej republiky podlieha podmienkam podľa tohto zákona (vrátane zavedenia ďalších identifikačných znakov – finančný prah a </w:t>
            </w:r>
            <w:proofErr w:type="spellStart"/>
            <w:r>
              <w:t>slovacikálnosť</w:t>
            </w:r>
            <w:proofErr w:type="spellEnd"/>
            <w:r>
              <w:t xml:space="preserve"> predmetu). Zavádza sa nové tlačivo povolenia na vývoz predmetu kultúrnej hodnoty z územia Slovenskej republiky, ktoré sa obsahovo zosúlaďuje s navrhovaným</w:t>
            </w:r>
            <w:r w:rsidR="002F6AAB">
              <w:t>i</w:t>
            </w:r>
            <w:r>
              <w:t xml:space="preserve"> zmenami zákona a v súlade s medzinárodnými štandardmi pre tlačivo povolenia na vývoz predmetu kultúrnej hodnoty z územia krajiny vývozu. V súvislosti s navrhovanými zmenami zákona sa vypúšťa ustanovenie upravujúce dočasný vývoz predmetu kultúrnej hodnoty a ním súvisiace tlačivá.</w:t>
            </w:r>
          </w:p>
          <w:p w:rsidR="008A3FB7" w:rsidRDefault="008A3FB7" w:rsidP="008A3FB7">
            <w:pPr>
              <w:jc w:val="both"/>
            </w:pPr>
          </w:p>
          <w:p w:rsidR="008A3FB7" w:rsidRDefault="008A3FB7" w:rsidP="008A3FB7">
            <w:pPr>
              <w:jc w:val="both"/>
            </w:pPr>
            <w:r>
              <w:t>Zároveň sa upravuje postup správneho orgánu pri posudz</w:t>
            </w:r>
            <w:r w:rsidR="0007298B">
              <w:t>ovaní žiadosti o povolenie na vývoz predmetu</w:t>
            </w:r>
            <w:r>
              <w:t xml:space="preserve"> kultúrnej hodnoty z územia Slovenskej republiky do zahraničia, ako aj spôsob posudzovania žiadosti o povolenie na vývoz predmetu kultúrnej hodnoty z územia Slovenskej republik</w:t>
            </w:r>
            <w:r w:rsidR="0007298B">
              <w:t>y a spôsob predkladania žiadosti</w:t>
            </w:r>
            <w:r>
              <w:t xml:space="preserve"> vlastníkom predmetu kultúrnej hodnoty.</w:t>
            </w:r>
          </w:p>
          <w:p w:rsidR="008A3FB7" w:rsidRDefault="008A3FB7" w:rsidP="008A3FB7">
            <w:pPr>
              <w:jc w:val="both"/>
            </w:pPr>
            <w:r>
              <w:t xml:space="preserve">Návrh zákona spresňuje formu, ktorou je predajca predmetu kultúrnej hodnoty povinný informovať nadobúdateľa predmetu kultúrnej hodnoty o povinnostiach vyplývajúcich z právnych predpisov, ktoré sa vzťahujú na vývoz predmetu kultúrnej hodnoty z územia Slovenskej republiky a v nadväznosti na uvedené sa rozširuje aj rozsah oblastí, ktoré sú predmetom kontroly vykonávanej ministerstvom kultúry.  V súlade s navrhovanými zmenami sa upravuje aj doterajšie znenie skutkových podstát priestupkov. </w:t>
            </w:r>
          </w:p>
          <w:p w:rsidR="008A3FB7" w:rsidRDefault="008A3FB7" w:rsidP="008A3FB7">
            <w:pPr>
              <w:jc w:val="both"/>
            </w:pPr>
          </w:p>
          <w:p w:rsidR="0007298B" w:rsidRDefault="0007298B" w:rsidP="0007298B">
            <w:pPr>
              <w:jc w:val="both"/>
            </w:pPr>
            <w:r>
              <w:t xml:space="preserve">V súvislosti s právnou úpravou návrhu zákona sa vykonali nadväzujúce zmeny a upravili sa aj niektoré ustanovenia ďalších zákonov, a to: </w:t>
            </w:r>
          </w:p>
          <w:p w:rsidR="0007298B" w:rsidRDefault="0007298B" w:rsidP="0007298B">
            <w:pPr>
              <w:jc w:val="both"/>
            </w:pPr>
            <w:r>
              <w:t xml:space="preserve">1. zákona č. 49/2002 Z. z. o ochrane pamiatkového fondu v znení neskorších predpisov doplnením kompetencie Pamiatkového úradu Slovenskej republiky o novú kompetenciu - vydávanie odborných stanovísk o pamiatkovej hodnote predmetu kultúrnej hodnoty na účely vývozu predmetu kultúrnej hodnoty z územia Slovenskej republiky a zavedením možnosti pamiatkového úradu zriadiť si právnickú osobu na spracovanie odborných úloh a výkon odborných prác súvisiacich s ochranou a obnovou pamiatkového fondu, napríklad na zabezpečenie budovania študijných, vývojových, reštaurátorských a analyticko-technologických pracovísk a </w:t>
            </w:r>
            <w:r>
              <w:lastRenderedPageBreak/>
              <w:t>laboratórií a reštaurátorských prác a vykonávania v</w:t>
            </w:r>
            <w:r w:rsidR="007130F1">
              <w:t>ýchovnej a propagačnej činnosti,</w:t>
            </w:r>
          </w:p>
          <w:p w:rsidR="0007298B" w:rsidRDefault="0007298B" w:rsidP="0007298B">
            <w:pPr>
              <w:jc w:val="both"/>
            </w:pPr>
            <w:r>
              <w:t>2. zákona č. 206/2009 Z. z. o múzeách a o galériách a o ochrane predmetov kultúrnej hodnoty a o zmene zákona Slovenskej národnej rady č. 372/1990 Zb. o priestupkoch    v znení neskorších prepisov doplnením osobitnej úpravy dočasného vývozu zbierkových predmetov na prezentačný účel v zastupiteľských úradoch Slovenskej republiky v zahraničí a rozšírením povinností vlastníka predmetu kultúrnej hodnoty,</w:t>
            </w:r>
          </w:p>
          <w:p w:rsidR="00E42BDD" w:rsidRPr="00E42BDD" w:rsidRDefault="0007298B" w:rsidP="0007298B">
            <w:pPr>
              <w:jc w:val="both"/>
            </w:pPr>
            <w:r>
              <w:t>3. zákona č. 126/2015 Z. z. o knižniciach a o zmene a doplnení zákona č. 206/2009 Z. z.    o múzeách a o galériách a o ochrane predmetov kultúrnej hodnoty a o zmene zákona Slovenskej národnej rady č. 372/1990 Zb. o priestupkoch v znení neskorších predpisov v znení zákona č. 38/2014 Z. z. úpravou podmienok dočasného vývozu historického knižničného dokumentu a historického knižničného fondu z územia Slovenskej republiky.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B30954" w:rsidP="00B30954">
            <w:pPr>
              <w:ind w:firstLine="709"/>
              <w:jc w:val="both"/>
            </w:pPr>
            <w:r w:rsidRPr="00A1218A">
              <w:t xml:space="preserve">Cieľom predloženého návrhu zákona </w:t>
            </w:r>
            <w:r w:rsidRPr="009E44D4">
              <w:t xml:space="preserve">je prispôsobiť </w:t>
            </w:r>
            <w:r>
              <w:t xml:space="preserve">platnú </w:t>
            </w:r>
            <w:r w:rsidRPr="009E44D4">
              <w:t xml:space="preserve">právnu úpravu </w:t>
            </w:r>
            <w:r>
              <w:t>aktuálnym</w:t>
            </w:r>
            <w:r w:rsidRPr="009E44D4">
              <w:t xml:space="preserve"> požiadavkám praxe</w:t>
            </w:r>
            <w:r>
              <w:t xml:space="preserve"> a medzinárodným štandardom a zabezpečiť </w:t>
            </w:r>
            <w:r>
              <w:rPr>
                <w:noProof/>
              </w:rPr>
              <w:t xml:space="preserve">efektívnejší a pružnejší </w:t>
            </w:r>
            <w:r w:rsidRPr="00FB4876">
              <w:rPr>
                <w:noProof/>
              </w:rPr>
              <w:t>postup správneho orgánu pri posudzovaní žiadostí o povolenie na vývoz predmetov kultúrnej hodnoty z územia Slovenskej republiky do zahraničia</w:t>
            </w:r>
            <w:r>
              <w:t>.</w:t>
            </w:r>
            <w:r w:rsidRPr="009E44D4">
              <w:t xml:space="preserve"> </w:t>
            </w:r>
            <w:r>
              <w:t xml:space="preserve">Cieľom je tiež </w:t>
            </w:r>
            <w:r w:rsidRPr="009E44D4">
              <w:t>spresniť kategorizáciu predmetov kultúrnej hodnoty a tým odbremeniť vlastníkov predmetov kultúrnej hodnoty od zbytočnej administratívnej a finančnej záťaže</w:t>
            </w:r>
            <w:r>
              <w:t xml:space="preserve"> vrátane zavedenia možnosti vlastníka podať žiadosť nielen na každý predmet kultúrnej hodnoty jednotlivo, ale pri vybraných kategóriách z hľadiska povahy premetu kultúrnej hodnoty, aj na súbor týchto predmetov kultúrnej hodnoty.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281000" w:rsidRDefault="00281000" w:rsidP="007B71A4">
            <w:r w:rsidRPr="00281000">
              <w:t>Priamo sa návrh zákona dotýka</w:t>
            </w:r>
            <w:r>
              <w:t xml:space="preserve"> týchto subjektov:</w:t>
            </w:r>
          </w:p>
          <w:p w:rsidR="00281000" w:rsidRDefault="00281000" w:rsidP="007B71A4">
            <w:r>
              <w:t>-</w:t>
            </w:r>
            <w:r w:rsidRPr="00281000">
              <w:t xml:space="preserve"> </w:t>
            </w:r>
            <w:r w:rsidR="00E277EA">
              <w:t>vlastníci predmetov kultúrnej hodnoty,</w:t>
            </w:r>
          </w:p>
          <w:p w:rsidR="00281000" w:rsidRDefault="00E277EA" w:rsidP="007B71A4">
            <w:r>
              <w:t>- predajcovia predmetov kultúrnej hodnoty,</w:t>
            </w:r>
          </w:p>
          <w:p w:rsidR="00281000" w:rsidRDefault="00E277EA" w:rsidP="007B71A4">
            <w:r>
              <w:t>- Ministerstvo kultúry Slovenskej republiky</w:t>
            </w:r>
            <w:r w:rsidR="00281000">
              <w:t>,</w:t>
            </w:r>
          </w:p>
          <w:p w:rsidR="00146E37" w:rsidRDefault="00146E37" w:rsidP="007B71A4">
            <w:r>
              <w:t xml:space="preserve">- </w:t>
            </w:r>
            <w:r w:rsidR="00582DAF">
              <w:t xml:space="preserve">miestne príslušné </w:t>
            </w:r>
            <w:r>
              <w:t>colné úrady</w:t>
            </w:r>
            <w:r w:rsidR="00582DAF">
              <w:t>,</w:t>
            </w:r>
          </w:p>
          <w:p w:rsidR="00281000" w:rsidRDefault="00E277EA" w:rsidP="007B71A4">
            <w:r>
              <w:t>- Pamiatkový úrad Slovenskej republiky</w:t>
            </w:r>
            <w:r w:rsidR="00910D8B">
              <w:t>,</w:t>
            </w:r>
          </w:p>
          <w:p w:rsidR="00281000" w:rsidRDefault="00281000" w:rsidP="007B71A4">
            <w:r>
              <w:t>- Slovenská národná knižnica,</w:t>
            </w:r>
          </w:p>
          <w:p w:rsidR="00281000" w:rsidRDefault="00E277EA" w:rsidP="007B71A4">
            <w:r>
              <w:t>- Slovenské národné múzeum</w:t>
            </w:r>
            <w:r w:rsidR="00281000">
              <w:t>,</w:t>
            </w:r>
          </w:p>
          <w:p w:rsidR="001F2964" w:rsidRDefault="001F2964" w:rsidP="007B71A4">
            <w:r>
              <w:t xml:space="preserve">- </w:t>
            </w:r>
            <w:r w:rsidR="00E277EA">
              <w:t>Slovenská národná galéria</w:t>
            </w:r>
            <w:r>
              <w:t xml:space="preserve">, </w:t>
            </w:r>
          </w:p>
          <w:p w:rsidR="001F2964" w:rsidRDefault="00E277EA" w:rsidP="007B71A4">
            <w:r>
              <w:t>- Slovenské technické múzeum</w:t>
            </w:r>
            <w:r w:rsidR="001F2964">
              <w:t>,</w:t>
            </w:r>
          </w:p>
          <w:p w:rsidR="001F2964" w:rsidRDefault="00E277EA" w:rsidP="007B71A4">
            <w:r>
              <w:t>- Múzeum slovenského národného povstania</w:t>
            </w:r>
            <w:r w:rsidR="001F2964">
              <w:t>,</w:t>
            </w:r>
          </w:p>
          <w:p w:rsidR="003501A1" w:rsidRPr="005865DD" w:rsidRDefault="00E277EA" w:rsidP="005865DD">
            <w:r>
              <w:t>- vlastníci historických knižničných dokumentov a historických knižničných fondov</w:t>
            </w:r>
            <w:r w:rsidR="00A15495" w:rsidRPr="004C2201"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2A3A52" w:rsidRDefault="002A3A52" w:rsidP="007B71A4">
            <w:pPr>
              <w:rPr>
                <w:i/>
              </w:rPr>
            </w:pPr>
          </w:p>
          <w:p w:rsidR="002A3A52" w:rsidRPr="00581152" w:rsidRDefault="002A3A52" w:rsidP="00882CA5">
            <w:pPr>
              <w:jc w:val="both"/>
            </w:pPr>
            <w:r>
              <w:t>Boli posudz</w:t>
            </w:r>
            <w:r w:rsidR="00581152">
              <w:t xml:space="preserve">ované rôzne alternatívy ustanovenia postupu správneho orgánu v konaní vo veci povolenia vývozu predmetov kultúrnej hodnoty  z územia Slovenskej republiky. Do úvahy bola </w:t>
            </w:r>
            <w:r w:rsidR="00882CA5">
              <w:t xml:space="preserve">braná </w:t>
            </w:r>
            <w:r w:rsidR="00581152">
              <w:t>aj možnosť</w:t>
            </w:r>
            <w:r>
              <w:t xml:space="preserve"> </w:t>
            </w:r>
            <w:r w:rsidR="00581152">
              <w:t>zachovať podľa doterajšej platnej úpravy poradný orgán ministerstva, Komisiu na ochranu súčastí kultúrneho dedičstva, na ktoré sa vzťahuje osobitný právny režim vo vzťahu k zahraničiu, ktorá sa návrhom zákon</w:t>
            </w:r>
            <w:r w:rsidR="00C56DB9">
              <w:t>a</w:t>
            </w:r>
            <w:r w:rsidR="00581152">
              <w:t xml:space="preserve"> vypúšťa</w:t>
            </w:r>
            <w:r w:rsidR="00930827">
              <w:t>. Navrhovanú úpravu</w:t>
            </w:r>
            <w:r>
              <w:t xml:space="preserve"> </w:t>
            </w:r>
            <w:r w:rsidR="00930827">
              <w:t>postupu správneho orgánu vo veci povolenia vývozu predmetov kultúrnej hodnoty z územia Slovenskej republiky však</w:t>
            </w:r>
            <w:r>
              <w:t xml:space="preserve"> </w:t>
            </w:r>
            <w:r w:rsidR="00930827">
              <w:t>predkladateľ považuje</w:t>
            </w:r>
            <w:r>
              <w:t xml:space="preserve"> za optimálne riešenie</w:t>
            </w:r>
            <w:r w:rsidR="00930827">
              <w:t>. V</w:t>
            </w:r>
            <w:r w:rsidR="00581152">
              <w:t>zhľadom na dôvody</w:t>
            </w:r>
            <w:r w:rsidR="00582DAF">
              <w:t>,</w:t>
            </w:r>
            <w:r w:rsidR="00581152">
              <w:t xml:space="preserve"> pre ktoré môže ministerstvo kultúry zamietnuť žiadosť o povolenie sa navrhuje, že ministerstvo kultúry vydá povolenie na vývoz po prihliadnutí na odborné stanovisko príslušných vrcholných národných fondových inštitúcií a Pamiatkového úradu SR.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C76E50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76E50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A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2A3A52" w:rsidRDefault="002A3A52" w:rsidP="007B71A4">
            <w:pPr>
              <w:rPr>
                <w:i/>
              </w:rPr>
            </w:pPr>
          </w:p>
          <w:p w:rsidR="002A3A52" w:rsidRPr="00A179AE" w:rsidRDefault="002A3A52" w:rsidP="007B71A4">
            <w:pPr>
              <w:rPr>
                <w:i/>
              </w:rPr>
            </w:pPr>
            <w:r w:rsidRPr="009931F5">
              <w:t>Materiál sa netýka transpozície práva EÚ.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D702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D702B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175B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23C5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8540E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540E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540E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8540E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175B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F6DB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5535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5535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A7C3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A7C3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5369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255354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CA7C3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75454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EF0425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EF0425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25535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255354" w:rsidRDefault="00255354">
            <w:pPr>
              <w:rPr>
                <w:i/>
              </w:rPr>
            </w:pPr>
          </w:p>
          <w:p w:rsidR="00255354" w:rsidRPr="00D13B6F" w:rsidRDefault="00255354" w:rsidP="00CA7C30">
            <w:pPr>
              <w:rPr>
                <w:i/>
              </w:rPr>
            </w:pPr>
            <w:r>
              <w:t xml:space="preserve">JUDr. </w:t>
            </w:r>
            <w:r w:rsidR="00CA7C30">
              <w:t xml:space="preserve">Natália </w:t>
            </w:r>
            <w:proofErr w:type="spellStart"/>
            <w:r w:rsidR="00CA7C30">
              <w:t>Durcová</w:t>
            </w:r>
            <w:proofErr w:type="spellEnd"/>
            <w:r>
              <w:t xml:space="preserve">, odbor </w:t>
            </w:r>
            <w:r w:rsidR="00CA7C30">
              <w:t>múzeí, galérií a knižníc sekcie kultúrneho dedičstva</w:t>
            </w:r>
            <w:r>
              <w:t xml:space="preserve"> MK SR, </w:t>
            </w:r>
            <w:r w:rsidR="00CA7C30">
              <w:t>natalia.durcova</w:t>
            </w:r>
            <w:r>
              <w:t>@culture.gov.sk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Default="003501A1" w:rsidP="007B71A4"/>
          <w:p w:rsidR="003501A1" w:rsidRPr="00517327" w:rsidRDefault="003501A1" w:rsidP="00CA7C30"/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671218" w:rsidRDefault="00671218" w:rsidP="00671218">
            <w:pPr>
              <w:pStyle w:val="Nadpis4"/>
              <w:outlineLvl w:val="3"/>
              <w:rPr>
                <w:rFonts w:ascii="Arial" w:hAnsi="Arial"/>
                <w:sz w:val="22"/>
              </w:rPr>
            </w:pPr>
          </w:p>
          <w:p w:rsidR="003E0DCB" w:rsidRDefault="003E0DCB" w:rsidP="003E0DCB">
            <w:pPr>
              <w:pStyle w:val="Zkladntext"/>
              <w:rPr>
                <w:lang w:eastAsia="ar-SA"/>
              </w:rPr>
            </w:pPr>
          </w:p>
          <w:p w:rsidR="003E0DCB" w:rsidRDefault="003E0DCB" w:rsidP="003E0DCB">
            <w:pPr>
              <w:pStyle w:val="Zkladntext"/>
              <w:rPr>
                <w:lang w:eastAsia="ar-SA"/>
              </w:rPr>
            </w:pPr>
          </w:p>
          <w:p w:rsidR="003E0DCB" w:rsidRDefault="003E0DCB" w:rsidP="003E0DCB">
            <w:pPr>
              <w:pStyle w:val="Zkladntext"/>
              <w:rPr>
                <w:lang w:eastAsia="ar-SA"/>
              </w:rPr>
            </w:pPr>
          </w:p>
          <w:p w:rsidR="003E0DCB" w:rsidRDefault="003E0DCB" w:rsidP="003E0DCB">
            <w:pPr>
              <w:pStyle w:val="Zkladntext"/>
              <w:rPr>
                <w:lang w:eastAsia="ar-SA"/>
              </w:rPr>
            </w:pPr>
          </w:p>
          <w:p w:rsidR="003E0DCB" w:rsidRDefault="003E0DCB" w:rsidP="003E0DCB">
            <w:pPr>
              <w:pStyle w:val="Zkladntext"/>
              <w:rPr>
                <w:lang w:eastAsia="ar-SA"/>
              </w:rPr>
            </w:pPr>
          </w:p>
          <w:p w:rsidR="003E0DCB" w:rsidRDefault="003E0DCB" w:rsidP="003E0DCB">
            <w:pPr>
              <w:pStyle w:val="Zkladntext"/>
              <w:rPr>
                <w:lang w:eastAsia="ar-SA"/>
              </w:rPr>
            </w:pPr>
          </w:p>
          <w:p w:rsidR="003E0DCB" w:rsidRDefault="003E0DCB" w:rsidP="003E0DCB">
            <w:pPr>
              <w:pStyle w:val="Zkladntext"/>
              <w:rPr>
                <w:lang w:eastAsia="ar-SA"/>
              </w:rPr>
            </w:pPr>
          </w:p>
          <w:p w:rsidR="003E0DCB" w:rsidRDefault="003E0DCB" w:rsidP="003E0DCB">
            <w:pPr>
              <w:pStyle w:val="Zkladntext"/>
              <w:rPr>
                <w:lang w:eastAsia="ar-SA"/>
              </w:rPr>
            </w:pPr>
          </w:p>
          <w:p w:rsidR="003E0DCB" w:rsidRDefault="003E0DCB" w:rsidP="003E0DCB">
            <w:pPr>
              <w:pStyle w:val="Zkladntext"/>
              <w:rPr>
                <w:lang w:eastAsia="ar-SA"/>
              </w:rPr>
            </w:pPr>
          </w:p>
          <w:p w:rsidR="003E0DCB" w:rsidRDefault="003E0DCB" w:rsidP="003E0DCB">
            <w:pPr>
              <w:pStyle w:val="Zkladntext"/>
              <w:rPr>
                <w:lang w:eastAsia="ar-SA"/>
              </w:rPr>
            </w:pPr>
          </w:p>
          <w:p w:rsidR="003E0DCB" w:rsidRDefault="003E0DCB" w:rsidP="003E0DCB">
            <w:pPr>
              <w:pStyle w:val="Zkladntext"/>
              <w:rPr>
                <w:lang w:eastAsia="ar-SA"/>
              </w:rPr>
            </w:pPr>
          </w:p>
          <w:p w:rsidR="003E0DCB" w:rsidRDefault="003E0DCB" w:rsidP="003E0DCB">
            <w:pPr>
              <w:pStyle w:val="Zkladntext"/>
              <w:rPr>
                <w:lang w:eastAsia="ar-SA"/>
              </w:rPr>
            </w:pPr>
          </w:p>
          <w:p w:rsidR="003E0DCB" w:rsidRPr="003E0DCB" w:rsidRDefault="003E0DCB" w:rsidP="003E0DCB">
            <w:pPr>
              <w:pStyle w:val="Zkladntext"/>
              <w:rPr>
                <w:lang w:eastAsia="ar-SA"/>
              </w:rPr>
            </w:pPr>
          </w:p>
          <w:p w:rsidR="00671218" w:rsidRPr="008139E3" w:rsidRDefault="00671218" w:rsidP="00671218">
            <w:pPr>
              <w:pStyle w:val="Nadpis4"/>
              <w:outlineLvl w:val="3"/>
              <w:rPr>
                <w:rFonts w:ascii="Arial" w:hAnsi="Arial"/>
                <w:sz w:val="22"/>
              </w:rPr>
            </w:pPr>
            <w:bookmarkStart w:id="0" w:name="_GoBack"/>
            <w:r w:rsidRPr="008139E3">
              <w:rPr>
                <w:rFonts w:ascii="Arial" w:hAnsi="Arial"/>
                <w:spacing w:val="20"/>
                <w:sz w:val="32"/>
              </w:rPr>
              <w:t>stanovisko komisie</w:t>
            </w:r>
            <w:r w:rsidRPr="008139E3">
              <w:rPr>
                <w:rFonts w:ascii="Arial" w:hAnsi="Arial"/>
                <w:sz w:val="22"/>
              </w:rPr>
              <w:t xml:space="preserve"> </w:t>
            </w:r>
          </w:p>
          <w:p w:rsidR="00671218" w:rsidRPr="008139E3" w:rsidRDefault="00671218" w:rsidP="0067121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671218" w:rsidRPr="008139E3" w:rsidRDefault="00671218" w:rsidP="0067121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8139E3">
              <w:rPr>
                <w:rFonts w:ascii="Arial" w:hAnsi="Arial"/>
                <w:b/>
                <w:smallCaps/>
                <w:sz w:val="22"/>
              </w:rPr>
              <w:t>(predbežné pripomienkové konanie)</w:t>
            </w:r>
          </w:p>
          <w:p w:rsidR="00671218" w:rsidRPr="008139E3" w:rsidRDefault="00671218" w:rsidP="0067121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671218" w:rsidRPr="008139E3" w:rsidRDefault="00671218" w:rsidP="0067121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8139E3">
              <w:rPr>
                <w:rFonts w:ascii="Arial" w:hAnsi="Arial"/>
                <w:b/>
                <w:smallCaps/>
                <w:sz w:val="22"/>
              </w:rPr>
              <w:t>k návrhu</w:t>
            </w:r>
          </w:p>
          <w:p w:rsidR="00671218" w:rsidRPr="008139E3" w:rsidRDefault="00671218" w:rsidP="00671218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671218" w:rsidRPr="008139E3" w:rsidRDefault="00671218" w:rsidP="00671218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213A0">
              <w:rPr>
                <w:rFonts w:ascii="Arial" w:hAnsi="Arial" w:cs="Arial"/>
                <w:b/>
                <w:smallCaps/>
                <w:sz w:val="22"/>
                <w:szCs w:val="22"/>
              </w:rPr>
              <w:t>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zákona č. 38/2014 Z. z. a ktorým sa menia a dopĺňajú niektoré zákony</w:t>
            </w:r>
          </w:p>
          <w:p w:rsidR="00671218" w:rsidRPr="008139E3" w:rsidRDefault="00671218" w:rsidP="00671218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rPr>
                <w:sz w:val="24"/>
                <w:szCs w:val="24"/>
              </w:rPr>
            </w:pPr>
          </w:p>
          <w:p w:rsidR="00671218" w:rsidRPr="008139E3" w:rsidRDefault="00671218" w:rsidP="00671218">
            <w:pPr>
              <w:pStyle w:val="Style17"/>
              <w:widowControl/>
              <w:tabs>
                <w:tab w:val="left" w:pos="1003"/>
              </w:tabs>
              <w:spacing w:line="240" w:lineRule="auto"/>
              <w:ind w:firstLine="0"/>
            </w:pPr>
            <w:r w:rsidRPr="008139E3">
              <w:rPr>
                <w:rFonts w:ascii="Arial" w:hAnsi="Arial" w:cs="Arial"/>
                <w:b/>
                <w:bCs/>
                <w:szCs w:val="22"/>
              </w:rPr>
              <w:t xml:space="preserve">I. Úvod: </w:t>
            </w:r>
            <w:r w:rsidRPr="008139E3">
              <w:rPr>
                <w:rFonts w:ascii="Arial" w:hAnsi="Arial" w:cs="Arial"/>
                <w:bCs/>
                <w:szCs w:val="22"/>
              </w:rPr>
              <w:t xml:space="preserve">Ministerstvo </w:t>
            </w:r>
            <w:r>
              <w:rPr>
                <w:rFonts w:ascii="Arial" w:hAnsi="Arial" w:cs="Arial"/>
                <w:bCs/>
                <w:szCs w:val="22"/>
              </w:rPr>
              <w:t>kultúry</w:t>
            </w:r>
            <w:r w:rsidRPr="008139E3">
              <w:rPr>
                <w:rFonts w:ascii="Arial" w:hAnsi="Arial" w:cs="Arial"/>
                <w:bCs/>
                <w:szCs w:val="22"/>
              </w:rPr>
              <w:t xml:space="preserve"> Slovenskej republiky dňa </w:t>
            </w:r>
            <w:r>
              <w:rPr>
                <w:rFonts w:ascii="Arial" w:hAnsi="Arial" w:cs="Arial"/>
                <w:bCs/>
                <w:szCs w:val="22"/>
              </w:rPr>
              <w:t>16</w:t>
            </w:r>
            <w:r w:rsidRPr="008139E3">
              <w:rPr>
                <w:rFonts w:ascii="Arial" w:hAnsi="Arial" w:cs="Arial"/>
                <w:bCs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szCs w:val="22"/>
              </w:rPr>
              <w:t>novembra</w:t>
            </w:r>
            <w:r w:rsidRPr="008139E3">
              <w:rPr>
                <w:rFonts w:ascii="Arial" w:hAnsi="Arial" w:cs="Arial"/>
                <w:bCs/>
                <w:szCs w:val="22"/>
              </w:rPr>
              <w:t xml:space="preserve"> 2017 predložilo Stálej pracovnej komisii na posudzovanie vybraných vplyvov (ďalej len „Komisia“) na predbežné pripomienkové konanie materiál:</w:t>
            </w:r>
            <w:r w:rsidRPr="008139E3">
              <w:rPr>
                <w:rFonts w:ascii="Arial" w:hAnsi="Arial" w:cs="Arial"/>
                <w:i/>
                <w:iCs/>
                <w:szCs w:val="22"/>
              </w:rPr>
              <w:t xml:space="preserve"> „</w:t>
            </w:r>
            <w:r w:rsidRPr="007213A0">
              <w:rPr>
                <w:rFonts w:ascii="Arial" w:hAnsi="Arial" w:cs="Arial"/>
                <w:i/>
                <w:iCs/>
                <w:szCs w:val="22"/>
                <w:lang w:eastAsia="ar-SA"/>
              </w:rPr>
              <w:t>Návrh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zákona č. 38/2014 Z. z. a ktorým sa menia a dopĺňajú niektoré zákony</w:t>
            </w:r>
            <w:r w:rsidRPr="008139E3">
              <w:rPr>
                <w:rFonts w:ascii="Arial" w:hAnsi="Arial" w:cs="Arial"/>
                <w:i/>
                <w:iCs/>
                <w:szCs w:val="22"/>
              </w:rPr>
              <w:t>“</w:t>
            </w:r>
            <w:r>
              <w:rPr>
                <w:rFonts w:ascii="Arial" w:hAnsi="Arial" w:cs="Arial"/>
                <w:i/>
                <w:iCs/>
                <w:szCs w:val="22"/>
              </w:rPr>
              <w:t>.</w:t>
            </w:r>
            <w:r w:rsidRPr="008139E3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 w:rsidRPr="008139E3">
              <w:rPr>
                <w:rFonts w:ascii="Arial" w:hAnsi="Arial" w:cs="Arial"/>
                <w:iCs/>
                <w:szCs w:val="22"/>
              </w:rPr>
              <w:t>M</w:t>
            </w:r>
            <w:r w:rsidRPr="008139E3">
              <w:rPr>
                <w:rFonts w:ascii="Arial" w:hAnsi="Arial" w:cs="Arial"/>
                <w:bCs/>
              </w:rPr>
              <w:t>ateriál predpokladá negatívne vplyvy na rozpočet verejnej správy, ktoré sú rozpočtovo zabezpečené</w:t>
            </w:r>
            <w:r>
              <w:rPr>
                <w:rFonts w:ascii="Arial" w:hAnsi="Arial" w:cs="Arial"/>
                <w:bCs/>
              </w:rPr>
              <w:t>, pozitívne vplyvy na informatizáciu a negatívne vplyvy na procesy služieb vo verejnej správe.</w:t>
            </w:r>
            <w:r w:rsidRPr="008139E3">
              <w:rPr>
                <w:rFonts w:ascii="Arial" w:hAnsi="Arial" w:cs="Arial"/>
                <w:bCs/>
              </w:rPr>
              <w:t xml:space="preserve"> </w:t>
            </w: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8139E3">
              <w:rPr>
                <w:rFonts w:ascii="Arial" w:hAnsi="Arial" w:cs="Arial"/>
                <w:b/>
                <w:bCs/>
                <w:sz w:val="24"/>
                <w:szCs w:val="22"/>
              </w:rPr>
              <w:t>II. P</w:t>
            </w:r>
            <w:r w:rsidRPr="008139E3">
              <w:rPr>
                <w:rFonts w:ascii="Arial" w:hAnsi="Arial" w:cs="Arial"/>
                <w:b/>
                <w:sz w:val="24"/>
                <w:szCs w:val="22"/>
              </w:rPr>
              <w:t>r</w:t>
            </w:r>
            <w:r w:rsidRPr="008139E3">
              <w:rPr>
                <w:rFonts w:ascii="Arial" w:hAnsi="Arial" w:cs="Arial"/>
                <w:b/>
                <w:bCs/>
                <w:sz w:val="24"/>
                <w:szCs w:val="22"/>
              </w:rPr>
              <w:t>ipomienky a návrhy zm</w:t>
            </w:r>
            <w:r w:rsidRPr="008139E3">
              <w:rPr>
                <w:rFonts w:ascii="Arial" w:hAnsi="Arial" w:cs="Arial"/>
                <w:b/>
                <w:sz w:val="24"/>
                <w:szCs w:val="22"/>
              </w:rPr>
              <w:t>ie</w:t>
            </w:r>
            <w:r w:rsidRPr="008139E3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n: </w:t>
            </w:r>
            <w:r w:rsidRPr="008139E3">
              <w:rPr>
                <w:rFonts w:ascii="Arial" w:hAnsi="Arial" w:cs="Arial"/>
                <w:bCs/>
                <w:sz w:val="24"/>
                <w:szCs w:val="22"/>
              </w:rPr>
              <w:t>Komisia uplatňuje k materiálu nasledovné pripomienky a odporúčania:</w:t>
            </w: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139E3">
              <w:rPr>
                <w:rFonts w:ascii="Arial" w:hAnsi="Arial" w:cs="Arial"/>
                <w:b/>
                <w:bCs/>
                <w:sz w:val="24"/>
                <w:szCs w:val="22"/>
              </w:rPr>
              <w:t>K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 doložke vybraných vplyvov</w:t>
            </w:r>
          </w:p>
          <w:p w:rsidR="00671218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o</w:t>
            </w:r>
            <w:r w:rsidRPr="007213A0">
              <w:rPr>
                <w:rFonts w:ascii="Arial" w:hAnsi="Arial" w:cs="Arial"/>
                <w:bCs/>
                <w:sz w:val="24"/>
                <w:szCs w:val="24"/>
              </w:rPr>
              <w:t>dporúča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predkladateľovi</w:t>
            </w:r>
            <w:r w:rsidRPr="007213A0">
              <w:rPr>
                <w:rFonts w:ascii="Arial" w:hAnsi="Arial" w:cs="Arial"/>
                <w:bCs/>
                <w:sz w:val="24"/>
                <w:szCs w:val="24"/>
              </w:rPr>
              <w:t xml:space="preserve"> v doložke vybraných vplyvov vyznačiť pozitívny a negatívny vplyv na podnikateľské prostredie a následne dopracovať analýzu vplyvov na podnikateľské prostredie.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Komisia odporúča a</w:t>
            </w:r>
            <w:r w:rsidRPr="007213A0">
              <w:rPr>
                <w:rFonts w:ascii="Arial" w:hAnsi="Arial" w:cs="Arial"/>
                <w:bCs/>
                <w:sz w:val="24"/>
                <w:szCs w:val="24"/>
              </w:rPr>
              <w:t>nalýzu vyčísliť na jeden podnikateľský subjekt, pretože počet podnikateľských subjektov, ktorých sa novela zákona dotýka nie je znám</w:t>
            </w: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7213A0">
              <w:rPr>
                <w:rFonts w:ascii="Arial" w:hAnsi="Arial" w:cs="Arial"/>
                <w:bCs/>
                <w:sz w:val="24"/>
                <w:szCs w:val="24"/>
              </w:rPr>
              <w:t xml:space="preserve">, pretože novela zákona operuje s pojmom vlastník a vlastníkom môže byť tak FO, ako aj PO a FO podnikateľ a vývoz a dovoz podmetu kultúrnej hodnoty nemusí súvisieť s predmetom podnikania, prípadne byť určený priamo na podnikanie. </w:t>
            </w:r>
          </w:p>
          <w:p w:rsidR="00671218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671218" w:rsidRPr="007213A0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13A0">
              <w:rPr>
                <w:rFonts w:ascii="Arial" w:hAnsi="Arial" w:cs="Arial"/>
                <w:bCs/>
                <w:sz w:val="24"/>
                <w:szCs w:val="24"/>
                <w:u w:val="single"/>
              </w:rPr>
              <w:t>Odôvodnenie:</w:t>
            </w:r>
            <w:r w:rsidRPr="007213A0">
              <w:rPr>
                <w:rFonts w:ascii="Arial" w:hAnsi="Arial" w:cs="Arial"/>
                <w:bCs/>
                <w:sz w:val="24"/>
                <w:szCs w:val="24"/>
              </w:rPr>
              <w:t xml:space="preserve"> Pozitívny vplyv súvisí s rozšírením okruhu predmetov kultúrnej hodnoty, na ktoré sa podmienky vývozu z územia SR upravené zákonom č. 207/2009 Z. z. nevzťahujú a spresnením zoznamu kategórií predmetov kultúrnej hodnoty, ktorých vývoz z územia SR podlieha podmienkam podľa tohto zákona (vrátane zavedenia ďalších identifikačných znakov predmetov kultúrnej hodnoty – finančný prah a </w:t>
            </w:r>
            <w:proofErr w:type="spellStart"/>
            <w:r w:rsidRPr="007213A0">
              <w:rPr>
                <w:rFonts w:ascii="Arial" w:hAnsi="Arial" w:cs="Arial"/>
                <w:bCs/>
                <w:sz w:val="24"/>
                <w:szCs w:val="24"/>
              </w:rPr>
              <w:t>slovacikálnosť</w:t>
            </w:r>
            <w:proofErr w:type="spellEnd"/>
            <w:r w:rsidRPr="007213A0">
              <w:rPr>
                <w:rFonts w:ascii="Arial" w:hAnsi="Arial" w:cs="Arial"/>
                <w:bCs/>
                <w:sz w:val="24"/>
                <w:szCs w:val="24"/>
              </w:rPr>
              <w:t>).</w:t>
            </w:r>
          </w:p>
          <w:p w:rsidR="00671218" w:rsidRPr="007213A0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71218" w:rsidRPr="007213A0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13A0">
              <w:rPr>
                <w:rFonts w:ascii="Arial" w:hAnsi="Arial" w:cs="Arial"/>
                <w:bCs/>
                <w:sz w:val="24"/>
                <w:szCs w:val="24"/>
              </w:rPr>
              <w:t xml:space="preserve">Negatívny vplyv na podnikateľské prostredie súvisí s novelizačným bodom 5, kedy v § 2 ods. 3 vlastník podáva žiadosť na MK SR v 3 vyhotoveniach, čo je administratívny náklad a zároveň je jeho povinnosťou pripojiť znalecký posudok (nepriamy náklad). Ďalšie nepriame náklady súvisia s § 2 ods. 7 – na vyžiadanie predložiť ďalšie údaje a doklady. Administratívnym nákladom je aj opätovné podanie žiadosti (§ 2 ods. 11), písomné zaslanie po spätnom dovoze predmetu kultúrnej </w:t>
            </w:r>
            <w:r w:rsidRPr="007213A0">
              <w:rPr>
                <w:rFonts w:ascii="Arial" w:hAnsi="Arial" w:cs="Arial"/>
                <w:bCs/>
                <w:sz w:val="24"/>
                <w:szCs w:val="24"/>
              </w:rPr>
              <w:lastRenderedPageBreak/>
              <w:t>hodnoty (§ 2 ods. 18), povinnosť predajcu písomne informovať nadobúdateľa predmetu kultúrnej hodnoty o povinnostiach vyplývajúcich z právnych predpisov, ktoré sa vzťahujú na vývoz predmetu kultúrnej hodnoty zo SR (§ 7 ods. 4) a povinnosti vyplývajúce z novelizácie § 11 ods. 1 písm. c. V čl. III predmetnej novely sú negatívne vplyvy v novelizačnom bode 1 (§ 16 ods. 6 písm. c), kedy má vlastník povinnosť požiadať o výmaz predmetu kultúrnej hodnoty z evidencie predmetov kultúrnej hodnoty... a bode 2 (§ 16 ods. 6 písm. d) a f).</w:t>
            </w:r>
          </w:p>
          <w:p w:rsidR="00671218" w:rsidRDefault="00671218" w:rsidP="0067121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71218" w:rsidRPr="00C47B66" w:rsidRDefault="00671218" w:rsidP="006712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47B6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Vyhodnotenie pripomienky:</w:t>
            </w:r>
          </w:p>
          <w:p w:rsidR="00671218" w:rsidRDefault="00671218" w:rsidP="0067121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Pripomienka akceptovaná a</w:t>
            </w:r>
            <w:r w:rsidR="00997A43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zapracovaná.</w:t>
            </w:r>
            <w:r w:rsidR="00997A43">
              <w:rPr>
                <w:rFonts w:ascii="Arial" w:hAnsi="Arial" w:cs="Arial"/>
                <w:bCs/>
                <w:sz w:val="24"/>
                <w:szCs w:val="24"/>
              </w:rPr>
              <w:t xml:space="preserve"> Analýza vplyvov na podnikat</w:t>
            </w:r>
            <w:r w:rsidR="003E0DCB">
              <w:rPr>
                <w:rFonts w:ascii="Arial" w:hAnsi="Arial" w:cs="Arial"/>
                <w:bCs/>
                <w:sz w:val="24"/>
                <w:szCs w:val="24"/>
              </w:rPr>
              <w:t>eľské prostredie je dopracovaná.</w:t>
            </w:r>
          </w:p>
          <w:p w:rsidR="00671218" w:rsidRPr="008139E3" w:rsidRDefault="00671218" w:rsidP="0067121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contextualSpacing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8139E3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III. Záver: </w:t>
            </w:r>
            <w:r w:rsidRPr="008139E3">
              <w:rPr>
                <w:rFonts w:ascii="Arial" w:hAnsi="Arial" w:cs="Arial"/>
                <w:bCs/>
                <w:sz w:val="24"/>
                <w:szCs w:val="22"/>
              </w:rPr>
              <w:t xml:space="preserve">Stála pracovná komisia na posudzovanie vybraných vplyvov vyjadruje </w:t>
            </w: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139E3">
              <w:rPr>
                <w:rFonts w:ascii="Arial" w:hAnsi="Arial" w:cs="Arial"/>
                <w:b/>
                <w:bCs/>
                <w:sz w:val="24"/>
                <w:szCs w:val="22"/>
              </w:rPr>
              <w:t>súhlasné stanovisko s návrhom na dopracovanie</w:t>
            </w: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39E3">
              <w:rPr>
                <w:rFonts w:ascii="Arial" w:hAnsi="Arial" w:cs="Arial"/>
                <w:bCs/>
                <w:sz w:val="24"/>
                <w:szCs w:val="24"/>
              </w:rPr>
              <w:t>s materiálom predloženým na predbežné pripomienkové konanie s odporúčaním na jeho dopracovanie podľa pripomienok v bode II.</w:t>
            </w: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39E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IV. Poznámka: </w:t>
            </w:r>
            <w:r w:rsidRPr="008139E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right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right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right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:rsidR="00671218" w:rsidRPr="008139E3" w:rsidRDefault="00671218" w:rsidP="00671218">
            <w:pPr>
              <w:tabs>
                <w:tab w:val="center" w:pos="6379"/>
              </w:tabs>
              <w:ind w:right="-2"/>
              <w:jc w:val="right"/>
              <w:rPr>
                <w:rFonts w:ascii="Arial" w:hAnsi="Arial" w:cs="Arial"/>
                <w:bCs/>
                <w:sz w:val="24"/>
                <w:szCs w:val="22"/>
              </w:rPr>
            </w:pPr>
            <w:r w:rsidRPr="008139E3">
              <w:rPr>
                <w:rFonts w:ascii="Arial" w:hAnsi="Arial" w:cs="Arial"/>
                <w:b/>
                <w:bCs/>
                <w:sz w:val="24"/>
                <w:szCs w:val="22"/>
              </w:rPr>
              <w:t>Ing. Rastislav Chovanec, PhD.</w:t>
            </w:r>
          </w:p>
          <w:p w:rsidR="00671218" w:rsidRPr="008139E3" w:rsidRDefault="00671218" w:rsidP="00671218">
            <w:pPr>
              <w:tabs>
                <w:tab w:val="center" w:pos="6379"/>
              </w:tabs>
              <w:ind w:left="4536" w:right="-2"/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 w:rsidRPr="008139E3">
              <w:rPr>
                <w:rFonts w:ascii="Arial" w:hAnsi="Arial" w:cs="Arial"/>
                <w:bCs/>
                <w:sz w:val="24"/>
                <w:szCs w:val="22"/>
              </w:rPr>
              <w:t xml:space="preserve">               predseda Komisie</w:t>
            </w:r>
          </w:p>
          <w:bookmarkEnd w:id="0"/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50" w:rsidRDefault="00C76E50" w:rsidP="003501A1">
      <w:r>
        <w:separator/>
      </w:r>
    </w:p>
  </w:endnote>
  <w:endnote w:type="continuationSeparator" w:id="0">
    <w:p w:rsidR="00C76E50" w:rsidRDefault="00C76E50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50" w:rsidRDefault="00C76E50" w:rsidP="003501A1">
      <w:r>
        <w:separator/>
      </w:r>
    </w:p>
  </w:footnote>
  <w:footnote w:type="continuationSeparator" w:id="0">
    <w:p w:rsidR="00C76E50" w:rsidRDefault="00C76E50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380B"/>
    <w:rsid w:val="00023C51"/>
    <w:rsid w:val="0002504F"/>
    <w:rsid w:val="00031ED3"/>
    <w:rsid w:val="00036643"/>
    <w:rsid w:val="00036A60"/>
    <w:rsid w:val="00054E76"/>
    <w:rsid w:val="0007298B"/>
    <w:rsid w:val="000C5192"/>
    <w:rsid w:val="000D40AB"/>
    <w:rsid w:val="0011693A"/>
    <w:rsid w:val="001175B9"/>
    <w:rsid w:val="00146E37"/>
    <w:rsid w:val="00173E6D"/>
    <w:rsid w:val="00175FD8"/>
    <w:rsid w:val="0019177A"/>
    <w:rsid w:val="001A1559"/>
    <w:rsid w:val="001D702B"/>
    <w:rsid w:val="001F2964"/>
    <w:rsid w:val="00255354"/>
    <w:rsid w:val="00261AEB"/>
    <w:rsid w:val="00281000"/>
    <w:rsid w:val="002A3A52"/>
    <w:rsid w:val="002C6062"/>
    <w:rsid w:val="002D3DAC"/>
    <w:rsid w:val="002E324B"/>
    <w:rsid w:val="002F6AAB"/>
    <w:rsid w:val="00346DD6"/>
    <w:rsid w:val="003501A1"/>
    <w:rsid w:val="003644BD"/>
    <w:rsid w:val="00372227"/>
    <w:rsid w:val="00395098"/>
    <w:rsid w:val="003C3E68"/>
    <w:rsid w:val="003E0DCB"/>
    <w:rsid w:val="003F4CC0"/>
    <w:rsid w:val="00413305"/>
    <w:rsid w:val="00420A8D"/>
    <w:rsid w:val="00453691"/>
    <w:rsid w:val="0045465B"/>
    <w:rsid w:val="004C2201"/>
    <w:rsid w:val="004C60B8"/>
    <w:rsid w:val="004C794A"/>
    <w:rsid w:val="004F6F1F"/>
    <w:rsid w:val="004F7D6F"/>
    <w:rsid w:val="00513F28"/>
    <w:rsid w:val="0051685B"/>
    <w:rsid w:val="00517327"/>
    <w:rsid w:val="00545625"/>
    <w:rsid w:val="00570B48"/>
    <w:rsid w:val="00581152"/>
    <w:rsid w:val="00582DAF"/>
    <w:rsid w:val="005865DD"/>
    <w:rsid w:val="005B7A8D"/>
    <w:rsid w:val="005C5C83"/>
    <w:rsid w:val="006617E2"/>
    <w:rsid w:val="00671218"/>
    <w:rsid w:val="006C3B7D"/>
    <w:rsid w:val="006D7027"/>
    <w:rsid w:val="006E0F81"/>
    <w:rsid w:val="007130F1"/>
    <w:rsid w:val="007435F0"/>
    <w:rsid w:val="00754547"/>
    <w:rsid w:val="007F34A1"/>
    <w:rsid w:val="008540E7"/>
    <w:rsid w:val="00882CA5"/>
    <w:rsid w:val="008A3FB7"/>
    <w:rsid w:val="00910D8B"/>
    <w:rsid w:val="00913981"/>
    <w:rsid w:val="00930827"/>
    <w:rsid w:val="00947EB0"/>
    <w:rsid w:val="00966C88"/>
    <w:rsid w:val="0099358E"/>
    <w:rsid w:val="00997A43"/>
    <w:rsid w:val="00A15495"/>
    <w:rsid w:val="00A34F94"/>
    <w:rsid w:val="00A65DC5"/>
    <w:rsid w:val="00AC2477"/>
    <w:rsid w:val="00AE0CB6"/>
    <w:rsid w:val="00B14B2C"/>
    <w:rsid w:val="00B22304"/>
    <w:rsid w:val="00B30954"/>
    <w:rsid w:val="00B63DB4"/>
    <w:rsid w:val="00B65A86"/>
    <w:rsid w:val="00B73338"/>
    <w:rsid w:val="00B87461"/>
    <w:rsid w:val="00B96CC1"/>
    <w:rsid w:val="00C56DB9"/>
    <w:rsid w:val="00C76E50"/>
    <w:rsid w:val="00C91552"/>
    <w:rsid w:val="00CA7C30"/>
    <w:rsid w:val="00CB3623"/>
    <w:rsid w:val="00CF3E4A"/>
    <w:rsid w:val="00D13874"/>
    <w:rsid w:val="00D13B6F"/>
    <w:rsid w:val="00D75D35"/>
    <w:rsid w:val="00DE2A12"/>
    <w:rsid w:val="00DF6DB5"/>
    <w:rsid w:val="00E277EA"/>
    <w:rsid w:val="00E42BDD"/>
    <w:rsid w:val="00EA0780"/>
    <w:rsid w:val="00EB59E3"/>
    <w:rsid w:val="00EF0425"/>
    <w:rsid w:val="00EF466C"/>
    <w:rsid w:val="00F01FCC"/>
    <w:rsid w:val="00F22831"/>
    <w:rsid w:val="00F62771"/>
    <w:rsid w:val="00FD7B91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671218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71218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customStyle="1" w:styleId="Style17">
    <w:name w:val="Style17"/>
    <w:basedOn w:val="Normlny"/>
    <w:rsid w:val="00671218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7121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7121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671218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71218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customStyle="1" w:styleId="Style17">
    <w:name w:val="Style17"/>
    <w:basedOn w:val="Normlny"/>
    <w:rsid w:val="00671218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7121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7121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0541-1F2A-46D0-AB4A-7C11C849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Durcová Nátalia</cp:lastModifiedBy>
  <cp:revision>43</cp:revision>
  <cp:lastPrinted>2017-11-21T12:10:00Z</cp:lastPrinted>
  <dcterms:created xsi:type="dcterms:W3CDTF">2017-03-27T11:42:00Z</dcterms:created>
  <dcterms:modified xsi:type="dcterms:W3CDTF">2017-11-21T13:46:00Z</dcterms:modified>
</cp:coreProperties>
</file>