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33" w:rsidRPr="00611B30" w:rsidRDefault="008F1A33" w:rsidP="008F1A33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611B30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8F1A33" w:rsidRDefault="008F1A33" w:rsidP="008F1A33">
      <w:pPr>
        <w:pStyle w:val="Odsekzoznamu1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F1A33" w:rsidRPr="00A84A05" w:rsidRDefault="008F1A33" w:rsidP="008F1A33">
      <w:pPr>
        <w:pStyle w:val="Odsekzoznamu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A84A05">
        <w:rPr>
          <w:rFonts w:ascii="Times New Roman" w:hAnsi="Times New Roman"/>
          <w:b/>
          <w:sz w:val="24"/>
          <w:szCs w:val="24"/>
        </w:rPr>
        <w:t xml:space="preserve">Osobitná časť 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>§ 1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vymedzuje predmet úpravy návrhu zákona.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§</w:t>
      </w:r>
      <w:r w:rsidRPr="00A84A05">
        <w:rPr>
          <w:rFonts w:ascii="Times New Roman" w:hAnsi="Times New Roman"/>
          <w:sz w:val="24"/>
          <w:szCs w:val="24"/>
        </w:rPr>
        <w:t xml:space="preserve"> 2</w:t>
      </w:r>
    </w:p>
    <w:p w:rsidR="00777279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vymedzuje rozsah poskytovania dotácii</w:t>
      </w:r>
      <w:r w:rsidR="00777279">
        <w:rPr>
          <w:rFonts w:ascii="Times New Roman" w:hAnsi="Times New Roman"/>
          <w:sz w:val="24"/>
          <w:szCs w:val="24"/>
        </w:rPr>
        <w:t>, a to najmä v troch základných oblastiach spadajúcich do</w:t>
      </w:r>
      <w:r w:rsidR="00777279">
        <w:rPr>
          <w:rFonts w:ascii="Times New Roman" w:hAnsi="Times New Roman"/>
          <w:sz w:val="24"/>
          <w:szCs w:val="24"/>
        </w:rPr>
        <w:t> pôsobnosti úradu</w:t>
      </w:r>
      <w:r w:rsidR="004B024E">
        <w:rPr>
          <w:rFonts w:ascii="Times New Roman" w:hAnsi="Times New Roman"/>
          <w:sz w:val="24"/>
          <w:szCs w:val="24"/>
        </w:rPr>
        <w:t xml:space="preserve">. </w:t>
      </w:r>
      <w:r w:rsidR="00777279">
        <w:rPr>
          <w:rFonts w:ascii="Times New Roman" w:hAnsi="Times New Roman"/>
          <w:sz w:val="24"/>
          <w:szCs w:val="24"/>
        </w:rPr>
        <w:t>O</w:t>
      </w:r>
      <w:r w:rsidR="004B024E">
        <w:rPr>
          <w:rFonts w:ascii="Times New Roman" w:hAnsi="Times New Roman"/>
          <w:sz w:val="24"/>
          <w:szCs w:val="24"/>
        </w:rPr>
        <w:t>blas</w:t>
      </w:r>
      <w:r w:rsidR="00777279">
        <w:rPr>
          <w:rFonts w:ascii="Times New Roman" w:hAnsi="Times New Roman"/>
          <w:sz w:val="24"/>
          <w:szCs w:val="24"/>
        </w:rPr>
        <w:t>ť</w:t>
      </w:r>
      <w:r w:rsidR="004B024E">
        <w:rPr>
          <w:rFonts w:ascii="Times New Roman" w:hAnsi="Times New Roman"/>
          <w:sz w:val="24"/>
          <w:szCs w:val="24"/>
        </w:rPr>
        <w:t xml:space="preserve"> </w:t>
      </w:r>
      <w:r w:rsidR="00777279">
        <w:rPr>
          <w:rFonts w:ascii="Times New Roman" w:hAnsi="Times New Roman"/>
          <w:sz w:val="24"/>
          <w:szCs w:val="24"/>
        </w:rPr>
        <w:t>digitálnej agendy -</w:t>
      </w:r>
      <w:r w:rsidR="004B024E">
        <w:rPr>
          <w:rFonts w:ascii="Times New Roman" w:hAnsi="Times New Roman"/>
          <w:sz w:val="24"/>
          <w:szCs w:val="24"/>
        </w:rPr>
        <w:t xml:space="preserve"> rozvoj informačných a komunikačných technológií, ktoré sú hybnou silou zvyšovania produktivity a rastu v Európskej únii.</w:t>
      </w:r>
      <w:r w:rsidR="00777279">
        <w:rPr>
          <w:rFonts w:ascii="Times New Roman" w:hAnsi="Times New Roman"/>
          <w:sz w:val="24"/>
          <w:szCs w:val="24"/>
        </w:rPr>
        <w:t xml:space="preserve"> Podpora rozvoja investičného prostredia, tak aby sa vytvorilo atraktívne prostredie lákajúce zahraničných investorov, ktorí sa svojou činnosťou budú podieľať na ekonomickom raste krajiny, respektíve regiónov. </w:t>
      </w:r>
      <w:r w:rsidR="00260ED0">
        <w:rPr>
          <w:rFonts w:ascii="Times New Roman" w:hAnsi="Times New Roman"/>
          <w:sz w:val="24"/>
          <w:szCs w:val="24"/>
        </w:rPr>
        <w:t>Agenda 2030 schválená u</w:t>
      </w:r>
      <w:r w:rsidR="00777279" w:rsidRPr="00777279">
        <w:rPr>
          <w:rFonts w:ascii="Times New Roman" w:hAnsi="Times New Roman"/>
          <w:sz w:val="24"/>
          <w:szCs w:val="24"/>
        </w:rPr>
        <w:t>znesením vlády S</w:t>
      </w:r>
      <w:r w:rsidR="00260ED0">
        <w:rPr>
          <w:rFonts w:ascii="Times New Roman" w:hAnsi="Times New Roman"/>
          <w:sz w:val="24"/>
          <w:szCs w:val="24"/>
        </w:rPr>
        <w:t>lovenskej republiky</w:t>
      </w:r>
      <w:r w:rsidR="00777279" w:rsidRPr="00777279">
        <w:rPr>
          <w:rFonts w:ascii="Times New Roman" w:hAnsi="Times New Roman"/>
          <w:sz w:val="24"/>
          <w:szCs w:val="24"/>
        </w:rPr>
        <w:t xml:space="preserve"> č. 350 z 24. júla 2017</w:t>
      </w:r>
      <w:r w:rsidR="00260ED0">
        <w:rPr>
          <w:rFonts w:ascii="Times New Roman" w:hAnsi="Times New Roman"/>
          <w:sz w:val="24"/>
          <w:szCs w:val="24"/>
        </w:rPr>
        <w:t>, ktorým</w:t>
      </w:r>
      <w:r w:rsidR="00777279" w:rsidRPr="00777279">
        <w:rPr>
          <w:rFonts w:ascii="Times New Roman" w:hAnsi="Times New Roman"/>
          <w:sz w:val="24"/>
          <w:szCs w:val="24"/>
        </w:rPr>
        <w:t xml:space="preserve"> </w:t>
      </w:r>
      <w:r w:rsidR="00260ED0">
        <w:rPr>
          <w:rFonts w:ascii="Times New Roman" w:hAnsi="Times New Roman"/>
          <w:sz w:val="24"/>
          <w:szCs w:val="24"/>
        </w:rPr>
        <w:t>vláda Slovenskej republiky uložila</w:t>
      </w:r>
      <w:bookmarkStart w:id="0" w:name="_GoBack"/>
      <w:bookmarkEnd w:id="0"/>
      <w:r w:rsidR="00777279" w:rsidRPr="00777279">
        <w:rPr>
          <w:rFonts w:ascii="Times New Roman" w:hAnsi="Times New Roman"/>
          <w:sz w:val="24"/>
          <w:szCs w:val="24"/>
        </w:rPr>
        <w:t xml:space="preserve"> podpredsedovi vlády SR pre investície a informatizáciu v spolupráci s Radou vlády pre Agendu 2030 </w:t>
      </w:r>
      <w:r w:rsidR="00260ED0">
        <w:rPr>
          <w:rFonts w:ascii="Times New Roman" w:hAnsi="Times New Roman"/>
          <w:sz w:val="24"/>
          <w:szCs w:val="24"/>
        </w:rPr>
        <w:t xml:space="preserve">vypracovať a </w:t>
      </w:r>
      <w:r w:rsidR="00777279" w:rsidRPr="00777279">
        <w:rPr>
          <w:rFonts w:ascii="Times New Roman" w:hAnsi="Times New Roman"/>
          <w:sz w:val="24"/>
          <w:szCs w:val="24"/>
        </w:rPr>
        <w:t xml:space="preserve">predložiť na rokovanie vlády SR "Návrh národných priorít implementácie Agendy 2030" teda vymedzenie konkrétnych oblastí Agendy 2030, ktorá bude vo vnútroštátnych podmienkach implementovaná. </w:t>
      </w:r>
    </w:p>
    <w:p w:rsidR="00260ED0" w:rsidRDefault="00260ED0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</w:t>
      </w:r>
      <w:r w:rsidRPr="00A84A05">
        <w:rPr>
          <w:rFonts w:ascii="Times New Roman" w:hAnsi="Times New Roman"/>
          <w:sz w:val="24"/>
          <w:szCs w:val="24"/>
        </w:rPr>
        <w:t xml:space="preserve"> 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A84A05">
        <w:rPr>
          <w:rFonts w:ascii="Times New Roman" w:hAnsi="Times New Roman"/>
          <w:sz w:val="24"/>
          <w:szCs w:val="24"/>
        </w:rPr>
        <w:t xml:space="preserve">oto ustanovenie </w:t>
      </w:r>
      <w:r>
        <w:rPr>
          <w:rFonts w:ascii="Times New Roman" w:hAnsi="Times New Roman"/>
          <w:sz w:val="24"/>
          <w:szCs w:val="24"/>
        </w:rPr>
        <w:t>vymedzuje účel poskytovania dotácií v pôsobnosti úradu</w:t>
      </w:r>
      <w:r w:rsidR="000C7A9E">
        <w:rPr>
          <w:rFonts w:ascii="Times New Roman" w:hAnsi="Times New Roman"/>
          <w:sz w:val="24"/>
          <w:szCs w:val="24"/>
        </w:rPr>
        <w:t xml:space="preserve"> respektíve</w:t>
      </w:r>
      <w:r>
        <w:rPr>
          <w:rFonts w:ascii="Times New Roman" w:hAnsi="Times New Roman"/>
          <w:sz w:val="24"/>
          <w:szCs w:val="24"/>
        </w:rPr>
        <w:t xml:space="preserve"> v rámci účelu poskytovania dotácií oblasti, na ktoré môže úrad poskytnúť dotáciu na príslušný rozpočtový rok z rozpočtovej kapitoly úradu. 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>§</w:t>
      </w:r>
      <w:r w:rsidRPr="00A84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ustanovenie upravuje podmienky poskytovania dotácií podľa tohto zákona. Určuje okruh osôb, ktoré môžu byť žiadateľom o poskytnutie dotácie a ktorým možno poskytnúť dotáciu podľa tohto zákona pri splnení podmienok ustanovených zákonom o rozpočtových pravidlách. Odsek 3 ustanovuje oblasti, na ktoré nemožno poskytnúť ani použiť dotáciu.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 xml:space="preserve">§ </w:t>
      </w:r>
      <w:r w:rsidR="004B024E">
        <w:rPr>
          <w:rFonts w:ascii="Times New Roman" w:hAnsi="Times New Roman"/>
          <w:sz w:val="24"/>
          <w:szCs w:val="24"/>
        </w:rPr>
        <w:t>5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Ustanovenie určuje spôsob poskytnutia dotácie, ktorý bude bližšie špecifikovaný vo všeobecne záväznom </w:t>
      </w:r>
      <w:r w:rsidR="004B024E">
        <w:rPr>
          <w:rFonts w:ascii="Times New Roman" w:hAnsi="Times New Roman"/>
          <w:sz w:val="24"/>
          <w:szCs w:val="24"/>
        </w:rPr>
        <w:t xml:space="preserve">právnom </w:t>
      </w:r>
      <w:r>
        <w:rPr>
          <w:rFonts w:ascii="Times New Roman" w:hAnsi="Times New Roman"/>
          <w:sz w:val="24"/>
          <w:szCs w:val="24"/>
        </w:rPr>
        <w:t>predpise, ktorý vydá úrad.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 w:rsidR="004B024E">
        <w:rPr>
          <w:rFonts w:ascii="Times New Roman" w:hAnsi="Times New Roman"/>
          <w:sz w:val="24"/>
          <w:szCs w:val="24"/>
        </w:rPr>
        <w:t>§ 6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upravuje spôsob vyhodnocovania žiadostí o poskytnutie dotácií podľa tohto zákona.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 xml:space="preserve">§ </w:t>
      </w:r>
      <w:r w:rsidR="004B024E">
        <w:rPr>
          <w:rFonts w:ascii="Times New Roman" w:hAnsi="Times New Roman"/>
          <w:sz w:val="24"/>
          <w:szCs w:val="24"/>
        </w:rPr>
        <w:t>7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upravuje okruh informácií, ktoré úrad zverejňuje na svojom webovom sídle.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 xml:space="preserve">§ </w:t>
      </w:r>
      <w:r w:rsidR="004B024E">
        <w:rPr>
          <w:rFonts w:ascii="Times New Roman" w:hAnsi="Times New Roman"/>
          <w:sz w:val="24"/>
          <w:szCs w:val="24"/>
        </w:rPr>
        <w:t>8</w:t>
      </w:r>
    </w:p>
    <w:p w:rsidR="008F1A33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Toto ustanovenie upravuje výkon kontroly hospodárenia s poskytnutou dotáciou a dodržiavanie podmienok uvedených v zmluve o poskytnutí dotácie.</w:t>
      </w:r>
    </w:p>
    <w:p w:rsidR="008F1A33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§ </w:t>
      </w:r>
      <w:r w:rsidR="004B024E">
        <w:rPr>
          <w:rFonts w:ascii="Times New Roman" w:hAnsi="Times New Roman"/>
          <w:sz w:val="24"/>
          <w:szCs w:val="24"/>
        </w:rPr>
        <w:t>9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Ustanovenie upravuje, že týmto zákonom nie sú dotknuté osobitné predpisy o štátnej pomoci, ako aj skutočnosť, že poskytnutie dotácie podľa tohto zákona nie je právne </w:t>
      </w:r>
      <w:proofErr w:type="spellStart"/>
      <w:r>
        <w:rPr>
          <w:rFonts w:ascii="Times New Roman" w:hAnsi="Times New Roman"/>
          <w:sz w:val="24"/>
          <w:szCs w:val="24"/>
        </w:rPr>
        <w:t>nárokovateľné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33" w:rsidRPr="00A84A0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A05">
        <w:rPr>
          <w:rFonts w:ascii="Times New Roman" w:hAnsi="Times New Roman"/>
          <w:sz w:val="24"/>
          <w:szCs w:val="24"/>
        </w:rPr>
        <w:t>K </w:t>
      </w:r>
      <w:r w:rsidR="004B024E">
        <w:rPr>
          <w:rFonts w:ascii="Times New Roman" w:hAnsi="Times New Roman"/>
          <w:sz w:val="24"/>
          <w:szCs w:val="24"/>
        </w:rPr>
        <w:t>§ 10</w:t>
      </w:r>
    </w:p>
    <w:p w:rsidR="008F1A33" w:rsidRPr="00E54955" w:rsidRDefault="008F1A33" w:rsidP="008F1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955">
        <w:rPr>
          <w:rFonts w:ascii="Times New Roman" w:hAnsi="Times New Roman"/>
          <w:sz w:val="24"/>
          <w:szCs w:val="24"/>
        </w:rPr>
        <w:t xml:space="preserve">Účinnosť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E54955">
        <w:rPr>
          <w:rFonts w:ascii="Times New Roman" w:hAnsi="Times New Roman"/>
          <w:sz w:val="24"/>
          <w:szCs w:val="24"/>
        </w:rPr>
        <w:t xml:space="preserve">sa navrhuje 1. </w:t>
      </w:r>
      <w:r w:rsidR="004B024E">
        <w:rPr>
          <w:rFonts w:ascii="Times New Roman" w:hAnsi="Times New Roman"/>
          <w:sz w:val="24"/>
          <w:szCs w:val="24"/>
        </w:rPr>
        <w:t>mája</w:t>
      </w:r>
      <w:r w:rsidRPr="00E54955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.</w:t>
      </w:r>
    </w:p>
    <w:p w:rsidR="00976E22" w:rsidRDefault="004D758D"/>
    <w:sectPr w:rsidR="00976E22" w:rsidSect="007B0A4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3"/>
    <w:rsid w:val="000C7A9E"/>
    <w:rsid w:val="001478FA"/>
    <w:rsid w:val="00260ED0"/>
    <w:rsid w:val="004B024E"/>
    <w:rsid w:val="004D758D"/>
    <w:rsid w:val="00532550"/>
    <w:rsid w:val="00777279"/>
    <w:rsid w:val="008159BA"/>
    <w:rsid w:val="008F1A33"/>
    <w:rsid w:val="009057C8"/>
    <w:rsid w:val="00A51F52"/>
    <w:rsid w:val="00C65E19"/>
    <w:rsid w:val="00C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F9DA"/>
  <w15:chartTrackingRefBased/>
  <w15:docId w15:val="{A2973837-29CC-4D9D-9B94-00497F5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A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Semanco</dc:creator>
  <cp:keywords/>
  <dc:description/>
  <cp:lastModifiedBy>Martin Semanco</cp:lastModifiedBy>
  <cp:revision>3</cp:revision>
  <dcterms:created xsi:type="dcterms:W3CDTF">2017-06-19T09:28:00Z</dcterms:created>
  <dcterms:modified xsi:type="dcterms:W3CDTF">2017-11-07T09:32:00Z</dcterms:modified>
</cp:coreProperties>
</file>