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A4" w:rsidRPr="004A302C" w:rsidRDefault="001430A4" w:rsidP="001430A4">
      <w:pPr>
        <w:jc w:val="center"/>
        <w:rPr>
          <w:b/>
          <w:bCs/>
          <w:sz w:val="28"/>
          <w:szCs w:val="28"/>
        </w:rPr>
      </w:pPr>
      <w:r w:rsidRPr="004A302C">
        <w:rPr>
          <w:b/>
          <w:bCs/>
          <w:sz w:val="28"/>
          <w:szCs w:val="28"/>
        </w:rPr>
        <w:t>Doložka vybraných vplyvov</w:t>
      </w:r>
    </w:p>
    <w:p w:rsidR="001430A4" w:rsidRPr="00B3703A" w:rsidRDefault="001430A4" w:rsidP="001430A4">
      <w:pPr>
        <w:pStyle w:val="Odsekzoznamu"/>
        <w:ind w:left="426"/>
        <w:rPr>
          <w:rFonts w:ascii="Times New Roman" w:hAnsi="Times New Roman" w:cs="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1430A4" w:rsidRPr="00B3703A" w:rsidTr="00984BE6">
        <w:tc>
          <w:tcPr>
            <w:tcW w:w="9180" w:type="dxa"/>
            <w:gridSpan w:val="10"/>
            <w:tcBorders>
              <w:bottom w:val="single" w:sz="4" w:space="0" w:color="FFFFFF" w:themeColor="background1"/>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Základné údaje</w:t>
            </w:r>
          </w:p>
        </w:tc>
      </w:tr>
      <w:tr w:rsidR="001430A4" w:rsidRPr="00B3703A" w:rsidTr="00984BE6">
        <w:tc>
          <w:tcPr>
            <w:tcW w:w="9180" w:type="dxa"/>
            <w:gridSpan w:val="10"/>
            <w:tcBorders>
              <w:bottom w:val="single" w:sz="4" w:space="0" w:color="FFFFFF" w:themeColor="background1"/>
            </w:tcBorders>
            <w:shd w:val="clear" w:color="auto" w:fill="E2E2E2"/>
          </w:tcPr>
          <w:p w:rsidR="001430A4" w:rsidRPr="00B3703A" w:rsidRDefault="001430A4" w:rsidP="00984BE6">
            <w:pPr>
              <w:pStyle w:val="Odsekzoznamu"/>
              <w:ind w:left="142"/>
              <w:rPr>
                <w:rFonts w:ascii="Times New Roman" w:hAnsi="Times New Roman" w:cs="Times New Roman"/>
                <w:b/>
              </w:rPr>
            </w:pPr>
            <w:r w:rsidRPr="00B3703A">
              <w:rPr>
                <w:rFonts w:ascii="Times New Roman" w:hAnsi="Times New Roman" w:cs="Times New Roman"/>
                <w:b/>
              </w:rPr>
              <w:t>Názov materiálu</w:t>
            </w:r>
          </w:p>
        </w:tc>
      </w:tr>
      <w:tr w:rsidR="001430A4" w:rsidRPr="00B3703A" w:rsidTr="00984BE6">
        <w:tc>
          <w:tcPr>
            <w:tcW w:w="9180" w:type="dxa"/>
            <w:gridSpan w:val="10"/>
            <w:tcBorders>
              <w:top w:val="single" w:sz="4" w:space="0" w:color="FFFFFF" w:themeColor="background1"/>
              <w:bottom w:val="single" w:sz="4" w:space="0" w:color="auto"/>
            </w:tcBorders>
          </w:tcPr>
          <w:p w:rsidR="001430A4" w:rsidRPr="00B3703A" w:rsidRDefault="001430A4" w:rsidP="00984BE6">
            <w:pPr>
              <w:rPr>
                <w:rFonts w:ascii="Times New Roman" w:hAnsi="Times New Roman" w:cs="Times New Roman"/>
              </w:rPr>
            </w:pPr>
            <w:r w:rsidRPr="00B3703A">
              <w:rPr>
                <w:rFonts w:ascii="Times New Roman" w:hAnsi="Times New Roman" w:cs="Times New Roman"/>
              </w:rPr>
              <w:t xml:space="preserve">Zákon o zájazdoch, spojených </w:t>
            </w:r>
            <w:r w:rsidR="002176A9">
              <w:rPr>
                <w:rFonts w:ascii="Times New Roman" w:hAnsi="Times New Roman" w:cs="Times New Roman"/>
              </w:rPr>
              <w:t xml:space="preserve"> </w:t>
            </w:r>
            <w:r w:rsidRPr="00B3703A">
              <w:rPr>
                <w:rFonts w:ascii="Times New Roman" w:hAnsi="Times New Roman" w:cs="Times New Roman"/>
              </w:rPr>
              <w:t>službách</w:t>
            </w:r>
            <w:r w:rsidR="002176A9">
              <w:rPr>
                <w:rFonts w:ascii="Times New Roman" w:hAnsi="Times New Roman" w:cs="Times New Roman"/>
              </w:rPr>
              <w:t xml:space="preserve"> cestovného ruchu</w:t>
            </w:r>
            <w:r w:rsidRPr="00B3703A">
              <w:rPr>
                <w:rFonts w:ascii="Times New Roman" w:hAnsi="Times New Roman" w:cs="Times New Roman"/>
              </w:rPr>
              <w:t>, niektorých podmienkach podnikania</w:t>
            </w:r>
            <w:r w:rsidR="004A302C">
              <w:rPr>
                <w:rFonts w:ascii="Times New Roman" w:hAnsi="Times New Roman" w:cs="Times New Roman"/>
              </w:rPr>
              <w:t xml:space="preserve">                       </w:t>
            </w:r>
            <w:r w:rsidRPr="00B3703A">
              <w:rPr>
                <w:rFonts w:ascii="Times New Roman" w:hAnsi="Times New Roman" w:cs="Times New Roman"/>
              </w:rPr>
              <w:t xml:space="preserve"> v cestovnom ruchu a o zmene a doplnení niektorých zákonov</w:t>
            </w:r>
          </w:p>
          <w:p w:rsidR="001430A4" w:rsidRPr="00B3703A" w:rsidRDefault="001430A4" w:rsidP="00984BE6">
            <w:pPr>
              <w:rPr>
                <w:rFonts w:ascii="Times New Roman" w:hAnsi="Times New Roman" w:cs="Times New Roman"/>
              </w:rPr>
            </w:pPr>
          </w:p>
        </w:tc>
      </w:tr>
      <w:tr w:rsidR="001430A4" w:rsidRPr="00B3703A" w:rsidTr="00984BE6">
        <w:tc>
          <w:tcPr>
            <w:tcW w:w="9180" w:type="dxa"/>
            <w:gridSpan w:val="10"/>
            <w:tcBorders>
              <w:top w:val="single" w:sz="4" w:space="0" w:color="auto"/>
              <w:left w:val="single" w:sz="4" w:space="0" w:color="auto"/>
              <w:bottom w:val="single" w:sz="4" w:space="0" w:color="FFFFFF" w:themeColor="background1"/>
            </w:tcBorders>
            <w:shd w:val="clear" w:color="auto" w:fill="E2E2E2"/>
          </w:tcPr>
          <w:p w:rsidR="001430A4" w:rsidRPr="00B3703A" w:rsidRDefault="001430A4" w:rsidP="00984BE6">
            <w:pPr>
              <w:pStyle w:val="Odsekzoznamu"/>
              <w:ind w:left="142"/>
              <w:rPr>
                <w:rFonts w:ascii="Times New Roman" w:hAnsi="Times New Roman" w:cs="Times New Roman"/>
                <w:b/>
              </w:rPr>
            </w:pPr>
            <w:r w:rsidRPr="00B3703A">
              <w:rPr>
                <w:rFonts w:ascii="Times New Roman" w:hAnsi="Times New Roman" w:cs="Times New Roman"/>
                <w:b/>
              </w:rPr>
              <w:t>Predkladateľ (a spolupredkladateľ)</w:t>
            </w:r>
          </w:p>
        </w:tc>
      </w:tr>
      <w:tr w:rsidR="001430A4" w:rsidRPr="00B3703A" w:rsidTr="00984BE6">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1430A4" w:rsidRPr="00B3703A" w:rsidRDefault="001430A4" w:rsidP="00984BE6">
            <w:pPr>
              <w:rPr>
                <w:rFonts w:ascii="Times New Roman" w:hAnsi="Times New Roman" w:cs="Times New Roman"/>
              </w:rPr>
            </w:pPr>
            <w:r w:rsidRPr="00B3703A">
              <w:rPr>
                <w:rFonts w:ascii="Times New Roman" w:hAnsi="Times New Roman" w:cs="Times New Roman"/>
              </w:rPr>
              <w:t>Ministerstvo hospodárstva Slovenskej republiky</w:t>
            </w:r>
          </w:p>
          <w:p w:rsidR="001430A4" w:rsidRPr="00B3703A" w:rsidRDefault="001430A4" w:rsidP="00984BE6">
            <w:pPr>
              <w:rPr>
                <w:rFonts w:ascii="Times New Roman" w:hAnsi="Times New Roman" w:cs="Times New Roman"/>
              </w:rPr>
            </w:pPr>
          </w:p>
        </w:tc>
      </w:tr>
      <w:tr w:rsidR="001430A4" w:rsidRPr="00B3703A" w:rsidTr="00984BE6">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1430A4" w:rsidRPr="00B3703A" w:rsidRDefault="001430A4" w:rsidP="00984BE6">
            <w:pPr>
              <w:pStyle w:val="Odsekzoznamu"/>
              <w:ind w:left="142"/>
              <w:rPr>
                <w:rFonts w:ascii="Times New Roman" w:hAnsi="Times New Roman" w:cs="Times New Roman"/>
                <w:b/>
              </w:rPr>
            </w:pPr>
            <w:r w:rsidRPr="00B3703A">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1430A4" w:rsidRPr="00B3703A" w:rsidRDefault="001430A4" w:rsidP="00984BE6">
                <w:pPr>
                  <w:jc w:val="center"/>
                  <w:rPr>
                    <w:rFonts w:ascii="Times New Roman" w:hAnsi="Times New Roman" w:cs="Times New Roman"/>
                  </w:rPr>
                </w:pPr>
                <w:r w:rsidRPr="00B3703A">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1430A4" w:rsidRPr="00B3703A" w:rsidRDefault="001430A4" w:rsidP="00984BE6">
            <w:pPr>
              <w:rPr>
                <w:rFonts w:ascii="Times New Roman" w:hAnsi="Times New Roman" w:cs="Times New Roman"/>
              </w:rPr>
            </w:pPr>
            <w:r w:rsidRPr="00B3703A">
              <w:rPr>
                <w:rFonts w:ascii="Times New Roman" w:hAnsi="Times New Roman" w:cs="Times New Roman"/>
              </w:rPr>
              <w:t>Materiál nelegislatívnej povahy</w:t>
            </w:r>
          </w:p>
        </w:tc>
      </w:tr>
      <w:tr w:rsidR="001430A4" w:rsidRPr="00B3703A" w:rsidTr="00984BE6">
        <w:tc>
          <w:tcPr>
            <w:tcW w:w="4212" w:type="dxa"/>
            <w:gridSpan w:val="2"/>
            <w:vMerge/>
            <w:tcBorders>
              <w:top w:val="nil"/>
              <w:left w:val="single" w:sz="4" w:space="0" w:color="auto"/>
              <w:bottom w:val="single" w:sz="4" w:space="0" w:color="FFFFFF" w:themeColor="background1"/>
            </w:tcBorders>
            <w:shd w:val="clear" w:color="auto" w:fill="E2E2E2"/>
          </w:tcPr>
          <w:p w:rsidR="001430A4" w:rsidRPr="00B3703A" w:rsidRDefault="001430A4" w:rsidP="00984BE6">
            <w:pPr>
              <w:rPr>
                <w:rFonts w:ascii="Times New Roman" w:hAnsi="Times New Roman" w:cs="Times New Roman"/>
              </w:rPr>
            </w:pPr>
          </w:p>
        </w:tc>
        <w:sdt>
          <w:sdtPr>
            <w:id w:val="-145588339"/>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1430A4" w:rsidRPr="00B3703A" w:rsidRDefault="001430A4" w:rsidP="00984BE6">
                <w:pPr>
                  <w:jc w:val="center"/>
                  <w:rPr>
                    <w:rFonts w:ascii="Times New Roman" w:hAnsi="Times New Roman" w:cs="Times New Roman"/>
                  </w:rPr>
                </w:pPr>
                <w:r w:rsidRPr="00B3703A">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1430A4" w:rsidRPr="00B3703A" w:rsidRDefault="001430A4" w:rsidP="00984BE6">
            <w:pPr>
              <w:ind w:left="175" w:hanging="175"/>
              <w:rPr>
                <w:rFonts w:ascii="Times New Roman" w:hAnsi="Times New Roman" w:cs="Times New Roman"/>
              </w:rPr>
            </w:pPr>
            <w:r w:rsidRPr="00B3703A">
              <w:rPr>
                <w:rFonts w:ascii="Times New Roman" w:hAnsi="Times New Roman" w:cs="Times New Roman"/>
              </w:rPr>
              <w:t>Materiál legislatívnej povahy</w:t>
            </w:r>
          </w:p>
        </w:tc>
      </w:tr>
      <w:tr w:rsidR="001430A4" w:rsidRPr="00B3703A" w:rsidTr="00984BE6">
        <w:tc>
          <w:tcPr>
            <w:tcW w:w="4212" w:type="dxa"/>
            <w:gridSpan w:val="2"/>
            <w:vMerge/>
            <w:tcBorders>
              <w:top w:val="nil"/>
              <w:left w:val="single" w:sz="4" w:space="0" w:color="auto"/>
              <w:bottom w:val="single" w:sz="4" w:space="0" w:color="auto"/>
            </w:tcBorders>
            <w:shd w:val="clear" w:color="auto" w:fill="E2E2E2"/>
          </w:tcPr>
          <w:p w:rsidR="001430A4" w:rsidRPr="00B3703A" w:rsidRDefault="001430A4" w:rsidP="00984BE6">
            <w:pPr>
              <w:rPr>
                <w:rFonts w:ascii="Times New Roman" w:hAnsi="Times New Roman" w:cs="Times New Roman"/>
              </w:rPr>
            </w:pPr>
          </w:p>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1430A4" w:rsidRPr="00B3703A" w:rsidRDefault="001430A4" w:rsidP="00984BE6">
                <w:pPr>
                  <w:jc w:val="center"/>
                  <w:rPr>
                    <w:rFonts w:ascii="Times New Roman" w:hAnsi="Times New Roman" w:cs="Times New Roman"/>
                  </w:rPr>
                </w:pPr>
                <w:r w:rsidRPr="00B3703A">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1430A4" w:rsidRPr="00B3703A" w:rsidRDefault="001430A4" w:rsidP="00984BE6">
            <w:pPr>
              <w:rPr>
                <w:rFonts w:ascii="Times New Roman" w:hAnsi="Times New Roman" w:cs="Times New Roman"/>
              </w:rPr>
            </w:pPr>
            <w:r w:rsidRPr="00B3703A">
              <w:rPr>
                <w:rFonts w:ascii="Times New Roman" w:hAnsi="Times New Roman" w:cs="Times New Roman"/>
              </w:rPr>
              <w:t>Transpozícia práva EÚ</w:t>
            </w:r>
          </w:p>
        </w:tc>
      </w:tr>
      <w:tr w:rsidR="001430A4" w:rsidRPr="00B3703A" w:rsidTr="00984BE6">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1430A4" w:rsidRPr="00B3703A" w:rsidRDefault="001430A4" w:rsidP="004A302C">
            <w:pPr>
              <w:jc w:val="both"/>
              <w:rPr>
                <w:rFonts w:ascii="Times New Roman" w:hAnsi="Times New Roman" w:cs="Times New Roman"/>
              </w:rPr>
            </w:pPr>
            <w:r w:rsidRPr="00B3703A">
              <w:rPr>
                <w:rFonts w:ascii="Times New Roman" w:hAnsi="Times New Roman" w:cs="Times New Roman"/>
              </w:rPr>
              <w:t xml:space="preserve">Smernica Európskeho parlamentu a Rady (EÚ) 2015/2302 z 25. novembra 2015 o balíkoch cestovných služieb a spojených cestovných službách, ktorou sa mení nariadenie Európskeho parlamentu a Rady (ES) č. 2006/2004 a smernica Európskeho parlamentu a Rady 2011/83/EÚ </w:t>
            </w:r>
            <w:r w:rsidR="004A302C">
              <w:rPr>
                <w:rFonts w:ascii="Times New Roman" w:hAnsi="Times New Roman" w:cs="Times New Roman"/>
              </w:rPr>
              <w:t xml:space="preserve">                          </w:t>
            </w:r>
            <w:r w:rsidRPr="00B3703A">
              <w:rPr>
                <w:rFonts w:ascii="Times New Roman" w:hAnsi="Times New Roman" w:cs="Times New Roman"/>
              </w:rPr>
              <w:t>a ktorou sa zrušuje smernica Rady 90/314/EHS</w:t>
            </w:r>
          </w:p>
          <w:p w:rsidR="001430A4" w:rsidRPr="00B3703A" w:rsidRDefault="001430A4" w:rsidP="00984BE6">
            <w:pPr>
              <w:rPr>
                <w:rFonts w:ascii="Times New Roman" w:hAnsi="Times New Roman" w:cs="Times New Roman"/>
              </w:rPr>
            </w:pPr>
          </w:p>
        </w:tc>
      </w:tr>
      <w:tr w:rsidR="001430A4" w:rsidRPr="00B3703A" w:rsidTr="00984BE6">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1430A4" w:rsidRPr="00B3703A" w:rsidRDefault="001430A4" w:rsidP="00984BE6">
            <w:pPr>
              <w:pStyle w:val="Odsekzoznamu"/>
              <w:ind w:left="142"/>
              <w:rPr>
                <w:rFonts w:ascii="Times New Roman" w:hAnsi="Times New Roman" w:cs="Times New Roman"/>
                <w:b/>
              </w:rPr>
            </w:pPr>
            <w:r w:rsidRPr="00B3703A">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1430A4" w:rsidRPr="00B3703A" w:rsidRDefault="001430A4" w:rsidP="00984BE6">
            <w:pPr>
              <w:rPr>
                <w:rFonts w:ascii="Times New Roman" w:hAnsi="Times New Roman" w:cs="Times New Roman"/>
              </w:rPr>
            </w:pPr>
            <w:r w:rsidRPr="00B3703A">
              <w:rPr>
                <w:rFonts w:ascii="Times New Roman" w:hAnsi="Times New Roman" w:cs="Times New Roman"/>
              </w:rPr>
              <w:t>30.10.2017 – 6.11.2017</w:t>
            </w:r>
          </w:p>
        </w:tc>
      </w:tr>
      <w:tr w:rsidR="001430A4" w:rsidRPr="00B3703A" w:rsidTr="00984BE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984BE6">
            <w:pPr>
              <w:pStyle w:val="Odsekzoznamu"/>
              <w:ind w:left="142"/>
              <w:rPr>
                <w:rFonts w:ascii="Times New Roman" w:hAnsi="Times New Roman" w:cs="Times New Roman"/>
                <w:b/>
              </w:rPr>
            </w:pPr>
            <w:r w:rsidRPr="00B3703A">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1430A4" w:rsidRPr="00B3703A" w:rsidRDefault="001430A4" w:rsidP="00984BE6">
            <w:pPr>
              <w:rPr>
                <w:rFonts w:ascii="Times New Roman" w:hAnsi="Times New Roman" w:cs="Times New Roman"/>
              </w:rPr>
            </w:pPr>
            <w:r w:rsidRPr="00B3703A">
              <w:rPr>
                <w:rFonts w:ascii="Times New Roman" w:hAnsi="Times New Roman" w:cs="Times New Roman"/>
              </w:rPr>
              <w:t>15.11.2017</w:t>
            </w:r>
          </w:p>
        </w:tc>
      </w:tr>
      <w:tr w:rsidR="001430A4" w:rsidRPr="00B3703A" w:rsidTr="00984BE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984BE6">
            <w:pPr>
              <w:pStyle w:val="Odsekzoznamu"/>
              <w:ind w:left="142"/>
              <w:rPr>
                <w:rFonts w:ascii="Times New Roman" w:hAnsi="Times New Roman" w:cs="Times New Roman"/>
                <w:b/>
              </w:rPr>
            </w:pPr>
            <w:r w:rsidRPr="00B3703A">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1430A4" w:rsidRPr="00B3703A" w:rsidRDefault="002E23B4" w:rsidP="00984BE6">
            <w:pPr>
              <w:rPr>
                <w:rFonts w:ascii="Times New Roman" w:hAnsi="Times New Roman" w:cs="Times New Roman"/>
              </w:rPr>
            </w:pPr>
            <w:r>
              <w:rPr>
                <w:rFonts w:ascii="Times New Roman" w:hAnsi="Times New Roman" w:cs="Times New Roman"/>
              </w:rPr>
              <w:t xml:space="preserve">február </w:t>
            </w:r>
            <w:r w:rsidR="001430A4" w:rsidRPr="00B3703A">
              <w:rPr>
                <w:rFonts w:ascii="Times New Roman" w:hAnsi="Times New Roman" w:cs="Times New Roman"/>
              </w:rPr>
              <w:t>2018</w:t>
            </w:r>
          </w:p>
        </w:tc>
      </w:tr>
      <w:tr w:rsidR="001430A4" w:rsidRPr="00B3703A" w:rsidTr="00984BE6">
        <w:tc>
          <w:tcPr>
            <w:tcW w:w="9180" w:type="dxa"/>
            <w:gridSpan w:val="10"/>
            <w:tcBorders>
              <w:top w:val="single" w:sz="4" w:space="0" w:color="auto"/>
              <w:left w:val="nil"/>
              <w:bottom w:val="single" w:sz="4" w:space="0" w:color="auto"/>
              <w:right w:val="nil"/>
            </w:tcBorders>
            <w:shd w:val="clear" w:color="auto" w:fill="FFFFFF" w:themeFill="background1"/>
          </w:tcPr>
          <w:p w:rsidR="001430A4" w:rsidRPr="00B3703A" w:rsidRDefault="001430A4" w:rsidP="00984BE6">
            <w:pPr>
              <w:rPr>
                <w:rFonts w:ascii="Times New Roman" w:hAnsi="Times New Roman" w:cs="Times New Roman"/>
              </w:rPr>
            </w:pPr>
          </w:p>
        </w:tc>
      </w:tr>
      <w:tr w:rsidR="001430A4" w:rsidRPr="00B3703A" w:rsidTr="00984BE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Definovanie problému</w:t>
            </w:r>
          </w:p>
        </w:tc>
      </w:tr>
      <w:tr w:rsidR="001430A4" w:rsidRPr="00B3703A" w:rsidTr="00984BE6">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 xml:space="preserve">Cestovný ruch je dôležitým odvetvím hospodárstva a zdrojom rastu v Európskej únii. V záujme zaistenia dôvery vo vysoko kvalitné služby cestovného ruchu predávané kdekoľvek na trhu v EÚ chránia právne predpisy EÚ práva cestujúcich, hlavne pokiaľ ide o zájazdy. </w:t>
            </w:r>
          </w:p>
          <w:p w:rsidR="001430A4" w:rsidRPr="00B3703A" w:rsidRDefault="001430A4" w:rsidP="00984BE6">
            <w:pPr>
              <w:jc w:val="both"/>
              <w:rPr>
                <w:rFonts w:ascii="Times New Roman" w:hAnsi="Times New Roman" w:cs="Times New Roman"/>
              </w:rPr>
            </w:pP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Odkedy bola pred 20 rokmi prijatá smernica 90/314/EHS o balíku cestovných služieb (ďalej len „predchádzajúca smernica“), sa však cestovný trh zmenil, a to najmä vďaka internetu. Keďže čoraz viac ľudí disponuje pripojením na internet, aj cestovný trh sa presúva viac online. Na predmetné zmeny je preto potrebné adekvátne reagovať a dosiahnuť, aby legislatíva držala krok s dobou a vyhovovala digitálnemu veku. V tomto novom trhovom prostredí súčasné pravidlá EÚ a národnej legislatívnej úpravy už nezodpovedajú potrebám spotrebiteľov a podnikov. Odlišné právne požiadavky v jednotlivých členských štátoch, napríklad na informácie, ktoré sa musia poskytnúť pred uzavretím zmluvy, zodpovednosť a ochranu v prípade platobnej neschopnosti, spôsobujú, že podniky len s ťažkosťami rozširujú svoje pôsobenie cez hranice. Podniky v oblasti cestovných služieb si tak už nekonkurujú za rovnakých podmienok. Odlišné predpisy v jednotlivých členských štátoch zároveň sťažujú malým spoločnostiam predaj produktov cez hranice, čo vedie k užšiemu výberu pre spotrebiteľov. Predchádzajúca smernica vytvárala aj zbytočnú byrokraciu, lebo napríklad pravidlá týkajúce sa tlačených katalógov sú zastarané. Zastaraný rozsah pôsobnosti smernice spôsobuje aj to, že spotrebitelia môžu prísť o peniaze pri nákupe produktov, na ktoré sa nevzťahuje ochrana, no spotrebitelia veria, že chránené sú.</w:t>
            </w:r>
            <w:r w:rsidRPr="00B3703A">
              <w:rPr>
                <w:rFonts w:ascii="Times New Roman" w:hAnsi="Times New Roman" w:cs="Times New Roman"/>
              </w:rPr>
              <w:cr/>
            </w: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 xml:space="preserve">Predchádzajúca smernica bola prijatá v čase, keď ľudia navštevovali cestovné kancelárie, aby si v nich kúpili svoje dovolenky zvyčajne ako „hotové“ riešenia, ktoré zahŕňali všetky aspekty. Hoci aj teraz si časť cestujúcich naďalej kupuje tradičné zájazdy, čoraz viac ľudí si kupuje jednotlivé časti cesty samostatne alebo si kupujú </w:t>
            </w:r>
            <w:proofErr w:type="spellStart"/>
            <w:r w:rsidRPr="00B3703A">
              <w:rPr>
                <w:rFonts w:ascii="Times New Roman" w:hAnsi="Times New Roman" w:cs="Times New Roman"/>
              </w:rPr>
              <w:t>personalizované</w:t>
            </w:r>
            <w:proofErr w:type="spellEnd"/>
            <w:r w:rsidRPr="00B3703A">
              <w:rPr>
                <w:rFonts w:ascii="Times New Roman" w:hAnsi="Times New Roman" w:cs="Times New Roman"/>
              </w:rPr>
              <w:t xml:space="preserve"> dovolenky, ktoré sú zostavené jedným alebo viacerými navzájom prepojenými obchodníkmi a ktoré vyhovujú ich potrebám a preferenciám. Je potrebné poznamenať, že tento formát dovolenky typický pre on-line predaj, je dostupný aj </w:t>
            </w:r>
            <w:r w:rsidR="004A302C">
              <w:rPr>
                <w:rFonts w:ascii="Times New Roman" w:hAnsi="Times New Roman" w:cs="Times New Roman"/>
              </w:rPr>
              <w:t xml:space="preserve">                             </w:t>
            </w:r>
            <w:r w:rsidRPr="00B3703A">
              <w:rPr>
                <w:rFonts w:ascii="Times New Roman" w:hAnsi="Times New Roman" w:cs="Times New Roman"/>
              </w:rPr>
              <w:t xml:space="preserve">v pobočkách cestovných kancelárií, ktoré takéto dovolenky zostavujú pre svojich zákazníkov. </w:t>
            </w:r>
            <w:r w:rsidR="004A302C">
              <w:rPr>
                <w:rFonts w:ascii="Times New Roman" w:hAnsi="Times New Roman" w:cs="Times New Roman"/>
              </w:rPr>
              <w:t xml:space="preserve">                           </w:t>
            </w:r>
            <w:r w:rsidRPr="00B3703A">
              <w:rPr>
                <w:rFonts w:ascii="Times New Roman" w:hAnsi="Times New Roman" w:cs="Times New Roman"/>
              </w:rPr>
              <w:lastRenderedPageBreak/>
              <w:t>S príchodom nových druhov dovoleniek vznikajú nejasnosti, pretože podniky ani spotrebitelia si nemusia byť istí, či sa na nich vzťahujú dané právne predpisy. Ich súčasťou sú služby</w:t>
            </w:r>
            <w:r w:rsidR="002176A9">
              <w:rPr>
                <w:rFonts w:ascii="Times New Roman" w:hAnsi="Times New Roman" w:cs="Times New Roman"/>
              </w:rPr>
              <w:t xml:space="preserve"> cestovného ruchu</w:t>
            </w:r>
            <w:r w:rsidRPr="00B3703A">
              <w:rPr>
                <w:rFonts w:ascii="Times New Roman" w:hAnsi="Times New Roman" w:cs="Times New Roman"/>
              </w:rPr>
              <w:t>, ktoré vykazujú prvky, ktoré si cestujúci zvyčajne spájajú so zájazdmi, ako aj služby, v prípade ktorých obchodník ponúkajúci služby cestovného ruchu len uľahčuje samostatnú rezerváciu inej služby cestovného ruchu. Všeobecná ochrana spotrebiteľa a pravidlá týkajúce sa práv cestujúcich, ktoré sa uplatňujú na jednotlivé služby cestovného ruchu, nevyhovujú novým kombinovaným službám</w:t>
            </w:r>
            <w:r w:rsidR="002176A9">
              <w:rPr>
                <w:rFonts w:ascii="Times New Roman" w:hAnsi="Times New Roman" w:cs="Times New Roman"/>
              </w:rPr>
              <w:t xml:space="preserve"> cestovného ruchu</w:t>
            </w:r>
            <w:r w:rsidRPr="00B3703A">
              <w:rPr>
                <w:rFonts w:ascii="Times New Roman" w:hAnsi="Times New Roman" w:cs="Times New Roman"/>
              </w:rPr>
              <w:t xml:space="preserve">. Preto sú jednoznačne potrebné nové právne predpisy, ktoré by sa tým zaoberali. </w:t>
            </w:r>
          </w:p>
          <w:p w:rsidR="001430A4" w:rsidRPr="00B3703A" w:rsidRDefault="001430A4" w:rsidP="00984BE6">
            <w:pPr>
              <w:jc w:val="both"/>
              <w:rPr>
                <w:rFonts w:ascii="Times New Roman" w:hAnsi="Times New Roman" w:cs="Times New Roman"/>
              </w:rPr>
            </w:pP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V súlade so stratégiou EÚ pre cestovný ruch transpozícia smernice pomôže posilniť európsky cestovný ruch tým, že prispôsobí existujúce pravidlá zmenenému správaniu spotrebiteľov tak, ako to bolo oznámené v Európskom programe pre spotrebiteľov a zopakované v druhej správe o občianstve EÚ. Zahrnutie nových kombinácií služieb cestovného ruchu do rozsahu pôsobnosti smernice a národnej legislatívy by malo zvýšiť dôveru a spokojnosť cestujúcich. Modernizácia právnych predpisov a ich prispôsobenie ére internetu by teda priniesli hmatateľné výhody.</w:t>
            </w:r>
          </w:p>
          <w:p w:rsidR="001430A4" w:rsidRPr="00B3703A" w:rsidRDefault="001430A4" w:rsidP="00984BE6">
            <w:pPr>
              <w:rPr>
                <w:rFonts w:ascii="Times New Roman" w:hAnsi="Times New Roman" w:cs="Times New Roman"/>
                <w:b/>
              </w:rPr>
            </w:pPr>
          </w:p>
        </w:tc>
      </w:tr>
      <w:tr w:rsidR="001430A4" w:rsidRPr="00B3703A" w:rsidTr="00984BE6">
        <w:tc>
          <w:tcPr>
            <w:tcW w:w="9180" w:type="dxa"/>
            <w:gridSpan w:val="10"/>
            <w:tcBorders>
              <w:top w:val="single" w:sz="4" w:space="0" w:color="auto"/>
              <w:left w:val="single" w:sz="4" w:space="0" w:color="auto"/>
              <w:bottom w:val="nil"/>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lastRenderedPageBreak/>
              <w:t>Ciele a výsledný stav</w:t>
            </w:r>
          </w:p>
        </w:tc>
      </w:tr>
      <w:tr w:rsidR="001430A4" w:rsidRPr="00B3703A" w:rsidTr="00984BE6">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Cieľom pravidiel EÚ je zaistiť, aby spotrebitelia, ktorí sú, hlavne keď cestujú, najzraniteľnejšou zmluvnou stranou, mohli využívať všeobecný súbor práv, ktoré obmedzia výskyt a závažnosť problémov a garantujú prijateľné služby v celej EÚ. Pri kúpe zájazdov sa na nich vzťahuje zvláštna ochrana. Zákon ponúka komplexnú ochranu, ktorá nie je k dispozícii osobám, ktoré kupujú samostatné služby cestovného ruchu, a to tým, že za riadne plnenie všetkých služieb zahrnutých zájazde určuje za zodpovednú jedinú cestovnú kanceláriu a zároveň vyžaduje, aby boli cestujúcim využívajúcim zájazd v prípade úpadku zodpovednej cestovnej kancelárie vrátené peniaze a aby bol zabezpečený ich návrat späť do vlasti.</w:t>
            </w:r>
          </w:p>
          <w:p w:rsidR="001430A4" w:rsidRPr="00B3703A" w:rsidRDefault="001430A4" w:rsidP="00984BE6">
            <w:pPr>
              <w:jc w:val="both"/>
              <w:rPr>
                <w:rFonts w:ascii="Times New Roman" w:hAnsi="Times New Roman" w:cs="Times New Roman"/>
              </w:rPr>
            </w:pP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 xml:space="preserve">Práva cestujúcich sú založené na troch hlavných zásadách: </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 xml:space="preserve">nediskriminácia, </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 xml:space="preserve">presné a včasné informácie a </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 xml:space="preserve">okamžitá a zodpovedajúca pomoc. </w:t>
            </w:r>
          </w:p>
          <w:p w:rsidR="001430A4" w:rsidRPr="00B3703A" w:rsidRDefault="001430A4" w:rsidP="00984BE6">
            <w:pPr>
              <w:widowControl w:val="0"/>
              <w:spacing w:after="120" w:line="276" w:lineRule="auto"/>
              <w:jc w:val="both"/>
              <w:rPr>
                <w:rFonts w:ascii="Times New Roman" w:hAnsi="Times New Roman" w:cs="Times New Roman"/>
              </w:rPr>
            </w:pPr>
            <w:r w:rsidRPr="00B3703A">
              <w:rPr>
                <w:rFonts w:ascii="Times New Roman" w:hAnsi="Times New Roman" w:cs="Times New Roman"/>
              </w:rPr>
              <w:t xml:space="preserve">Z dôvodu, že ide o transpozíciu, zákon obsahuje definície a vymedzenia prevzaté zo smernice, ktoré budú mať všetky členské štáty Európskej únie zhodné, a teda cezhraničný predaj zájazdov bude jednoduchší pokiaľ ide o legislatívny rámec. </w:t>
            </w:r>
          </w:p>
          <w:p w:rsidR="001430A4" w:rsidRPr="00B3703A" w:rsidRDefault="001430A4" w:rsidP="00984BE6">
            <w:pPr>
              <w:widowControl w:val="0"/>
              <w:spacing w:after="120" w:line="276" w:lineRule="auto"/>
              <w:jc w:val="both"/>
              <w:rPr>
                <w:rFonts w:ascii="Times New Roman" w:hAnsi="Times New Roman" w:cs="Times New Roman"/>
              </w:rPr>
            </w:pPr>
            <w:r w:rsidRPr="00B3703A">
              <w:rPr>
                <w:rFonts w:ascii="Times New Roman" w:hAnsi="Times New Roman" w:cs="Times New Roman"/>
              </w:rPr>
              <w:t>Okrem iného, návrh zákona obsahuje nasledovné:</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vymedzenie zájazdov;</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nový samostatný druh služby</w:t>
            </w:r>
            <w:r w:rsidR="002176A9">
              <w:rPr>
                <w:rFonts w:ascii="Times New Roman" w:hAnsi="Times New Roman" w:cs="Times New Roman"/>
              </w:rPr>
              <w:t xml:space="preserve"> cestovného ruchu</w:t>
            </w:r>
            <w:r w:rsidRPr="00B3703A">
              <w:rPr>
                <w:rFonts w:ascii="Times New Roman" w:hAnsi="Times New Roman" w:cs="Times New Roman"/>
              </w:rPr>
              <w:t>, ktorým bude prenájom motorových vozidiel alebo dvojkolesových vozidiel, ktoré vyžadujú vodičský preukaz skupiny A;</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pozitívne aj negatívne vymedzenie nového pojmu, ktorým sú „spojené služby</w:t>
            </w:r>
            <w:r w:rsidR="002176A9">
              <w:rPr>
                <w:rFonts w:ascii="Times New Roman" w:hAnsi="Times New Roman" w:cs="Times New Roman"/>
              </w:rPr>
              <w:t xml:space="preserve"> cestovného ruchu</w:t>
            </w:r>
            <w:r w:rsidRPr="00B3703A">
              <w:rPr>
                <w:rFonts w:ascii="Times New Roman" w:hAnsi="Times New Roman" w:cs="Times New Roman"/>
              </w:rPr>
              <w:t>“;</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povinnosť cestovných kancelárií zodpovedných za zájazdy a sprostredkujúcich spojené služby</w:t>
            </w:r>
            <w:r w:rsidR="002176A9">
              <w:rPr>
                <w:rFonts w:ascii="Times New Roman" w:hAnsi="Times New Roman" w:cs="Times New Roman"/>
              </w:rPr>
              <w:t xml:space="preserve"> cestovného ruchu</w:t>
            </w:r>
            <w:r w:rsidRPr="00B3703A">
              <w:rPr>
                <w:rFonts w:ascii="Times New Roman" w:hAnsi="Times New Roman" w:cs="Times New Roman"/>
              </w:rPr>
              <w:t xml:space="preserve"> zabezpečiť refundáciu platieb a repatriácie v prípade úpadku cestovnej kancelárie;</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možnosť výberu cestovných služieb prostredníctvom cestovnej kancelárie alebo online;</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zodpovednosť jednej cestovnej kancelárie za riadne poskytnutie zájazdu ako celku;</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 xml:space="preserve">povinnosť pre každý subjekt, ktorý bude mať záujem ponúkať služby </w:t>
            </w:r>
            <w:r w:rsidR="002176A9">
              <w:rPr>
                <w:rFonts w:ascii="Times New Roman" w:hAnsi="Times New Roman" w:cs="Times New Roman"/>
              </w:rPr>
              <w:t>cestovného ruchu</w:t>
            </w:r>
            <w:r w:rsidR="002176A9" w:rsidRPr="00B3703A">
              <w:rPr>
                <w:rFonts w:ascii="Times New Roman" w:hAnsi="Times New Roman" w:cs="Times New Roman"/>
              </w:rPr>
              <w:t xml:space="preserve"> </w:t>
            </w:r>
            <w:r w:rsidRPr="00B3703A">
              <w:rPr>
                <w:rFonts w:ascii="Times New Roman" w:hAnsi="Times New Roman" w:cs="Times New Roman"/>
              </w:rPr>
              <w:t>tvoriace zájazd, prípadne sprostredkovať spojené služby</w:t>
            </w:r>
            <w:r w:rsidR="002176A9">
              <w:rPr>
                <w:rFonts w:ascii="Times New Roman" w:hAnsi="Times New Roman" w:cs="Times New Roman"/>
              </w:rPr>
              <w:t xml:space="preserve"> cestovného ruchu</w:t>
            </w:r>
            <w:r w:rsidRPr="00B3703A">
              <w:rPr>
                <w:rFonts w:ascii="Times New Roman" w:hAnsi="Times New Roman" w:cs="Times New Roman"/>
              </w:rPr>
              <w:t>, vykonávať tieto činnosti iba v postavení cestovnej kancelárie a výlučne na základe živnostenského oprávnenia;</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 xml:space="preserve">povinnosť každej cestovnej kancelárie mať zabezpečenú ochranu pre prípad úpadku v podobe poistenia alebo bankovej záruky po celý čas prevádzkovania cestovnej </w:t>
            </w:r>
            <w:r w:rsidR="008E6455" w:rsidRPr="00B3703A">
              <w:rPr>
                <w:rFonts w:ascii="Times New Roman" w:hAnsi="Times New Roman" w:cs="Times New Roman"/>
              </w:rPr>
              <w:t>kancelárie</w:t>
            </w:r>
            <w:r w:rsidRPr="00B3703A">
              <w:rPr>
                <w:rFonts w:ascii="Times New Roman" w:hAnsi="Times New Roman" w:cs="Times New Roman"/>
              </w:rPr>
              <w:t xml:space="preserve"> v dostatočnej výške, aby boli v prípade úpadku uspokojené všetky nároky cestujúcich;</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 xml:space="preserve">posilnenie informačnej povinnosti cestovných kancelárií voči cestujúcim, nakoľko navrhovaný zákon bude obsahovať taxatívny výpočet informácií, ktoré má cestovná kancelária alebo cestovná agentúra poskytnúť cestujúcemu pred tým, ako sa cestujúci zaviaže zmluvou o zájazde alebo inou </w:t>
            </w:r>
            <w:r w:rsidRPr="00B3703A">
              <w:rPr>
                <w:rFonts w:ascii="Times New Roman" w:hAnsi="Times New Roman" w:cs="Times New Roman"/>
              </w:rPr>
              <w:lastRenderedPageBreak/>
              <w:t>zodpovedajúcou ponukou;</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definícia jednotlivých možností zmien v zmluve o zájazde pred začiatkom poskytovania zájazdu, napr.: postúpenie zmluvy o zájazde inému cestujúcemu, zmenu ceny zájazdu, zmenu iných podmienok zmluvy o zájazde, či ukončenie zmluvy o zájazde pred začiatkom poskytovania zájazdu;</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zvýšenie zodpovednosti cestovných kancelárií vo vzťahu k predávaným zájazdom a sprostredkovaným spojeným službám</w:t>
            </w:r>
            <w:r w:rsidR="002176A9">
              <w:rPr>
                <w:rFonts w:ascii="Times New Roman" w:hAnsi="Times New Roman" w:cs="Times New Roman"/>
              </w:rPr>
              <w:t xml:space="preserve"> cestovného ruchu</w:t>
            </w:r>
            <w:r w:rsidRPr="00B3703A">
              <w:rPr>
                <w:rFonts w:ascii="Times New Roman" w:hAnsi="Times New Roman" w:cs="Times New Roman"/>
              </w:rPr>
              <w:t>;</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úprava možností zníženia ceny, náhradu škody, nadviazania kontaktu s cestovnou kanceláriou prostredníctvom cestovnej agentúry či povinnosť cestovnej kancelárie poskytnúť cestujúcim v ťažkostiach pomoc;</w:t>
            </w:r>
          </w:p>
          <w:p w:rsidR="001430A4" w:rsidRPr="00B3703A" w:rsidRDefault="001430A4" w:rsidP="001430A4">
            <w:pPr>
              <w:pStyle w:val="Odsekzoznamu"/>
              <w:numPr>
                <w:ilvl w:val="0"/>
                <w:numId w:val="1"/>
              </w:numPr>
              <w:tabs>
                <w:tab w:val="clear" w:pos="360"/>
                <w:tab w:val="num" w:pos="284"/>
              </w:tabs>
              <w:ind w:left="284" w:hanging="284"/>
              <w:jc w:val="both"/>
              <w:rPr>
                <w:rFonts w:ascii="Times New Roman" w:hAnsi="Times New Roman" w:cs="Times New Roman"/>
              </w:rPr>
            </w:pPr>
            <w:r w:rsidRPr="00B3703A">
              <w:rPr>
                <w:rFonts w:ascii="Times New Roman" w:hAnsi="Times New Roman" w:cs="Times New Roman"/>
              </w:rPr>
              <w:t>uverejňovanie zoznamu cestovných kancelárií spoločne so zákonom stanovenými údajmi.</w:t>
            </w: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Cestujúci musia byť ešte pred odjazdom správne informovaní o svojich právach, majú nárok na náhradu alebo presmerovanie v prípade akéhokoľvek narušenia ich cesty a musí im byť poskytnutá pomoc a za určitých podmienok aj odškodnenie.</w:t>
            </w:r>
          </w:p>
          <w:p w:rsidR="001430A4" w:rsidRPr="00B3703A" w:rsidRDefault="001430A4" w:rsidP="00984BE6">
            <w:pPr>
              <w:rPr>
                <w:rFonts w:ascii="Times New Roman" w:hAnsi="Times New Roman" w:cs="Times New Roman"/>
              </w:rPr>
            </w:pPr>
          </w:p>
        </w:tc>
      </w:tr>
      <w:tr w:rsidR="001430A4" w:rsidRPr="00B3703A" w:rsidTr="00984BE6">
        <w:tc>
          <w:tcPr>
            <w:tcW w:w="9180" w:type="dxa"/>
            <w:gridSpan w:val="10"/>
            <w:tcBorders>
              <w:top w:val="single" w:sz="4" w:space="0" w:color="auto"/>
              <w:left w:val="single" w:sz="4" w:space="0" w:color="auto"/>
              <w:bottom w:val="nil"/>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lastRenderedPageBreak/>
              <w:t>Dotknuté subjekty</w:t>
            </w:r>
          </w:p>
        </w:tc>
      </w:tr>
      <w:tr w:rsidR="001430A4" w:rsidRPr="00B3703A" w:rsidTr="00984BE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rPr>
                <w:rFonts w:ascii="Times New Roman" w:hAnsi="Times New Roman" w:cs="Times New Roman"/>
              </w:rPr>
            </w:pPr>
            <w:r w:rsidRPr="00B3703A">
              <w:rPr>
                <w:rFonts w:ascii="Times New Roman" w:hAnsi="Times New Roman" w:cs="Times New Roman"/>
              </w:rPr>
              <w:t>Štátne orgány – Ministerstvo dopravy a výstavby Slovenskej republiky, Slovenská obchodná inšpekcia, Národná banka Slovenska, živnostenské úrady.</w:t>
            </w:r>
          </w:p>
          <w:p w:rsidR="001430A4" w:rsidRPr="00B3703A" w:rsidRDefault="001430A4" w:rsidP="00984BE6">
            <w:pPr>
              <w:rPr>
                <w:rFonts w:ascii="Times New Roman" w:hAnsi="Times New Roman" w:cs="Times New Roman"/>
              </w:rPr>
            </w:pPr>
          </w:p>
          <w:p w:rsidR="001430A4" w:rsidRPr="00B3703A" w:rsidRDefault="001430A4" w:rsidP="00984BE6">
            <w:pPr>
              <w:rPr>
                <w:rFonts w:ascii="Times New Roman" w:hAnsi="Times New Roman" w:cs="Times New Roman"/>
              </w:rPr>
            </w:pPr>
            <w:r w:rsidRPr="00B3703A">
              <w:rPr>
                <w:rFonts w:ascii="Times New Roman" w:hAnsi="Times New Roman" w:cs="Times New Roman"/>
              </w:rPr>
              <w:t>Podnikatelia – obchodné spoločnosti, samostatne zárobkovo činné osoby (a iné subjekty), ktoré budú disponovať oprávnením na prevádzkovanie cestovnej kancelárie alebo cestovnej agentúry, banky, poisťovne.</w:t>
            </w:r>
          </w:p>
          <w:p w:rsidR="001430A4" w:rsidRPr="00B3703A" w:rsidRDefault="001430A4" w:rsidP="00984BE6">
            <w:pPr>
              <w:rPr>
                <w:rFonts w:ascii="Times New Roman" w:hAnsi="Times New Roman" w:cs="Times New Roman"/>
              </w:rPr>
            </w:pPr>
          </w:p>
          <w:p w:rsidR="001430A4" w:rsidRPr="00B3703A" w:rsidRDefault="001430A4" w:rsidP="00984BE6">
            <w:pPr>
              <w:rPr>
                <w:rFonts w:ascii="Times New Roman" w:hAnsi="Times New Roman" w:cs="Times New Roman"/>
              </w:rPr>
            </w:pPr>
            <w:r w:rsidRPr="00B3703A">
              <w:rPr>
                <w:rFonts w:ascii="Times New Roman" w:hAnsi="Times New Roman" w:cs="Times New Roman"/>
              </w:rPr>
              <w:t xml:space="preserve">Cestujúci – spotrebitelia </w:t>
            </w:r>
          </w:p>
          <w:p w:rsidR="001430A4" w:rsidRPr="00B3703A" w:rsidRDefault="001430A4" w:rsidP="00984BE6">
            <w:pPr>
              <w:rPr>
                <w:rFonts w:ascii="Times New Roman" w:hAnsi="Times New Roman" w:cs="Times New Roman"/>
                <w:i/>
              </w:rPr>
            </w:pPr>
          </w:p>
        </w:tc>
      </w:tr>
      <w:tr w:rsidR="001430A4" w:rsidRPr="00B3703A" w:rsidTr="00984BE6">
        <w:tc>
          <w:tcPr>
            <w:tcW w:w="9180" w:type="dxa"/>
            <w:gridSpan w:val="10"/>
            <w:tcBorders>
              <w:top w:val="single" w:sz="4" w:space="0" w:color="auto"/>
              <w:left w:val="single" w:sz="4" w:space="0" w:color="auto"/>
              <w:bottom w:val="nil"/>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Alternatívne riešenia</w:t>
            </w:r>
          </w:p>
        </w:tc>
      </w:tr>
      <w:tr w:rsidR="001430A4" w:rsidRPr="00B3703A" w:rsidTr="00984BE6">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rPr>
                <w:rFonts w:ascii="Times New Roman" w:hAnsi="Times New Roman" w:cs="Times New Roman"/>
                <w:i/>
              </w:rPr>
            </w:pPr>
            <w:r w:rsidRPr="00B3703A">
              <w:rPr>
                <w:rFonts w:ascii="Times New Roman" w:hAnsi="Times New Roman" w:cs="Times New Roman"/>
              </w:rPr>
              <w:t>Keďže smernica vyžaduje úplnú harmonizáciu neboli v rámci transpozície smernice skúmané alternatívne riešenia.</w:t>
            </w:r>
          </w:p>
        </w:tc>
      </w:tr>
      <w:tr w:rsidR="001430A4" w:rsidRPr="00B3703A" w:rsidTr="00984BE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Vykonávacie predpisy</w:t>
            </w:r>
          </w:p>
        </w:tc>
      </w:tr>
      <w:tr w:rsidR="001430A4" w:rsidRPr="00B3703A" w:rsidTr="00984BE6">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1430A4" w:rsidRPr="00B3703A" w:rsidRDefault="001430A4" w:rsidP="00984BE6">
            <w:pPr>
              <w:rPr>
                <w:rFonts w:ascii="Times New Roman" w:hAnsi="Times New Roman" w:cs="Times New Roman"/>
                <w:i/>
              </w:rPr>
            </w:pPr>
            <w:r w:rsidRPr="00B3703A">
              <w:rPr>
                <w:rFonts w:ascii="Times New Roman" w:hAnsi="Times New Roman" w:cs="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1430A4" w:rsidRPr="00B3703A" w:rsidRDefault="004A302C" w:rsidP="00984BE6">
            <w:pPr>
              <w:jc w:val="center"/>
              <w:rPr>
                <w:rFonts w:ascii="Times New Roman" w:hAnsi="Times New Roman" w:cs="Times New Roman"/>
              </w:rPr>
            </w:pPr>
            <w:sdt>
              <w:sdtPr>
                <w:id w:val="-1407611648"/>
                <w14:checkbox>
                  <w14:checked w14:val="0"/>
                  <w14:checkedState w14:val="2612" w14:font="MS Gothic"/>
                  <w14:uncheckedState w14:val="2610" w14:font="MS Gothic"/>
                </w14:checkbox>
              </w:sdtPr>
              <w:sdtEndPr/>
              <w:sdtContent>
                <w:r w:rsidR="001430A4" w:rsidRPr="00B3703A">
                  <w:rPr>
                    <w:rFonts w:ascii="MS Mincho" w:eastAsia="MS Mincho" w:hAnsi="MS Mincho" w:cs="MS Mincho" w:hint="eastAsia"/>
                  </w:rPr>
                  <w:t>☐</w:t>
                </w:r>
              </w:sdtContent>
            </w:sdt>
            <w:r w:rsidR="001430A4" w:rsidRPr="00B3703A">
              <w:rPr>
                <w:rFonts w:ascii="Times New Roman" w:hAnsi="Times New Roman" w:cs="Times New Roman"/>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1430A4" w:rsidRPr="00B3703A" w:rsidRDefault="004A302C" w:rsidP="00984BE6">
            <w:pPr>
              <w:jc w:val="center"/>
              <w:rPr>
                <w:rFonts w:ascii="Times New Roman" w:hAnsi="Times New Roman" w:cs="Times New Roman"/>
              </w:rPr>
            </w:pPr>
            <w:sdt>
              <w:sdtPr>
                <w:id w:val="-1625842802"/>
                <w14:checkbox>
                  <w14:checked w14:val="1"/>
                  <w14:checkedState w14:val="2612" w14:font="MS Gothic"/>
                  <w14:uncheckedState w14:val="2610" w14:font="MS Gothic"/>
                </w14:checkbox>
              </w:sdtPr>
              <w:sdtEndPr/>
              <w:sdtContent>
                <w:r w:rsidR="001430A4" w:rsidRPr="00B3703A">
                  <w:rPr>
                    <w:rFonts w:ascii="MS Mincho" w:eastAsia="MS Mincho" w:hAnsi="MS Mincho" w:cs="MS Mincho" w:hint="eastAsia"/>
                  </w:rPr>
                  <w:t>☒</w:t>
                </w:r>
              </w:sdtContent>
            </w:sdt>
            <w:r w:rsidR="001430A4" w:rsidRPr="00B3703A">
              <w:rPr>
                <w:rFonts w:ascii="Times New Roman" w:hAnsi="Times New Roman" w:cs="Times New Roman"/>
              </w:rPr>
              <w:t xml:space="preserve">  Nie</w:t>
            </w:r>
          </w:p>
        </w:tc>
      </w:tr>
      <w:tr w:rsidR="001430A4" w:rsidRPr="00B3703A" w:rsidTr="00984BE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rPr>
                <w:rFonts w:ascii="Times New Roman" w:hAnsi="Times New Roman" w:cs="Times New Roman"/>
              </w:rPr>
            </w:pPr>
          </w:p>
        </w:tc>
      </w:tr>
      <w:tr w:rsidR="001430A4" w:rsidRPr="00B3703A" w:rsidTr="00984BE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 xml:space="preserve">Transpozícia práva EÚ </w:t>
            </w:r>
          </w:p>
        </w:tc>
      </w:tr>
      <w:tr w:rsidR="001430A4" w:rsidRPr="00B3703A" w:rsidTr="00984BE6">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1430A4" w:rsidRPr="00B3703A" w:rsidRDefault="001430A4" w:rsidP="00984BE6">
            <w:pPr>
              <w:rPr>
                <w:rFonts w:ascii="Times New Roman" w:hAnsi="Times New Roman" w:cs="Times New Roman"/>
              </w:rPr>
            </w:pPr>
            <w:r w:rsidRPr="00B3703A">
              <w:rPr>
                <w:rFonts w:ascii="Times New Roman" w:hAnsi="Times New Roman" w:cs="Times New Roman"/>
              </w:rPr>
              <w:t>Ustanovenia transponujúce smernicu do národnej legislatívy a ustanovenia upravujúce tzv. národné voľby nejdú nad rámec minimálnych požiadaviek EÚ, a to aj z dôvodu úplnej harmonizácie.</w:t>
            </w:r>
          </w:p>
        </w:tc>
      </w:tr>
      <w:tr w:rsidR="001430A4" w:rsidRPr="00B3703A" w:rsidTr="00984BE6">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1430A4" w:rsidRPr="00B3703A" w:rsidRDefault="001430A4" w:rsidP="00984BE6">
            <w:pPr>
              <w:jc w:val="center"/>
              <w:rPr>
                <w:rFonts w:ascii="Times New Roman" w:hAnsi="Times New Roman" w:cs="Times New Roman"/>
              </w:rPr>
            </w:pPr>
          </w:p>
        </w:tc>
      </w:tr>
      <w:tr w:rsidR="001430A4" w:rsidRPr="00B3703A" w:rsidTr="00984BE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Preskúmanie účelnosti**</w:t>
            </w:r>
          </w:p>
        </w:tc>
      </w:tr>
      <w:tr w:rsidR="001430A4" w:rsidRPr="00B3703A" w:rsidTr="00984BE6">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rPr>
                <w:rFonts w:ascii="Times New Roman" w:hAnsi="Times New Roman" w:cs="Times New Roman"/>
                <w:i/>
              </w:rPr>
            </w:pPr>
          </w:p>
        </w:tc>
      </w:tr>
      <w:tr w:rsidR="001430A4" w:rsidRPr="00B3703A" w:rsidTr="00984BE6">
        <w:trPr>
          <w:trHeight w:val="715"/>
        </w:trPr>
        <w:tc>
          <w:tcPr>
            <w:tcW w:w="9180" w:type="dxa"/>
            <w:gridSpan w:val="10"/>
            <w:tcBorders>
              <w:top w:val="single" w:sz="4" w:space="0" w:color="auto"/>
              <w:left w:val="nil"/>
              <w:bottom w:val="nil"/>
              <w:right w:val="nil"/>
            </w:tcBorders>
            <w:shd w:val="clear" w:color="auto" w:fill="FFFFFF" w:themeFill="background1"/>
          </w:tcPr>
          <w:p w:rsidR="001430A4" w:rsidRPr="00B3703A" w:rsidRDefault="001430A4" w:rsidP="00984BE6">
            <w:pPr>
              <w:ind w:left="142" w:hanging="142"/>
              <w:rPr>
                <w:rFonts w:ascii="Times New Roman" w:hAnsi="Times New Roman" w:cs="Times New Roman"/>
              </w:rPr>
            </w:pPr>
          </w:p>
          <w:p w:rsidR="001430A4" w:rsidRPr="00B3703A" w:rsidRDefault="001430A4" w:rsidP="00984BE6">
            <w:pPr>
              <w:rPr>
                <w:rFonts w:ascii="Times New Roman" w:hAnsi="Times New Roman" w:cs="Times New Roman"/>
              </w:rPr>
            </w:pPr>
          </w:p>
        </w:tc>
      </w:tr>
      <w:tr w:rsidR="001430A4" w:rsidRPr="00B3703A" w:rsidTr="00984BE6">
        <w:tc>
          <w:tcPr>
            <w:tcW w:w="9180" w:type="dxa"/>
            <w:gridSpan w:val="10"/>
            <w:tcBorders>
              <w:top w:val="nil"/>
              <w:left w:val="nil"/>
              <w:bottom w:val="single" w:sz="4" w:space="0" w:color="auto"/>
              <w:right w:val="nil"/>
            </w:tcBorders>
            <w:shd w:val="clear" w:color="auto" w:fill="FFFFFF" w:themeFill="background1"/>
          </w:tcPr>
          <w:p w:rsidR="001430A4" w:rsidRPr="00B3703A" w:rsidRDefault="001430A4" w:rsidP="00984BE6">
            <w:pPr>
              <w:rPr>
                <w:rFonts w:ascii="Times New Roman" w:hAnsi="Times New Roman" w:cs="Times New Roman"/>
                <w:b/>
              </w:rPr>
            </w:pPr>
          </w:p>
        </w:tc>
      </w:tr>
      <w:tr w:rsidR="001430A4" w:rsidRPr="00B3703A" w:rsidTr="00984BE6">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Vplyvy navrhovaného materiálu</w:t>
            </w:r>
          </w:p>
        </w:tc>
      </w:tr>
      <w:tr w:rsidR="001430A4" w:rsidRPr="00B3703A" w:rsidTr="00984BE6">
        <w:tc>
          <w:tcPr>
            <w:tcW w:w="3812" w:type="dxa"/>
            <w:tcBorders>
              <w:top w:val="single" w:sz="4" w:space="0" w:color="auto"/>
              <w:left w:val="single" w:sz="4" w:space="0" w:color="auto"/>
              <w:bottom w:val="nil"/>
              <w:right w:val="single" w:sz="4" w:space="0" w:color="auto"/>
            </w:tcBorders>
            <w:shd w:val="clear" w:color="auto" w:fill="E2E2E2"/>
          </w:tcPr>
          <w:p w:rsidR="001430A4" w:rsidRPr="00B3703A" w:rsidRDefault="001430A4" w:rsidP="00984BE6">
            <w:pPr>
              <w:rPr>
                <w:rFonts w:ascii="Times New Roman" w:hAnsi="Times New Roman" w:cs="Times New Roman"/>
                <w:b/>
              </w:rPr>
            </w:pPr>
            <w:r w:rsidRPr="00B3703A">
              <w:rPr>
                <w:rFonts w:ascii="Times New Roman" w:hAnsi="Times New Roman" w:cs="Times New Roman"/>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430A4" w:rsidRPr="00B3703A" w:rsidRDefault="008E6455" w:rsidP="00984BE6">
                <w:pPr>
                  <w:jc w:val="center"/>
                  <w:rPr>
                    <w:rFonts w:ascii="Times New Roman" w:hAnsi="Times New Roman" w:cs="Times New Roman"/>
                    <w:b/>
                  </w:rPr>
                </w:pPr>
                <w:r w:rsidRPr="00B3703A">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b/>
              </w:rPr>
            </w:pPr>
            <w:r w:rsidRPr="00B3703A">
              <w:rPr>
                <w:rFonts w:ascii="Times New Roman" w:hAnsi="Times New Roman" w:cs="Times New Roman"/>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1430A4" w:rsidRPr="00B3703A" w:rsidRDefault="008E6455" w:rsidP="00984BE6">
                <w:pPr>
                  <w:jc w:val="center"/>
                  <w:rPr>
                    <w:rFonts w:ascii="Times New Roman" w:hAnsi="Times New Roman" w:cs="Times New Roman"/>
                    <w:b/>
                  </w:rPr>
                </w:pPr>
                <w:r w:rsidRPr="00B3703A">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b/>
              </w:rPr>
            </w:pPr>
            <w:r w:rsidRPr="00B3703A">
              <w:rPr>
                <w:rFonts w:ascii="Times New Roman" w:hAnsi="Times New Roman" w:cs="Times New Roman"/>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430A4" w:rsidRPr="00B3703A" w:rsidRDefault="001430A4" w:rsidP="00984BE6">
                <w:pPr>
                  <w:ind w:left="-107" w:right="-108"/>
                  <w:jc w:val="center"/>
                  <w:rPr>
                    <w:rFonts w:ascii="Times New Roman" w:hAnsi="Times New Roman" w:cs="Times New Roman"/>
                    <w:b/>
                  </w:rPr>
                </w:pPr>
                <w:r w:rsidRPr="00B3703A">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1430A4" w:rsidRPr="00B3703A" w:rsidRDefault="001430A4" w:rsidP="00984BE6">
            <w:pPr>
              <w:ind w:left="34"/>
              <w:rPr>
                <w:rFonts w:ascii="Times New Roman" w:hAnsi="Times New Roman" w:cs="Times New Roman"/>
                <w:b/>
              </w:rPr>
            </w:pPr>
            <w:r w:rsidRPr="00B3703A">
              <w:rPr>
                <w:rFonts w:ascii="Times New Roman" w:hAnsi="Times New Roman" w:cs="Times New Roman"/>
                <w:b/>
              </w:rPr>
              <w:t>Negatívne</w:t>
            </w:r>
          </w:p>
        </w:tc>
      </w:tr>
      <w:tr w:rsidR="001430A4" w:rsidRPr="00B3703A" w:rsidTr="00984BE6">
        <w:tc>
          <w:tcPr>
            <w:tcW w:w="3812" w:type="dxa"/>
            <w:tcBorders>
              <w:top w:val="nil"/>
              <w:left w:val="single" w:sz="4" w:space="0" w:color="auto"/>
              <w:bottom w:val="single" w:sz="4" w:space="0" w:color="000000" w:themeColor="text1"/>
              <w:right w:val="single" w:sz="4" w:space="0" w:color="auto"/>
            </w:tcBorders>
            <w:shd w:val="clear" w:color="auto" w:fill="E2E2E2"/>
          </w:tcPr>
          <w:p w:rsidR="001430A4" w:rsidRPr="00B3703A" w:rsidRDefault="001430A4" w:rsidP="00984BE6">
            <w:pPr>
              <w:rPr>
                <w:rFonts w:ascii="Times New Roman" w:hAnsi="Times New Roman" w:cs="Times New Roman"/>
              </w:rPr>
            </w:pPr>
            <w:r w:rsidRPr="00B3703A">
              <w:rPr>
                <w:rFonts w:ascii="Times New Roman" w:hAnsi="Times New Roman" w:cs="Times New Roman"/>
              </w:rPr>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430A4" w:rsidRPr="00B3703A" w:rsidRDefault="001B79E9" w:rsidP="00984BE6">
                <w:pPr>
                  <w:jc w:val="center"/>
                  <w:rPr>
                    <w:rFonts w:ascii="Times New Roman" w:hAnsi="Times New Roman" w:cs="Times New Roman"/>
                  </w:rPr>
                </w:pPr>
                <w:r w:rsidRPr="00B3703A">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rPr>
            </w:pPr>
            <w:r w:rsidRPr="00B3703A">
              <w:rPr>
                <w:rFonts w:ascii="Times New Roman" w:hAnsi="Times New Roman" w:cs="Times New Roman"/>
              </w:rPr>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1430A4" w:rsidRPr="00B3703A" w:rsidRDefault="006F0326" w:rsidP="00984BE6">
                <w:pPr>
                  <w:jc w:val="center"/>
                  <w:rPr>
                    <w:rFonts w:ascii="Times New Roman" w:hAnsi="Times New Roman" w:cs="Times New Roman"/>
                  </w:rPr>
                </w:pPr>
                <w:r w:rsidRPr="00B3703A">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rPr>
            </w:pPr>
            <w:r w:rsidRPr="00B3703A">
              <w:rPr>
                <w:rFonts w:ascii="Times New Roman" w:hAnsi="Times New Roman" w:cs="Times New Roman"/>
              </w:rPr>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430A4" w:rsidRPr="00B3703A" w:rsidRDefault="001430A4" w:rsidP="00984BE6">
                <w:pPr>
                  <w:ind w:left="-107" w:right="-108"/>
                  <w:jc w:val="center"/>
                  <w:rPr>
                    <w:rFonts w:ascii="Times New Roman" w:hAnsi="Times New Roman" w:cs="Times New Roman"/>
                  </w:rPr>
                </w:pPr>
                <w:r w:rsidRPr="00B3703A">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1430A4" w:rsidRPr="00B3703A" w:rsidRDefault="001430A4" w:rsidP="00984BE6">
            <w:pPr>
              <w:ind w:left="34"/>
              <w:rPr>
                <w:rFonts w:ascii="Times New Roman" w:hAnsi="Times New Roman" w:cs="Times New Roman"/>
              </w:rPr>
            </w:pPr>
            <w:r w:rsidRPr="00B3703A">
              <w:rPr>
                <w:rFonts w:ascii="Times New Roman" w:hAnsi="Times New Roman" w:cs="Times New Roman"/>
              </w:rPr>
              <w:t>Čiastočne</w:t>
            </w:r>
          </w:p>
        </w:tc>
      </w:tr>
      <w:tr w:rsidR="001430A4" w:rsidRPr="00B3703A" w:rsidTr="00984BE6">
        <w:tc>
          <w:tcPr>
            <w:tcW w:w="3812" w:type="dxa"/>
            <w:tcBorders>
              <w:top w:val="single" w:sz="4" w:space="0" w:color="000000" w:themeColor="text1"/>
              <w:left w:val="single" w:sz="4" w:space="0" w:color="auto"/>
              <w:bottom w:val="nil"/>
              <w:right w:val="single" w:sz="4" w:space="0" w:color="auto"/>
            </w:tcBorders>
            <w:shd w:val="clear" w:color="auto" w:fill="E2E2E2"/>
          </w:tcPr>
          <w:p w:rsidR="001430A4" w:rsidRPr="00B3703A" w:rsidRDefault="001430A4" w:rsidP="00984BE6">
            <w:pPr>
              <w:rPr>
                <w:rFonts w:ascii="Times New Roman" w:hAnsi="Times New Roman" w:cs="Times New Roman"/>
                <w:b/>
              </w:rPr>
            </w:pPr>
            <w:r w:rsidRPr="00B3703A">
              <w:rPr>
                <w:rFonts w:ascii="Times New Roman" w:hAnsi="Times New Roman" w:cs="Times New Roman"/>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1430A4" w:rsidRPr="00B3703A" w:rsidRDefault="001430A4" w:rsidP="00984BE6">
            <w:pPr>
              <w:ind w:right="-108"/>
              <w:rPr>
                <w:rFonts w:ascii="Times New Roman" w:hAnsi="Times New Roman" w:cs="Times New Roman"/>
                <w:b/>
              </w:rPr>
            </w:pPr>
            <w:r w:rsidRPr="00B3703A">
              <w:rPr>
                <w:rFonts w:ascii="Times New Roman" w:hAnsi="Times New Roman" w:cs="Times New Roman"/>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b/>
              </w:rPr>
            </w:pPr>
            <w:r w:rsidRPr="00B3703A">
              <w:rPr>
                <w:rFonts w:ascii="Times New Roman" w:hAnsi="Times New Roman" w:cs="Times New Roman"/>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1430A4" w:rsidRPr="00B3703A" w:rsidRDefault="001430A4" w:rsidP="00984BE6">
            <w:pPr>
              <w:ind w:left="54"/>
              <w:rPr>
                <w:rFonts w:ascii="Times New Roman" w:hAnsi="Times New Roman" w:cs="Times New Roman"/>
                <w:b/>
              </w:rPr>
            </w:pPr>
            <w:r w:rsidRPr="00B3703A">
              <w:rPr>
                <w:rFonts w:ascii="Times New Roman" w:hAnsi="Times New Roman" w:cs="Times New Roman"/>
                <w:b/>
              </w:rPr>
              <w:t>Negatívne</w:t>
            </w:r>
          </w:p>
        </w:tc>
      </w:tr>
      <w:tr w:rsidR="001430A4" w:rsidRPr="00B3703A" w:rsidTr="00984BE6">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1430A4" w:rsidRPr="00B3703A" w:rsidRDefault="001430A4" w:rsidP="00984BE6">
            <w:pPr>
              <w:rPr>
                <w:rFonts w:ascii="Times New Roman" w:hAnsi="Times New Roman" w:cs="Times New Roman"/>
              </w:rPr>
            </w:pPr>
            <w:r w:rsidRPr="00B3703A">
              <w:rPr>
                <w:rFonts w:ascii="Times New Roman" w:hAnsi="Times New Roman" w:cs="Times New Roman"/>
              </w:rPr>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1430A4" w:rsidRPr="00B3703A" w:rsidRDefault="001430A4" w:rsidP="00984BE6">
                <w:pPr>
                  <w:jc w:val="center"/>
                  <w:rPr>
                    <w:rFonts w:ascii="Times New Roman" w:hAnsi="Times New Roman" w:cs="Times New Roman"/>
                  </w:rPr>
                </w:pPr>
                <w:r w:rsidRPr="00B3703A">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1430A4" w:rsidRPr="00B3703A" w:rsidRDefault="001430A4" w:rsidP="00984BE6">
            <w:pPr>
              <w:ind w:right="-108"/>
              <w:rPr>
                <w:rFonts w:ascii="Times New Roman" w:hAnsi="Times New Roman" w:cs="Times New Roman"/>
              </w:rPr>
            </w:pPr>
            <w:r w:rsidRPr="00B3703A">
              <w:rPr>
                <w:rFonts w:ascii="Times New Roman" w:hAnsi="Times New Roman" w:cs="Times New Roman"/>
              </w:rPr>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rPr>
                </w:pPr>
                <w:r w:rsidRPr="00B3703A">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rPr>
            </w:pPr>
            <w:r w:rsidRPr="00B3703A">
              <w:rPr>
                <w:rFonts w:ascii="Times New Roman" w:hAnsi="Times New Roman" w:cs="Times New Roman"/>
              </w:rPr>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rPr>
                </w:pPr>
                <w:r w:rsidRPr="00B3703A">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1430A4" w:rsidRPr="00B3703A" w:rsidRDefault="001430A4" w:rsidP="00984BE6">
            <w:pPr>
              <w:ind w:left="54"/>
              <w:rPr>
                <w:rFonts w:ascii="Times New Roman" w:hAnsi="Times New Roman" w:cs="Times New Roman"/>
              </w:rPr>
            </w:pPr>
            <w:r w:rsidRPr="00B3703A">
              <w:rPr>
                <w:rFonts w:ascii="Times New Roman" w:hAnsi="Times New Roman" w:cs="Times New Roman"/>
              </w:rPr>
              <w:t>Negatívne</w:t>
            </w:r>
          </w:p>
        </w:tc>
      </w:tr>
      <w:tr w:rsidR="001430A4" w:rsidRPr="00B3703A" w:rsidTr="00984BE6">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1430A4" w:rsidRPr="00B3703A" w:rsidRDefault="001430A4" w:rsidP="00984BE6">
            <w:pPr>
              <w:rPr>
                <w:rFonts w:ascii="Times New Roman" w:hAnsi="Times New Roman" w:cs="Times New Roman"/>
                <w:b/>
              </w:rPr>
            </w:pPr>
            <w:r w:rsidRPr="00B3703A">
              <w:rPr>
                <w:rFonts w:ascii="Times New Roman" w:hAnsi="Times New Roman" w:cs="Times New Roman"/>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1430A4" w:rsidRPr="00B3703A" w:rsidRDefault="001430A4" w:rsidP="00984BE6">
            <w:pPr>
              <w:ind w:right="-108"/>
              <w:rPr>
                <w:rFonts w:ascii="Times New Roman" w:hAnsi="Times New Roman" w:cs="Times New Roman"/>
                <w:b/>
              </w:rPr>
            </w:pPr>
            <w:r w:rsidRPr="00B3703A">
              <w:rPr>
                <w:rFonts w:ascii="Times New Roman" w:hAnsi="Times New Roman" w:cs="Times New Roman"/>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b/>
              </w:rPr>
            </w:pPr>
            <w:r w:rsidRPr="00B3703A">
              <w:rPr>
                <w:rFonts w:ascii="Times New Roman" w:hAnsi="Times New Roman" w:cs="Times New Roman"/>
                <w:b/>
              </w:rPr>
              <w:t>Žiadne</w:t>
            </w:r>
          </w:p>
        </w:tc>
        <w:sdt>
          <w:sdtPr>
            <w:rPr>
              <w:b/>
            </w:r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1430A4" w:rsidRPr="00B3703A" w:rsidRDefault="001430A4" w:rsidP="00984BE6">
            <w:pPr>
              <w:ind w:left="54"/>
              <w:rPr>
                <w:rFonts w:ascii="Times New Roman" w:hAnsi="Times New Roman" w:cs="Times New Roman"/>
                <w:b/>
              </w:rPr>
            </w:pPr>
            <w:r w:rsidRPr="00B3703A">
              <w:rPr>
                <w:rFonts w:ascii="Times New Roman" w:hAnsi="Times New Roman" w:cs="Times New Roman"/>
                <w:b/>
              </w:rPr>
              <w:t>Negatívne</w:t>
            </w:r>
          </w:p>
        </w:tc>
      </w:tr>
      <w:tr w:rsidR="001430A4" w:rsidRPr="00B3703A" w:rsidTr="00984BE6">
        <w:tc>
          <w:tcPr>
            <w:tcW w:w="3812" w:type="dxa"/>
            <w:tcBorders>
              <w:top w:val="single" w:sz="4" w:space="0" w:color="auto"/>
              <w:left w:val="single" w:sz="4" w:space="0" w:color="auto"/>
              <w:bottom w:val="single" w:sz="4" w:space="0" w:color="auto"/>
              <w:right w:val="single" w:sz="4" w:space="0" w:color="auto"/>
            </w:tcBorders>
            <w:shd w:val="clear" w:color="auto" w:fill="E2E2E2"/>
          </w:tcPr>
          <w:p w:rsidR="001430A4" w:rsidRPr="00B3703A" w:rsidRDefault="001430A4" w:rsidP="00984BE6">
            <w:pPr>
              <w:rPr>
                <w:rFonts w:ascii="Times New Roman" w:hAnsi="Times New Roman" w:cs="Times New Roman"/>
                <w:b/>
              </w:rPr>
            </w:pPr>
            <w:r w:rsidRPr="00B3703A">
              <w:rPr>
                <w:rFonts w:ascii="Times New Roman" w:hAnsi="Times New Roman" w:cs="Times New Roman"/>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1430A4" w:rsidRPr="00B3703A" w:rsidRDefault="001430A4" w:rsidP="00984BE6">
            <w:pPr>
              <w:ind w:right="-108"/>
              <w:rPr>
                <w:rFonts w:ascii="Times New Roman" w:hAnsi="Times New Roman" w:cs="Times New Roman"/>
                <w:b/>
              </w:rPr>
            </w:pPr>
            <w:r w:rsidRPr="00B3703A">
              <w:rPr>
                <w:rFonts w:ascii="Times New Roman" w:hAnsi="Times New Roman" w:cs="Times New Roman"/>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b/>
              </w:rPr>
            </w:pPr>
            <w:r w:rsidRPr="00B3703A">
              <w:rPr>
                <w:rFonts w:ascii="Times New Roman" w:hAnsi="Times New Roman" w:cs="Times New Roman"/>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1430A4" w:rsidRPr="00B3703A" w:rsidRDefault="001430A4" w:rsidP="00984BE6">
            <w:pPr>
              <w:ind w:left="54"/>
              <w:rPr>
                <w:rFonts w:ascii="Times New Roman" w:hAnsi="Times New Roman" w:cs="Times New Roman"/>
                <w:b/>
              </w:rPr>
            </w:pPr>
            <w:r w:rsidRPr="00B3703A">
              <w:rPr>
                <w:rFonts w:ascii="Times New Roman" w:hAnsi="Times New Roman" w:cs="Times New Roman"/>
                <w:b/>
              </w:rPr>
              <w:t>Negatívne</w:t>
            </w:r>
          </w:p>
        </w:tc>
      </w:tr>
      <w:tr w:rsidR="001430A4" w:rsidRPr="00B3703A" w:rsidTr="00984BE6">
        <w:tc>
          <w:tcPr>
            <w:tcW w:w="3812" w:type="dxa"/>
            <w:tcBorders>
              <w:top w:val="single" w:sz="4" w:space="0" w:color="auto"/>
              <w:left w:val="single" w:sz="4" w:space="0" w:color="auto"/>
              <w:bottom w:val="single" w:sz="4" w:space="0" w:color="auto"/>
              <w:right w:val="single" w:sz="4" w:space="0" w:color="auto"/>
            </w:tcBorders>
            <w:shd w:val="clear" w:color="auto" w:fill="E2E2E2"/>
          </w:tcPr>
          <w:p w:rsidR="001430A4" w:rsidRPr="00B3703A" w:rsidRDefault="001430A4" w:rsidP="00984BE6">
            <w:pPr>
              <w:rPr>
                <w:rFonts w:ascii="Times New Roman" w:hAnsi="Times New Roman" w:cs="Times New Roman"/>
                <w:b/>
              </w:rPr>
            </w:pPr>
            <w:r w:rsidRPr="00B3703A">
              <w:rPr>
                <w:rFonts w:ascii="Times New Roman" w:hAnsi="Times New Roman" w:cs="Times New Roman"/>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430A4" w:rsidRPr="00B3703A" w:rsidRDefault="000772A7" w:rsidP="00984BE6">
                <w:pPr>
                  <w:jc w:val="center"/>
                  <w:rPr>
                    <w:rFonts w:ascii="Times New Roman" w:hAnsi="Times New Roman" w:cs="Times New Roman"/>
                    <w:b/>
                  </w:rPr>
                </w:pPr>
                <w:r w:rsidRPr="00B3703A">
                  <w:rPr>
                    <w:rFonts w:ascii="MS Gothic" w:eastAsia="MS Gothic" w:hAnsi="MS Gothic" w:cs="Times New Roman" w:hint="eastAsia"/>
                    <w:b/>
                  </w:rPr>
                  <w:t>☐</w:t>
                </w:r>
              </w:p>
            </w:tc>
          </w:sdtContent>
        </w:sdt>
        <w:tc>
          <w:tcPr>
            <w:tcW w:w="1281" w:type="dxa"/>
            <w:gridSpan w:val="2"/>
            <w:tcBorders>
              <w:top w:val="single" w:sz="4" w:space="0" w:color="auto"/>
              <w:left w:val="nil"/>
              <w:bottom w:val="single" w:sz="4" w:space="0" w:color="auto"/>
              <w:right w:val="nil"/>
            </w:tcBorders>
          </w:tcPr>
          <w:p w:rsidR="001430A4" w:rsidRPr="00B3703A" w:rsidRDefault="001430A4" w:rsidP="00984BE6">
            <w:pPr>
              <w:ind w:right="-108"/>
              <w:rPr>
                <w:rFonts w:ascii="Times New Roman" w:hAnsi="Times New Roman" w:cs="Times New Roman"/>
                <w:b/>
              </w:rPr>
            </w:pPr>
            <w:r w:rsidRPr="00B3703A">
              <w:rPr>
                <w:rFonts w:ascii="Times New Roman" w:hAnsi="Times New Roman" w:cs="Times New Roman"/>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1430A4" w:rsidRPr="00B3703A" w:rsidRDefault="00B779AF" w:rsidP="00984BE6">
                <w:pPr>
                  <w:jc w:val="center"/>
                  <w:rPr>
                    <w:rFonts w:ascii="Times New Roman" w:hAnsi="Times New Roman" w:cs="Times New Roman"/>
                    <w:b/>
                  </w:rPr>
                </w:pPr>
                <w:r w:rsidRPr="00B3703A">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1430A4" w:rsidRPr="00B3703A" w:rsidRDefault="001430A4" w:rsidP="00984BE6">
            <w:pPr>
              <w:rPr>
                <w:rFonts w:ascii="Times New Roman" w:hAnsi="Times New Roman" w:cs="Times New Roman"/>
                <w:b/>
              </w:rPr>
            </w:pPr>
            <w:r w:rsidRPr="00B3703A">
              <w:rPr>
                <w:rFonts w:ascii="Times New Roman" w:hAnsi="Times New Roman" w:cs="Times New Roman"/>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430A4" w:rsidRPr="00B3703A" w:rsidRDefault="001430A4" w:rsidP="00984BE6">
                <w:pPr>
                  <w:jc w:val="center"/>
                  <w:rPr>
                    <w:rFonts w:ascii="Times New Roman" w:hAnsi="Times New Roman" w:cs="Times New Roman"/>
                    <w:b/>
                  </w:rPr>
                </w:pPr>
                <w:r w:rsidRPr="00B3703A">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1430A4" w:rsidRPr="00B3703A" w:rsidRDefault="001430A4" w:rsidP="00984BE6">
            <w:pPr>
              <w:ind w:left="54"/>
              <w:rPr>
                <w:rFonts w:ascii="Times New Roman" w:hAnsi="Times New Roman" w:cs="Times New Roman"/>
                <w:b/>
              </w:rPr>
            </w:pPr>
            <w:r w:rsidRPr="00B3703A">
              <w:rPr>
                <w:rFonts w:ascii="Times New Roman" w:hAnsi="Times New Roman" w:cs="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1430A4" w:rsidRPr="00B3703A" w:rsidTr="00984BE6">
        <w:tc>
          <w:tcPr>
            <w:tcW w:w="3812" w:type="dxa"/>
            <w:tcBorders>
              <w:top w:val="single" w:sz="4" w:space="0" w:color="auto"/>
              <w:left w:val="single" w:sz="4" w:space="0" w:color="auto"/>
              <w:bottom w:val="nil"/>
              <w:right w:val="single" w:sz="4" w:space="0" w:color="auto"/>
            </w:tcBorders>
            <w:shd w:val="clear" w:color="auto" w:fill="E2E2E2"/>
          </w:tcPr>
          <w:p w:rsidR="001430A4" w:rsidRPr="00B3703A" w:rsidRDefault="001430A4" w:rsidP="00984BE6">
            <w:pPr>
              <w:rPr>
                <w:b/>
                <w:sz w:val="22"/>
                <w:szCs w:val="22"/>
              </w:rPr>
            </w:pPr>
            <w:r w:rsidRPr="00B3703A">
              <w:rPr>
                <w:rFonts w:eastAsia="Calibri"/>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1430A4" w:rsidRPr="00B3703A" w:rsidRDefault="001430A4" w:rsidP="00984BE6">
            <w:pPr>
              <w:jc w:val="center"/>
              <w:rPr>
                <w:rFonts w:eastAsia="MS Mincho"/>
                <w:b/>
                <w:sz w:val="22"/>
                <w:szCs w:val="22"/>
              </w:rPr>
            </w:pPr>
          </w:p>
        </w:tc>
        <w:tc>
          <w:tcPr>
            <w:tcW w:w="1281" w:type="dxa"/>
            <w:tcBorders>
              <w:top w:val="single" w:sz="4" w:space="0" w:color="auto"/>
              <w:left w:val="nil"/>
              <w:bottom w:val="nil"/>
              <w:right w:val="nil"/>
            </w:tcBorders>
            <w:shd w:val="clear" w:color="auto" w:fill="auto"/>
          </w:tcPr>
          <w:p w:rsidR="001430A4" w:rsidRPr="00B3703A" w:rsidRDefault="001430A4" w:rsidP="00984BE6">
            <w:pPr>
              <w:ind w:right="-108"/>
              <w:rPr>
                <w:b/>
                <w:sz w:val="22"/>
                <w:szCs w:val="22"/>
              </w:rPr>
            </w:pPr>
          </w:p>
        </w:tc>
        <w:tc>
          <w:tcPr>
            <w:tcW w:w="569" w:type="dxa"/>
            <w:tcBorders>
              <w:top w:val="single" w:sz="4" w:space="0" w:color="auto"/>
              <w:left w:val="nil"/>
              <w:bottom w:val="nil"/>
              <w:right w:val="nil"/>
            </w:tcBorders>
            <w:shd w:val="clear" w:color="auto" w:fill="auto"/>
          </w:tcPr>
          <w:p w:rsidR="001430A4" w:rsidRPr="00B3703A" w:rsidRDefault="001430A4" w:rsidP="00984BE6">
            <w:pPr>
              <w:jc w:val="center"/>
              <w:rPr>
                <w:rFonts w:eastAsia="MS Mincho"/>
                <w:b/>
                <w:sz w:val="22"/>
                <w:szCs w:val="22"/>
              </w:rPr>
            </w:pPr>
          </w:p>
        </w:tc>
        <w:tc>
          <w:tcPr>
            <w:tcW w:w="1133" w:type="dxa"/>
            <w:tcBorders>
              <w:top w:val="single" w:sz="4" w:space="0" w:color="auto"/>
              <w:left w:val="nil"/>
              <w:bottom w:val="nil"/>
              <w:right w:val="nil"/>
            </w:tcBorders>
            <w:shd w:val="clear" w:color="auto" w:fill="auto"/>
          </w:tcPr>
          <w:p w:rsidR="001430A4" w:rsidRPr="00B3703A" w:rsidRDefault="001430A4" w:rsidP="00984BE6">
            <w:pPr>
              <w:rPr>
                <w:b/>
                <w:sz w:val="22"/>
                <w:szCs w:val="22"/>
              </w:rPr>
            </w:pPr>
          </w:p>
        </w:tc>
        <w:tc>
          <w:tcPr>
            <w:tcW w:w="547" w:type="dxa"/>
            <w:tcBorders>
              <w:top w:val="single" w:sz="4" w:space="0" w:color="auto"/>
              <w:left w:val="nil"/>
              <w:bottom w:val="nil"/>
              <w:right w:val="nil"/>
            </w:tcBorders>
            <w:shd w:val="clear" w:color="auto" w:fill="auto"/>
          </w:tcPr>
          <w:p w:rsidR="001430A4" w:rsidRPr="00B3703A" w:rsidRDefault="001430A4" w:rsidP="00984BE6">
            <w:pPr>
              <w:jc w:val="center"/>
              <w:rPr>
                <w:rFonts w:eastAsia="MS Mincho"/>
                <w:b/>
                <w:sz w:val="22"/>
                <w:szCs w:val="22"/>
              </w:rPr>
            </w:pPr>
          </w:p>
        </w:tc>
        <w:tc>
          <w:tcPr>
            <w:tcW w:w="1297" w:type="dxa"/>
            <w:tcBorders>
              <w:top w:val="single" w:sz="4" w:space="0" w:color="auto"/>
              <w:left w:val="nil"/>
              <w:bottom w:val="nil"/>
              <w:right w:val="single" w:sz="4" w:space="0" w:color="auto"/>
            </w:tcBorders>
            <w:shd w:val="clear" w:color="auto" w:fill="auto"/>
          </w:tcPr>
          <w:p w:rsidR="001430A4" w:rsidRPr="00B3703A" w:rsidRDefault="001430A4" w:rsidP="00984BE6">
            <w:pPr>
              <w:ind w:left="54"/>
              <w:rPr>
                <w:b/>
                <w:sz w:val="22"/>
                <w:szCs w:val="22"/>
              </w:rPr>
            </w:pPr>
          </w:p>
        </w:tc>
      </w:tr>
      <w:tr w:rsidR="001430A4" w:rsidRPr="00B3703A" w:rsidTr="00984BE6">
        <w:tc>
          <w:tcPr>
            <w:tcW w:w="3812" w:type="dxa"/>
            <w:tcBorders>
              <w:top w:val="nil"/>
              <w:left w:val="single" w:sz="4" w:space="0" w:color="auto"/>
              <w:bottom w:val="nil"/>
              <w:right w:val="single" w:sz="4" w:space="0" w:color="auto"/>
            </w:tcBorders>
            <w:shd w:val="clear" w:color="auto" w:fill="E2E2E2"/>
          </w:tcPr>
          <w:p w:rsidR="001430A4" w:rsidRPr="00B3703A" w:rsidRDefault="001430A4" w:rsidP="00984BE6">
            <w:pPr>
              <w:ind w:left="196" w:hanging="196"/>
              <w:rPr>
                <w:rFonts w:eastAsia="Calibri"/>
                <w:b/>
                <w:sz w:val="22"/>
                <w:szCs w:val="22"/>
                <w:lang w:eastAsia="en-US"/>
              </w:rPr>
            </w:pPr>
            <w:r w:rsidRPr="00B3703A">
              <w:rPr>
                <w:rFonts w:eastAsia="Calibri"/>
                <w:b/>
                <w:sz w:val="22"/>
                <w:szCs w:val="22"/>
                <w:lang w:eastAsia="en-US"/>
              </w:rPr>
              <w:lastRenderedPageBreak/>
              <w:t xml:space="preserve">    vplyvy služieb verejnej správy na občana</w:t>
            </w:r>
          </w:p>
        </w:tc>
        <w:tc>
          <w:tcPr>
            <w:tcW w:w="541" w:type="dxa"/>
            <w:tcBorders>
              <w:top w:val="nil"/>
              <w:left w:val="single" w:sz="4" w:space="0" w:color="auto"/>
              <w:bottom w:val="nil"/>
              <w:right w:val="nil"/>
            </w:tcBorders>
            <w:shd w:val="clear" w:color="auto" w:fill="auto"/>
          </w:tcPr>
          <w:p w:rsidR="001430A4" w:rsidRPr="00B3703A" w:rsidRDefault="001430A4" w:rsidP="00984BE6">
            <w:pPr>
              <w:jc w:val="center"/>
              <w:rPr>
                <w:rFonts w:eastAsia="MS Mincho"/>
                <w:b/>
                <w:sz w:val="22"/>
                <w:szCs w:val="22"/>
                <w:lang w:eastAsia="en-US"/>
              </w:rPr>
            </w:pPr>
            <w:r w:rsidRPr="00B3703A">
              <w:rPr>
                <w:rFonts w:ascii="MS Mincho" w:eastAsia="MS Mincho" w:hAnsi="MS Mincho" w:cs="MS Mincho" w:hint="eastAsia"/>
                <w:b/>
                <w:sz w:val="22"/>
                <w:szCs w:val="22"/>
                <w:lang w:eastAsia="en-US"/>
              </w:rPr>
              <w:t>☐</w:t>
            </w:r>
          </w:p>
        </w:tc>
        <w:tc>
          <w:tcPr>
            <w:tcW w:w="1281" w:type="dxa"/>
            <w:tcBorders>
              <w:top w:val="nil"/>
              <w:left w:val="nil"/>
              <w:bottom w:val="nil"/>
              <w:right w:val="nil"/>
            </w:tcBorders>
            <w:shd w:val="clear" w:color="auto" w:fill="auto"/>
          </w:tcPr>
          <w:p w:rsidR="001430A4" w:rsidRPr="00B3703A" w:rsidRDefault="001430A4" w:rsidP="00984BE6">
            <w:pPr>
              <w:ind w:right="-108"/>
              <w:rPr>
                <w:rFonts w:eastAsia="Calibri"/>
                <w:b/>
                <w:sz w:val="22"/>
                <w:szCs w:val="22"/>
                <w:lang w:eastAsia="en-US"/>
              </w:rPr>
            </w:pPr>
            <w:r w:rsidRPr="00B3703A">
              <w:rPr>
                <w:rFonts w:eastAsia="Calibri"/>
                <w:b/>
                <w:sz w:val="22"/>
                <w:szCs w:val="22"/>
                <w:lang w:eastAsia="en-US"/>
              </w:rPr>
              <w:t>Pozitívne</w:t>
            </w:r>
          </w:p>
        </w:tc>
        <w:sdt>
          <w:sdtPr>
            <w:rPr>
              <w:rFonts w:eastAsia="MS Mincho"/>
              <w:b/>
              <w:sz w:val="22"/>
              <w:szCs w:val="22"/>
              <w:lang w:eastAsia="en-US"/>
            </w:rPr>
            <w:id w:val="-64112835"/>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430A4" w:rsidRPr="00B3703A" w:rsidRDefault="006F0326" w:rsidP="00984BE6">
                <w:pPr>
                  <w:jc w:val="center"/>
                  <w:rPr>
                    <w:rFonts w:eastAsia="MS Mincho"/>
                    <w:b/>
                    <w:sz w:val="22"/>
                    <w:szCs w:val="22"/>
                    <w:lang w:eastAsia="en-US"/>
                  </w:rPr>
                </w:pPr>
                <w:r w:rsidRPr="00B3703A">
                  <w:rPr>
                    <w:rFonts w:ascii="MS Gothic" w:eastAsia="MS Gothic" w:hAnsi="MS Gothic" w:hint="eastAsia"/>
                    <w:b/>
                    <w:sz w:val="22"/>
                    <w:szCs w:val="22"/>
                    <w:lang w:eastAsia="en-US"/>
                  </w:rPr>
                  <w:t>☒</w:t>
                </w:r>
              </w:p>
            </w:tc>
          </w:sdtContent>
        </w:sdt>
        <w:tc>
          <w:tcPr>
            <w:tcW w:w="1133" w:type="dxa"/>
            <w:tcBorders>
              <w:top w:val="nil"/>
              <w:left w:val="nil"/>
              <w:bottom w:val="nil"/>
              <w:right w:val="nil"/>
            </w:tcBorders>
            <w:shd w:val="clear" w:color="auto" w:fill="auto"/>
          </w:tcPr>
          <w:p w:rsidR="001430A4" w:rsidRPr="00B3703A" w:rsidRDefault="001430A4" w:rsidP="00984BE6">
            <w:pPr>
              <w:rPr>
                <w:rFonts w:eastAsia="Calibri"/>
                <w:b/>
                <w:sz w:val="22"/>
                <w:szCs w:val="22"/>
                <w:lang w:eastAsia="en-US"/>
              </w:rPr>
            </w:pPr>
            <w:r w:rsidRPr="00B3703A">
              <w:rPr>
                <w:rFonts w:eastAsia="Calibri"/>
                <w:b/>
                <w:sz w:val="22"/>
                <w:szCs w:val="22"/>
                <w:lang w:eastAsia="en-US"/>
              </w:rPr>
              <w:t>Žiadne</w:t>
            </w:r>
          </w:p>
        </w:tc>
        <w:tc>
          <w:tcPr>
            <w:tcW w:w="547" w:type="dxa"/>
            <w:tcBorders>
              <w:top w:val="nil"/>
              <w:left w:val="nil"/>
              <w:bottom w:val="nil"/>
              <w:right w:val="nil"/>
            </w:tcBorders>
            <w:shd w:val="clear" w:color="auto" w:fill="auto"/>
          </w:tcPr>
          <w:p w:rsidR="001430A4" w:rsidRPr="00B3703A" w:rsidRDefault="001430A4" w:rsidP="00984BE6">
            <w:pPr>
              <w:jc w:val="center"/>
              <w:rPr>
                <w:rFonts w:eastAsia="MS Mincho"/>
                <w:b/>
                <w:sz w:val="22"/>
                <w:szCs w:val="22"/>
                <w:lang w:eastAsia="en-US"/>
              </w:rPr>
            </w:pPr>
            <w:r w:rsidRPr="00B3703A">
              <w:rPr>
                <w:rFonts w:ascii="MS Mincho" w:eastAsia="MS Mincho" w:hAnsi="MS Mincho" w:cs="MS Mincho" w:hint="eastAsia"/>
                <w:b/>
                <w:sz w:val="22"/>
                <w:szCs w:val="22"/>
                <w:lang w:eastAsia="en-US"/>
              </w:rPr>
              <w:t>☐</w:t>
            </w:r>
          </w:p>
        </w:tc>
        <w:tc>
          <w:tcPr>
            <w:tcW w:w="1297" w:type="dxa"/>
            <w:tcBorders>
              <w:top w:val="nil"/>
              <w:left w:val="nil"/>
              <w:bottom w:val="nil"/>
              <w:right w:val="single" w:sz="4" w:space="0" w:color="auto"/>
            </w:tcBorders>
            <w:shd w:val="clear" w:color="auto" w:fill="auto"/>
          </w:tcPr>
          <w:p w:rsidR="001430A4" w:rsidRPr="00B3703A" w:rsidRDefault="006F0326" w:rsidP="00984BE6">
            <w:pPr>
              <w:ind w:left="54"/>
              <w:rPr>
                <w:rFonts w:eastAsia="Calibri"/>
                <w:b/>
                <w:sz w:val="22"/>
                <w:szCs w:val="22"/>
                <w:lang w:eastAsia="en-US"/>
              </w:rPr>
            </w:pPr>
            <w:r w:rsidRPr="00B3703A">
              <w:rPr>
                <w:rFonts w:eastAsia="Calibri"/>
                <w:b/>
                <w:sz w:val="22"/>
                <w:szCs w:val="22"/>
                <w:lang w:eastAsia="en-US"/>
              </w:rPr>
              <w:t>Negatívne</w:t>
            </w:r>
          </w:p>
        </w:tc>
      </w:tr>
      <w:tr w:rsidR="001430A4" w:rsidRPr="00B3703A" w:rsidTr="00984BE6">
        <w:tc>
          <w:tcPr>
            <w:tcW w:w="3812" w:type="dxa"/>
            <w:tcBorders>
              <w:top w:val="nil"/>
              <w:left w:val="single" w:sz="4" w:space="0" w:color="auto"/>
              <w:bottom w:val="single" w:sz="4" w:space="0" w:color="auto"/>
              <w:right w:val="single" w:sz="4" w:space="0" w:color="auto"/>
            </w:tcBorders>
            <w:shd w:val="clear" w:color="auto" w:fill="E2E2E2"/>
          </w:tcPr>
          <w:p w:rsidR="001430A4" w:rsidRPr="00B3703A" w:rsidRDefault="001430A4" w:rsidP="00984BE6">
            <w:pPr>
              <w:ind w:left="168" w:hanging="168"/>
              <w:rPr>
                <w:rFonts w:eastAsia="Calibri"/>
                <w:b/>
                <w:sz w:val="22"/>
                <w:szCs w:val="22"/>
                <w:lang w:eastAsia="en-US"/>
              </w:rPr>
            </w:pPr>
            <w:r w:rsidRPr="00B3703A">
              <w:rPr>
                <w:rFonts w:eastAsia="Calibri"/>
                <w:b/>
                <w:sz w:val="22"/>
                <w:szCs w:val="22"/>
                <w:lang w:eastAsia="en-US"/>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1430A4" w:rsidRPr="00B3703A" w:rsidRDefault="001430A4" w:rsidP="00984BE6">
            <w:pPr>
              <w:jc w:val="center"/>
              <w:rPr>
                <w:rFonts w:eastAsia="MS Mincho"/>
                <w:b/>
                <w:sz w:val="22"/>
                <w:szCs w:val="22"/>
                <w:lang w:eastAsia="en-US"/>
              </w:rPr>
            </w:pPr>
            <w:r w:rsidRPr="00B3703A">
              <w:rPr>
                <w:rFonts w:ascii="MS Mincho" w:eastAsia="MS Mincho" w:hAnsi="MS Mincho" w:cs="MS Mincho" w:hint="eastAsia"/>
                <w:b/>
                <w:sz w:val="22"/>
                <w:szCs w:val="22"/>
                <w:lang w:eastAsia="en-US"/>
              </w:rPr>
              <w:t>☐</w:t>
            </w:r>
          </w:p>
        </w:tc>
        <w:tc>
          <w:tcPr>
            <w:tcW w:w="1281" w:type="dxa"/>
            <w:tcBorders>
              <w:top w:val="nil"/>
              <w:left w:val="nil"/>
              <w:bottom w:val="single" w:sz="4" w:space="0" w:color="auto"/>
              <w:right w:val="nil"/>
            </w:tcBorders>
            <w:shd w:val="clear" w:color="auto" w:fill="auto"/>
          </w:tcPr>
          <w:p w:rsidR="001430A4" w:rsidRPr="00B3703A" w:rsidRDefault="001430A4" w:rsidP="00984BE6">
            <w:pPr>
              <w:ind w:right="-108"/>
              <w:rPr>
                <w:rFonts w:eastAsia="Calibri"/>
                <w:b/>
                <w:sz w:val="22"/>
                <w:szCs w:val="22"/>
                <w:lang w:eastAsia="en-US"/>
              </w:rPr>
            </w:pPr>
            <w:r w:rsidRPr="00B3703A">
              <w:rPr>
                <w:rFonts w:eastAsia="Calibri"/>
                <w:b/>
                <w:sz w:val="22"/>
                <w:szCs w:val="22"/>
                <w:lang w:eastAsia="en-US"/>
              </w:rPr>
              <w:t>Pozitívne</w:t>
            </w:r>
          </w:p>
        </w:tc>
        <w:sdt>
          <w:sdtPr>
            <w:rPr>
              <w:rFonts w:eastAsia="MS Mincho"/>
              <w:b/>
              <w:sz w:val="22"/>
              <w:szCs w:val="22"/>
              <w:lang w:eastAsia="en-US"/>
            </w:rPr>
            <w:id w:val="-860819169"/>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430A4" w:rsidRPr="00B3703A" w:rsidRDefault="006F0326" w:rsidP="00984BE6">
                <w:pPr>
                  <w:jc w:val="center"/>
                  <w:rPr>
                    <w:rFonts w:eastAsia="MS Mincho"/>
                    <w:b/>
                    <w:sz w:val="22"/>
                    <w:szCs w:val="22"/>
                    <w:lang w:eastAsia="en-US"/>
                  </w:rPr>
                </w:pPr>
                <w:r w:rsidRPr="00B3703A">
                  <w:rPr>
                    <w:rFonts w:ascii="MS Gothic" w:eastAsia="MS Gothic" w:hAnsi="MS Gothic" w:hint="eastAsia"/>
                    <w:b/>
                    <w:sz w:val="22"/>
                    <w:szCs w:val="22"/>
                    <w:lang w:eastAsia="en-US"/>
                  </w:rPr>
                  <w:t>☒</w:t>
                </w:r>
              </w:p>
            </w:tc>
          </w:sdtContent>
        </w:sdt>
        <w:tc>
          <w:tcPr>
            <w:tcW w:w="1133" w:type="dxa"/>
            <w:tcBorders>
              <w:top w:val="nil"/>
              <w:left w:val="nil"/>
              <w:bottom w:val="single" w:sz="4" w:space="0" w:color="auto"/>
              <w:right w:val="nil"/>
            </w:tcBorders>
            <w:shd w:val="clear" w:color="auto" w:fill="auto"/>
          </w:tcPr>
          <w:p w:rsidR="001430A4" w:rsidRPr="00B3703A" w:rsidRDefault="001430A4" w:rsidP="00984BE6">
            <w:pPr>
              <w:rPr>
                <w:rFonts w:eastAsia="Calibri"/>
                <w:b/>
                <w:sz w:val="22"/>
                <w:szCs w:val="22"/>
                <w:lang w:eastAsia="en-US"/>
              </w:rPr>
            </w:pPr>
            <w:r w:rsidRPr="00B3703A">
              <w:rPr>
                <w:rFonts w:eastAsia="Calibri"/>
                <w:b/>
                <w:sz w:val="22"/>
                <w:szCs w:val="22"/>
                <w:lang w:eastAsia="en-US"/>
              </w:rPr>
              <w:t>Žiadne</w:t>
            </w:r>
          </w:p>
        </w:tc>
        <w:tc>
          <w:tcPr>
            <w:tcW w:w="547" w:type="dxa"/>
            <w:tcBorders>
              <w:top w:val="nil"/>
              <w:left w:val="nil"/>
              <w:bottom w:val="single" w:sz="4" w:space="0" w:color="auto"/>
              <w:right w:val="nil"/>
            </w:tcBorders>
            <w:shd w:val="clear" w:color="auto" w:fill="auto"/>
          </w:tcPr>
          <w:p w:rsidR="001430A4" w:rsidRPr="00B3703A" w:rsidRDefault="001430A4" w:rsidP="00984BE6">
            <w:pPr>
              <w:jc w:val="center"/>
              <w:rPr>
                <w:rFonts w:eastAsia="MS Mincho"/>
                <w:b/>
                <w:sz w:val="22"/>
                <w:szCs w:val="22"/>
                <w:lang w:eastAsia="en-US"/>
              </w:rPr>
            </w:pPr>
            <w:r w:rsidRPr="00B3703A">
              <w:rPr>
                <w:rFonts w:ascii="MS Mincho" w:eastAsia="MS Mincho" w:hAnsi="MS Mincho" w:cs="MS Mincho" w:hint="eastAsia"/>
                <w:b/>
                <w:sz w:val="22"/>
                <w:szCs w:val="22"/>
                <w:lang w:eastAsia="en-US"/>
              </w:rPr>
              <w:t>☐</w:t>
            </w:r>
          </w:p>
        </w:tc>
        <w:tc>
          <w:tcPr>
            <w:tcW w:w="1297" w:type="dxa"/>
            <w:tcBorders>
              <w:top w:val="nil"/>
              <w:left w:val="nil"/>
              <w:bottom w:val="single" w:sz="4" w:space="0" w:color="auto"/>
              <w:right w:val="single" w:sz="4" w:space="0" w:color="auto"/>
            </w:tcBorders>
            <w:shd w:val="clear" w:color="auto" w:fill="auto"/>
          </w:tcPr>
          <w:p w:rsidR="001430A4" w:rsidRPr="00B3703A" w:rsidRDefault="006F0326" w:rsidP="00984BE6">
            <w:pPr>
              <w:ind w:left="54"/>
              <w:rPr>
                <w:rFonts w:eastAsia="Calibri"/>
                <w:b/>
                <w:sz w:val="22"/>
                <w:szCs w:val="22"/>
                <w:lang w:eastAsia="en-US"/>
              </w:rPr>
            </w:pPr>
            <w:r w:rsidRPr="00B3703A">
              <w:rPr>
                <w:rFonts w:eastAsia="Calibri"/>
                <w:b/>
                <w:sz w:val="22"/>
                <w:szCs w:val="22"/>
                <w:lang w:eastAsia="en-US"/>
              </w:rPr>
              <w:t>Negatívne</w:t>
            </w:r>
          </w:p>
        </w:tc>
      </w:tr>
    </w:tbl>
    <w:p w:rsidR="001430A4" w:rsidRPr="00B3703A" w:rsidRDefault="001430A4" w:rsidP="001430A4">
      <w:pPr>
        <w:ind w:right="141"/>
        <w:rPr>
          <w:b/>
          <w:sz w:val="22"/>
          <w:szCs w:val="22"/>
        </w:rPr>
      </w:pPr>
    </w:p>
    <w:tbl>
      <w:tblPr>
        <w:tblStyle w:val="Mriekatabuky"/>
        <w:tblW w:w="9176" w:type="dxa"/>
        <w:tblLayout w:type="fixed"/>
        <w:tblLook w:val="04A0" w:firstRow="1" w:lastRow="0" w:firstColumn="1" w:lastColumn="0" w:noHBand="0" w:noVBand="1"/>
      </w:tblPr>
      <w:tblGrid>
        <w:gridCol w:w="9176"/>
      </w:tblGrid>
      <w:tr w:rsidR="001430A4" w:rsidRPr="00B3703A" w:rsidTr="00984BE6">
        <w:tc>
          <w:tcPr>
            <w:tcW w:w="9176" w:type="dxa"/>
            <w:tcBorders>
              <w:top w:val="single" w:sz="4" w:space="0" w:color="auto"/>
              <w:left w:val="single" w:sz="4" w:space="0" w:color="auto"/>
              <w:bottom w:val="nil"/>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Poznámky</w:t>
            </w:r>
          </w:p>
        </w:tc>
      </w:tr>
      <w:tr w:rsidR="001430A4" w:rsidRPr="00B3703A" w:rsidTr="00984BE6">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 xml:space="preserve">Návrh zákona so sebou prináša aj niekoľko pozitívnych vplyvov na podnikateľské prostredie. Keďže sa v rámci všetkých členských štátov Európskej únie zosúladia podmienky predaja zájazdov a spojených cestovných služieb, predpokladá sa zlepšenie podnikateľského prostredia a konkurencieschopnosti cestovných kancelárií aj pri cezhraničnom poskytovaní služieb. Rovnako sa ustanoveniami, ktoré upravujú rozšírenie povinností v rámci zabezpečenia ochrany pre prípad úpadku, t.j. zvýšenie poistenie sumy alebo bankovej záruky z 25% na 30% ročných plánovaných tržieb z predaja zájazdov alebo spojených cestovných služieb, prejavia aj pozitívne vplyvy na finančný sektor – banky, poisťovne. </w:t>
            </w:r>
          </w:p>
          <w:p w:rsidR="001430A4" w:rsidRPr="00B3703A" w:rsidRDefault="001430A4" w:rsidP="00984BE6">
            <w:pPr>
              <w:pStyle w:val="Odsekzoznamu"/>
              <w:spacing w:after="0" w:line="240" w:lineRule="auto"/>
              <w:ind w:left="426"/>
              <w:rPr>
                <w:rFonts w:ascii="Times New Roman" w:hAnsi="Times New Roman" w:cs="Times New Roman"/>
                <w:b/>
              </w:rPr>
            </w:pPr>
          </w:p>
        </w:tc>
      </w:tr>
      <w:tr w:rsidR="001430A4" w:rsidRPr="00B3703A" w:rsidTr="00984BE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Kontakt na spracovateľa</w:t>
            </w:r>
          </w:p>
        </w:tc>
      </w:tr>
      <w:tr w:rsidR="001430A4" w:rsidRPr="00B3703A" w:rsidTr="00984BE6">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rPr>
                <w:rFonts w:ascii="Times New Roman" w:hAnsi="Times New Roman" w:cs="Times New Roman"/>
              </w:rPr>
            </w:pPr>
            <w:r w:rsidRPr="00B3703A">
              <w:rPr>
                <w:rFonts w:ascii="Times New Roman" w:hAnsi="Times New Roman" w:cs="Times New Roman"/>
              </w:rPr>
              <w:t xml:space="preserve">Mgr. Ivana </w:t>
            </w:r>
            <w:proofErr w:type="spellStart"/>
            <w:r w:rsidRPr="00B3703A">
              <w:rPr>
                <w:rFonts w:ascii="Times New Roman" w:hAnsi="Times New Roman" w:cs="Times New Roman"/>
              </w:rPr>
              <w:t>Hovancová</w:t>
            </w:r>
            <w:proofErr w:type="spellEnd"/>
          </w:p>
          <w:p w:rsidR="001430A4" w:rsidRPr="00B3703A" w:rsidRDefault="001430A4" w:rsidP="00984BE6">
            <w:pPr>
              <w:rPr>
                <w:rFonts w:ascii="Times New Roman" w:hAnsi="Times New Roman" w:cs="Times New Roman"/>
              </w:rPr>
            </w:pPr>
            <w:r w:rsidRPr="00B3703A">
              <w:rPr>
                <w:rFonts w:ascii="Times New Roman" w:hAnsi="Times New Roman" w:cs="Times New Roman"/>
              </w:rPr>
              <w:t>Ministerstvo hospodárstva SR</w:t>
            </w:r>
          </w:p>
          <w:p w:rsidR="001430A4" w:rsidRPr="00B3703A" w:rsidRDefault="001430A4" w:rsidP="00984BE6">
            <w:pPr>
              <w:rPr>
                <w:rFonts w:ascii="Times New Roman" w:hAnsi="Times New Roman" w:cs="Times New Roman"/>
              </w:rPr>
            </w:pPr>
            <w:r w:rsidRPr="00B3703A">
              <w:rPr>
                <w:rFonts w:ascii="Times New Roman" w:hAnsi="Times New Roman" w:cs="Times New Roman"/>
              </w:rPr>
              <w:t xml:space="preserve">odbor ochrany spotrebiteľa </w:t>
            </w:r>
          </w:p>
          <w:p w:rsidR="001430A4" w:rsidRPr="00B3703A" w:rsidRDefault="001430A4" w:rsidP="00984BE6">
            <w:pPr>
              <w:rPr>
                <w:rFonts w:ascii="Times New Roman" w:hAnsi="Times New Roman" w:cs="Times New Roman"/>
              </w:rPr>
            </w:pPr>
            <w:r w:rsidRPr="00B3703A">
              <w:rPr>
                <w:rFonts w:ascii="Times New Roman" w:hAnsi="Times New Roman" w:cs="Times New Roman"/>
              </w:rPr>
              <w:t>Mlynské nivy 44/a</w:t>
            </w:r>
          </w:p>
          <w:p w:rsidR="001430A4" w:rsidRPr="00B3703A" w:rsidRDefault="001430A4" w:rsidP="00984BE6">
            <w:pPr>
              <w:rPr>
                <w:rFonts w:ascii="Times New Roman" w:hAnsi="Times New Roman" w:cs="Times New Roman"/>
              </w:rPr>
            </w:pPr>
            <w:r w:rsidRPr="00B3703A">
              <w:rPr>
                <w:rFonts w:ascii="Times New Roman" w:hAnsi="Times New Roman" w:cs="Times New Roman"/>
              </w:rPr>
              <w:t xml:space="preserve">827 15 Bratislava 212 </w:t>
            </w:r>
          </w:p>
          <w:p w:rsidR="001430A4" w:rsidRPr="00B3703A" w:rsidRDefault="001430A4" w:rsidP="00984BE6">
            <w:pPr>
              <w:rPr>
                <w:rFonts w:ascii="Times New Roman" w:hAnsi="Times New Roman" w:cs="Times New Roman"/>
              </w:rPr>
            </w:pPr>
            <w:r w:rsidRPr="00B3703A">
              <w:rPr>
                <w:rFonts w:ascii="Times New Roman" w:hAnsi="Times New Roman" w:cs="Times New Roman"/>
              </w:rPr>
              <w:t>Tel: 00 421 4854 2411</w:t>
            </w:r>
          </w:p>
          <w:p w:rsidR="001430A4" w:rsidRPr="00B3703A" w:rsidRDefault="001430A4" w:rsidP="000772A7">
            <w:pPr>
              <w:rPr>
                <w:rFonts w:ascii="Times New Roman" w:hAnsi="Times New Roman" w:cs="Times New Roman"/>
                <w:i/>
              </w:rPr>
            </w:pPr>
            <w:r w:rsidRPr="00B3703A">
              <w:rPr>
                <w:rFonts w:ascii="Times New Roman" w:hAnsi="Times New Roman" w:cs="Times New Roman"/>
                <w:i/>
              </w:rPr>
              <w:t xml:space="preserve">e-mail: Ivana.Hovancova@mhsr.sk </w:t>
            </w:r>
          </w:p>
        </w:tc>
      </w:tr>
      <w:tr w:rsidR="001430A4" w:rsidRPr="00B3703A" w:rsidTr="00984BE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Zdroje</w:t>
            </w:r>
          </w:p>
        </w:tc>
      </w:tr>
      <w:tr w:rsidR="001430A4" w:rsidRPr="00B3703A" w:rsidTr="00984BE6">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Analýza vypracovaná Slovenskou asociáciou cestovných kancelárií a cestovných agentúr zaoberajúca sa poistením zájazdov pre prípad úpadku cestovných kancelárií.</w:t>
            </w:r>
          </w:p>
          <w:p w:rsidR="001430A4" w:rsidRPr="00B3703A" w:rsidRDefault="001430A4" w:rsidP="00984BE6">
            <w:pPr>
              <w:jc w:val="both"/>
              <w:rPr>
                <w:rFonts w:ascii="Times New Roman" w:hAnsi="Times New Roman" w:cs="Times New Roman"/>
              </w:rPr>
            </w:pP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 xml:space="preserve">Analýza vypracovaná Centrom pre hospodárske otázky Ministerstva hospodárstva Slovenskej republiky, v ktorej boli charakterizované jednotlivé možnosti zabezpečenia ochrany pre prípad úpadku v podmienkach Slovenskej republiky. </w:t>
            </w:r>
          </w:p>
          <w:p w:rsidR="001430A4" w:rsidRPr="00B3703A" w:rsidRDefault="001430A4" w:rsidP="00984BE6">
            <w:pPr>
              <w:jc w:val="both"/>
              <w:rPr>
                <w:rFonts w:ascii="Times New Roman" w:hAnsi="Times New Roman" w:cs="Times New Roman"/>
              </w:rPr>
            </w:pP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Údaje získané zo Štatistického úradu Slovenskej republiky, na základe ktorých sa odhadol približný počet cestovných kancelárií a cestovných agentúr v súčasnosti pôsobiacich na slovenskom trhu.</w:t>
            </w:r>
          </w:p>
          <w:p w:rsidR="001430A4" w:rsidRPr="00B3703A" w:rsidRDefault="001430A4" w:rsidP="00984BE6">
            <w:pPr>
              <w:jc w:val="both"/>
              <w:rPr>
                <w:rFonts w:ascii="Times New Roman" w:hAnsi="Times New Roman" w:cs="Times New Roman"/>
              </w:rPr>
            </w:pPr>
          </w:p>
          <w:p w:rsidR="001430A4" w:rsidRPr="00B3703A" w:rsidRDefault="001430A4" w:rsidP="00984BE6">
            <w:pPr>
              <w:jc w:val="both"/>
              <w:rPr>
                <w:rFonts w:ascii="Times New Roman" w:hAnsi="Times New Roman" w:cs="Times New Roman"/>
              </w:rPr>
            </w:pPr>
            <w:r w:rsidRPr="00B3703A">
              <w:rPr>
                <w:rFonts w:ascii="Times New Roman" w:hAnsi="Times New Roman" w:cs="Times New Roman"/>
              </w:rPr>
              <w:t>Kalkulačka nákladov regulácie.</w:t>
            </w:r>
          </w:p>
          <w:p w:rsidR="001430A4" w:rsidRPr="00B3703A" w:rsidRDefault="001430A4" w:rsidP="00984BE6">
            <w:pPr>
              <w:rPr>
                <w:rFonts w:ascii="Times New Roman" w:hAnsi="Times New Roman" w:cs="Times New Roman"/>
                <w:b/>
              </w:rPr>
            </w:pPr>
          </w:p>
        </w:tc>
      </w:tr>
      <w:tr w:rsidR="001430A4" w:rsidRPr="00B3703A" w:rsidTr="00984BE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1430A4" w:rsidRPr="00B3703A" w:rsidRDefault="001430A4" w:rsidP="001430A4">
            <w:pPr>
              <w:pStyle w:val="Odsekzoznamu"/>
              <w:numPr>
                <w:ilvl w:val="0"/>
                <w:numId w:val="2"/>
              </w:numPr>
              <w:spacing w:after="0" w:line="240" w:lineRule="auto"/>
              <w:ind w:left="426"/>
              <w:rPr>
                <w:rFonts w:ascii="Times New Roman" w:hAnsi="Times New Roman" w:cs="Times New Roman"/>
                <w:b/>
              </w:rPr>
            </w:pPr>
            <w:r w:rsidRPr="00B3703A">
              <w:rPr>
                <w:rFonts w:ascii="Times New Roman" w:hAnsi="Times New Roman" w:cs="Times New Roman"/>
                <w:b/>
              </w:rPr>
              <w:t>Stanovisko Komisie pre posudzovanie vybraných vplyvov z PPK</w:t>
            </w:r>
          </w:p>
        </w:tc>
      </w:tr>
      <w:tr w:rsidR="001430A4" w:rsidRPr="00B3703A" w:rsidTr="00984BE6">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430A4" w:rsidRPr="00B3703A" w:rsidRDefault="001430A4" w:rsidP="00984BE6">
            <w:pPr>
              <w:rPr>
                <w:rFonts w:ascii="Times New Roman" w:hAnsi="Times New Roman" w:cs="Times New Roman"/>
                <w:b/>
              </w:rPr>
            </w:pPr>
          </w:p>
          <w:p w:rsidR="00BD259B" w:rsidRPr="00B3703A" w:rsidRDefault="00BD259B" w:rsidP="00BD259B">
            <w:pPr>
              <w:jc w:val="both"/>
              <w:rPr>
                <w:rFonts w:ascii="Times New Roman" w:hAnsi="Times New Roman" w:cs="Times New Roman"/>
              </w:rPr>
            </w:pPr>
            <w:r w:rsidRPr="00B3703A">
              <w:rPr>
                <w:rFonts w:ascii="Times New Roman" w:hAnsi="Times New Roman" w:cs="Times New Roman"/>
                <w:b/>
              </w:rPr>
              <w:t>I. Úvod:</w:t>
            </w:r>
            <w:r w:rsidRPr="00B3703A">
              <w:rPr>
                <w:rFonts w:ascii="Times New Roman" w:hAnsi="Times New Roman" w:cs="Times New Roman"/>
              </w:rPr>
              <w:t xml:space="preserve"> Ministerstvo hospodárstva Slovenskej republiky dňa 26. októbra 2017 predložilo Stálej pracovnej komisii na posudzovanie vybraných vplyvov (ďalej len „Komisia“) na predbežné pripomienkové konanie materiál: „Návrh zákona o zájazdoch, spojených cestovných službách, niektorých podmienkach podnikania v cestovnom ruchu a o zmene a doplnení niektorých zákonov“. Materiál predpokladá pozitívno-negatívne vplyvy na podnikateľské prostredie, vrátane pozitívno-negatívnych vplyvov na malé a stredné podniky, pozitívno-negatívne sociálne vplyvy a pozitívne vplyvy na informatizáciu. </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r w:rsidRPr="00B3703A">
              <w:rPr>
                <w:rFonts w:ascii="Times New Roman" w:hAnsi="Times New Roman" w:cs="Times New Roman"/>
                <w:b/>
              </w:rPr>
              <w:t>II. Pripomienky a návrhy zmien:</w:t>
            </w:r>
            <w:r w:rsidRPr="00B3703A">
              <w:rPr>
                <w:rFonts w:ascii="Times New Roman" w:hAnsi="Times New Roman" w:cs="Times New Roman"/>
              </w:rPr>
              <w:t xml:space="preserve"> Komisia uplatňuje k materiálu nasledovné pripomienky </w:t>
            </w:r>
            <w:r w:rsidR="004A302C">
              <w:rPr>
                <w:rFonts w:ascii="Times New Roman" w:hAnsi="Times New Roman" w:cs="Times New Roman"/>
              </w:rPr>
              <w:t xml:space="preserve">                                </w:t>
            </w:r>
            <w:bookmarkStart w:id="0" w:name="_GoBack"/>
            <w:bookmarkEnd w:id="0"/>
            <w:r w:rsidRPr="00B3703A">
              <w:rPr>
                <w:rFonts w:ascii="Times New Roman" w:hAnsi="Times New Roman" w:cs="Times New Roman"/>
              </w:rPr>
              <w:t>a odporúčania:</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b/>
              </w:rPr>
            </w:pPr>
            <w:r w:rsidRPr="00B3703A">
              <w:rPr>
                <w:rFonts w:ascii="Times New Roman" w:hAnsi="Times New Roman" w:cs="Times New Roman"/>
                <w:b/>
              </w:rPr>
              <w:t>K analýze vplyvov na podnikateľské prostredie</w:t>
            </w:r>
          </w:p>
          <w:p w:rsidR="00BD259B" w:rsidRPr="00B3703A" w:rsidRDefault="00BD259B" w:rsidP="00BD259B">
            <w:pPr>
              <w:jc w:val="both"/>
              <w:rPr>
                <w:rFonts w:ascii="Times New Roman" w:hAnsi="Times New Roman" w:cs="Times New Roman"/>
              </w:rPr>
            </w:pPr>
            <w:r w:rsidRPr="00B3703A">
              <w:rPr>
                <w:rFonts w:ascii="Times New Roman" w:hAnsi="Times New Roman" w:cs="Times New Roman"/>
              </w:rPr>
              <w:t xml:space="preserve">V časti 3.1 Dotknuté podnikateľské subjekty predkladateľ na základe údajov získaných zo Štatistického úradu Slovenskej republiky uvádza, že v súčasnosti na slovenskom trhu pôsobí približne 400 subjektov podnikajúcich v oblasti cestovného ruchu a vykonávajúcich činnosti cestovných agentúr, rezervačné služby cestovných kancelárií a súvisiace činnosti, ktorých by sa predmetná úprava podľa návrhu zákona mala priamo dotknúť. Keďže sa návrhom zákona zavádza do aplikačnej praxe úplne nový pojem spojených cestovných služieb, ktorý sa potenciálne nedotkne iba vyššie kvantifikovaných cestovných kancelárií a cestovných agentúr, ale aj iných subjektov </w:t>
            </w:r>
            <w:r w:rsidRPr="00B3703A">
              <w:rPr>
                <w:rFonts w:ascii="Times New Roman" w:hAnsi="Times New Roman" w:cs="Times New Roman"/>
              </w:rPr>
              <w:lastRenderedPageBreak/>
              <w:t xml:space="preserve">(ubytovacích zariadení, prepravných spoločností, </w:t>
            </w:r>
            <w:proofErr w:type="spellStart"/>
            <w:r w:rsidRPr="00B3703A">
              <w:rPr>
                <w:rFonts w:ascii="Times New Roman" w:hAnsi="Times New Roman" w:cs="Times New Roman"/>
              </w:rPr>
              <w:t>eventových</w:t>
            </w:r>
            <w:proofErr w:type="spellEnd"/>
            <w:r w:rsidRPr="00B3703A">
              <w:rPr>
                <w:rFonts w:ascii="Times New Roman" w:hAnsi="Times New Roman" w:cs="Times New Roman"/>
              </w:rPr>
              <w:t xml:space="preserve"> agentúr atď.), Komisia by chcela predkladateľa požiadať aspoň o približné vyčíslenie počtu iných subjektov, ktorých sa návrh predmetného zákona môže dotknúť. </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r w:rsidRPr="00B3703A">
              <w:rPr>
                <w:rFonts w:ascii="Times New Roman" w:hAnsi="Times New Roman" w:cs="Times New Roman"/>
              </w:rPr>
              <w:t xml:space="preserve">V časti 3.3.1 Priame finančné náklady predkladateľ uvádza priamy finančný náklad pre cestovné kancelárie vo forme povinnosti každej z nich mať zabezpečenú ochranu pre prípad úpadku v podobe poistenia alebo bankovej záruky po celý čas prevádzkovania cestovnej kancelárie. Poistná suma alebo banková záruka pritom musí byť dohodnutá vo výške najmenej 30 % ročných plánovaných tržieb z predaja zájazdov a spojených cestovných služieb. Na základe vyššie uvedeného by Komisia chcela predkladateľa požiadať o kvantifikáciu priamych finančných nákladov aspoň formou modelového príkladu na 1 podnikateľa ktorý bol doposiaľ z danej povinnosti oslobodený (napr. ubytovacie zariadenie, prepravná spoločnosť, atď.) a po novom mu môže vzniknúť uvedená povinnosť. </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r w:rsidRPr="00B3703A">
              <w:rPr>
                <w:rFonts w:ascii="Times New Roman" w:hAnsi="Times New Roman" w:cs="Times New Roman"/>
                <w:b/>
              </w:rPr>
              <w:t>III. Záver:</w:t>
            </w:r>
            <w:r w:rsidRPr="00B3703A">
              <w:rPr>
                <w:rFonts w:ascii="Times New Roman" w:hAnsi="Times New Roman" w:cs="Times New Roman"/>
              </w:rPr>
              <w:t xml:space="preserve"> Stála pracovná komisia na posudzovanie vybraných vplyvov vyjadruje </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p>
          <w:p w:rsidR="00BD259B" w:rsidRPr="00B3703A" w:rsidRDefault="00BD259B" w:rsidP="00BD259B">
            <w:pPr>
              <w:jc w:val="center"/>
              <w:rPr>
                <w:rFonts w:ascii="Times New Roman" w:hAnsi="Times New Roman" w:cs="Times New Roman"/>
                <w:b/>
              </w:rPr>
            </w:pPr>
            <w:r w:rsidRPr="00B3703A">
              <w:rPr>
                <w:rFonts w:ascii="Times New Roman" w:hAnsi="Times New Roman" w:cs="Times New Roman"/>
                <w:b/>
              </w:rPr>
              <w:t>súhlasné stanovisko s návrhom na dopracovanie</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r w:rsidRPr="00B3703A">
              <w:rPr>
                <w:rFonts w:ascii="Times New Roman" w:hAnsi="Times New Roman" w:cs="Times New Roman"/>
              </w:rPr>
              <w:t>s materiálom predloženým na predbežné pripomienkové konanie s odporúčaním na jeho dopracovanie podľa pripomienok v bode II.</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p>
          <w:p w:rsidR="001430A4" w:rsidRPr="00B3703A" w:rsidRDefault="00BD259B" w:rsidP="00BD259B">
            <w:pPr>
              <w:jc w:val="both"/>
              <w:rPr>
                <w:rFonts w:ascii="Times New Roman" w:hAnsi="Times New Roman" w:cs="Times New Roman"/>
              </w:rPr>
            </w:pPr>
            <w:r w:rsidRPr="00B3703A">
              <w:rPr>
                <w:rFonts w:ascii="Times New Roman" w:hAnsi="Times New Roman" w:cs="Times New Roman"/>
                <w:b/>
              </w:rPr>
              <w:t>IV. Poznámka</w:t>
            </w:r>
            <w:r w:rsidRPr="00B3703A">
              <w:rPr>
                <w:rFonts w:ascii="Times New Roman" w:hAnsi="Times New Roman" w:cs="Times New Roman"/>
              </w:rPr>
              <w:t>: Predkladateľ zapracuje pripomienky a odporúčania na úpravu uvedené v bode II</w:t>
            </w:r>
            <w:r w:rsidR="004A302C">
              <w:rPr>
                <w:rFonts w:ascii="Times New Roman" w:hAnsi="Times New Roman" w:cs="Times New Roman"/>
              </w:rPr>
              <w:t xml:space="preserve">                       </w:t>
            </w:r>
            <w:r w:rsidRPr="00B3703A">
              <w:rPr>
                <w:rFonts w:ascii="Times New Roman" w:hAnsi="Times New Roman" w:cs="Times New Roman"/>
              </w:rPr>
              <w:t xml:space="preserve"> a uvedie stanovisko Komisie do doložky vybraných vplyvov spolu s vyhodnotením pripomienok.</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b/>
                <w:u w:val="single"/>
              </w:rPr>
            </w:pPr>
            <w:r w:rsidRPr="00B3703A">
              <w:rPr>
                <w:rFonts w:ascii="Times New Roman" w:hAnsi="Times New Roman" w:cs="Times New Roman"/>
                <w:b/>
                <w:u w:val="single"/>
              </w:rPr>
              <w:t>Vyhodnotenie pripomienok:</w:t>
            </w:r>
          </w:p>
          <w:p w:rsidR="00BD259B" w:rsidRPr="00B3703A" w:rsidRDefault="00BD259B" w:rsidP="00BD259B">
            <w:pPr>
              <w:jc w:val="both"/>
              <w:rPr>
                <w:rFonts w:ascii="Times New Roman" w:hAnsi="Times New Roman" w:cs="Times New Roman"/>
                <w:u w:val="single"/>
              </w:rPr>
            </w:pPr>
          </w:p>
          <w:p w:rsidR="00BD259B" w:rsidRPr="00B3703A" w:rsidRDefault="00BD259B" w:rsidP="00BD259B">
            <w:pPr>
              <w:jc w:val="both"/>
              <w:rPr>
                <w:rFonts w:ascii="Times New Roman" w:hAnsi="Times New Roman" w:cs="Times New Roman"/>
                <w:b/>
              </w:rPr>
            </w:pPr>
            <w:r w:rsidRPr="00B3703A">
              <w:rPr>
                <w:rFonts w:ascii="Times New Roman" w:hAnsi="Times New Roman" w:cs="Times New Roman"/>
                <w:b/>
              </w:rPr>
              <w:t>K analýze vplyvov na podnikateľské prostredie</w:t>
            </w:r>
          </w:p>
          <w:p w:rsidR="00BD259B" w:rsidRPr="00B3703A" w:rsidRDefault="00BD259B" w:rsidP="00BD259B">
            <w:pPr>
              <w:jc w:val="both"/>
              <w:rPr>
                <w:rFonts w:ascii="Times New Roman" w:hAnsi="Times New Roman" w:cs="Times New Roman"/>
              </w:rPr>
            </w:pPr>
            <w:r w:rsidRPr="00B3703A">
              <w:rPr>
                <w:rFonts w:ascii="Times New Roman" w:hAnsi="Times New Roman" w:cs="Times New Roman"/>
              </w:rPr>
              <w:t>V nadväznosti na prvú pripomienku, týkajúcu sa vyčíslenia počtu iných subjektov, ktorých sa návrh predmetného zákona môže dotknúť, si dovoľujeme uviesť, že nakoľko je inštitút spojených cestovných služieb úplne novým pojmom, ktorého aplikácia v praxi zatiaľ nie je nijako overená, nie je možné kvantifikovať</w:t>
            </w:r>
            <w:r w:rsidR="009405CE" w:rsidRPr="00B3703A">
              <w:rPr>
                <w:rFonts w:ascii="Times New Roman" w:hAnsi="Times New Roman" w:cs="Times New Roman"/>
              </w:rPr>
              <w:t xml:space="preserve"> počet </w:t>
            </w:r>
            <w:r w:rsidRPr="00B3703A">
              <w:rPr>
                <w:rFonts w:ascii="Times New Roman" w:hAnsi="Times New Roman" w:cs="Times New Roman"/>
              </w:rPr>
              <w:t>subjektov aktuálne pôsobiacich na trhu</w:t>
            </w:r>
            <w:r w:rsidR="009405CE" w:rsidRPr="00B3703A">
              <w:rPr>
                <w:rFonts w:ascii="Times New Roman" w:hAnsi="Times New Roman" w:cs="Times New Roman"/>
              </w:rPr>
              <w:t>, ktoré</w:t>
            </w:r>
            <w:r w:rsidRPr="00B3703A">
              <w:rPr>
                <w:rFonts w:ascii="Times New Roman" w:hAnsi="Times New Roman" w:cs="Times New Roman"/>
              </w:rPr>
              <w:t xml:space="preserve"> budú tento druh služieb reál</w:t>
            </w:r>
            <w:r w:rsidR="009405CE" w:rsidRPr="00B3703A">
              <w:rPr>
                <w:rFonts w:ascii="Times New Roman" w:hAnsi="Times New Roman" w:cs="Times New Roman"/>
              </w:rPr>
              <w:t>ne poskytovať.  V</w:t>
            </w:r>
            <w:r w:rsidRPr="00B3703A">
              <w:rPr>
                <w:rFonts w:ascii="Times New Roman" w:hAnsi="Times New Roman" w:cs="Times New Roman"/>
              </w:rPr>
              <w:t xml:space="preserve"> súčasnosti </w:t>
            </w:r>
            <w:r w:rsidR="009405CE" w:rsidRPr="00B3703A">
              <w:rPr>
                <w:rFonts w:ascii="Times New Roman" w:hAnsi="Times New Roman" w:cs="Times New Roman"/>
              </w:rPr>
              <w:t xml:space="preserve">preto </w:t>
            </w:r>
            <w:r w:rsidRPr="00B3703A">
              <w:rPr>
                <w:rFonts w:ascii="Times New Roman" w:hAnsi="Times New Roman" w:cs="Times New Roman"/>
              </w:rPr>
              <w:t xml:space="preserve">nie je možné ani odhadom kvantifikovať ich počet, s výnimkou uvedených cestovných kancelárií a cestovných agentúr aktuálne pôsobiacich na slovenskom trhu.  </w:t>
            </w:r>
          </w:p>
          <w:p w:rsidR="00BD259B" w:rsidRPr="00B3703A" w:rsidRDefault="00BD259B" w:rsidP="00BD259B">
            <w:pPr>
              <w:jc w:val="both"/>
              <w:rPr>
                <w:rFonts w:ascii="Times New Roman" w:hAnsi="Times New Roman" w:cs="Times New Roman"/>
              </w:rPr>
            </w:pPr>
          </w:p>
          <w:p w:rsidR="00BD259B" w:rsidRPr="00B3703A" w:rsidRDefault="00BD259B" w:rsidP="00BD259B">
            <w:pPr>
              <w:jc w:val="both"/>
              <w:rPr>
                <w:rFonts w:ascii="Times New Roman" w:hAnsi="Times New Roman" w:cs="Times New Roman"/>
              </w:rPr>
            </w:pPr>
          </w:p>
          <w:p w:rsidR="001430A4" w:rsidRPr="00B3703A" w:rsidRDefault="00BD259B" w:rsidP="008845E8">
            <w:pPr>
              <w:jc w:val="both"/>
              <w:rPr>
                <w:rFonts w:ascii="Times New Roman" w:hAnsi="Times New Roman" w:cs="Times New Roman"/>
              </w:rPr>
            </w:pPr>
            <w:r w:rsidRPr="00B3703A">
              <w:rPr>
                <w:rFonts w:ascii="Times New Roman" w:hAnsi="Times New Roman" w:cs="Times New Roman"/>
              </w:rPr>
              <w:t xml:space="preserve">K druhej pripomienke si dovoľujeme </w:t>
            </w:r>
            <w:r w:rsidR="009405CE" w:rsidRPr="00B3703A">
              <w:rPr>
                <w:rFonts w:ascii="Times New Roman" w:hAnsi="Times New Roman" w:cs="Times New Roman"/>
              </w:rPr>
              <w:t>podotknúť</w:t>
            </w:r>
            <w:r w:rsidRPr="00B3703A">
              <w:rPr>
                <w:rFonts w:ascii="Times New Roman" w:hAnsi="Times New Roman" w:cs="Times New Roman"/>
              </w:rPr>
              <w:t xml:space="preserve">, že zmluva o ochrane pre prípad úpadku sa uzatvára výlučne medzi dvoma súkromnými subjektmi, a to cestovnou kanceláriou a poisťovňou. Každá z poisťovní postupuje pri určovaní poistnej sumy na základe svojich vlastných interných postupov, pričom záleží aj od podmienok, ktoré si dohodnú v danej konkrétnej zmluve príslušné subjekty. </w:t>
            </w:r>
            <w:r w:rsidR="008845E8" w:rsidRPr="00B3703A">
              <w:rPr>
                <w:rFonts w:ascii="Times New Roman" w:hAnsi="Times New Roman" w:cs="Times New Roman"/>
              </w:rPr>
              <w:t>Nakoľko sa tento postup od prípadu k prípadu mení (v závislosti od subjektov, tržieb cestovných kancelárií a podobe), nie je možné tento modelový príklad do analýzy vplyvov zapracovať. Navyše ako bolo uvedené v súvislosti s prvou pripomienkou, nevieme odhadnúť nakoľko sa bude inštitút spojených cestovných služieb uplatňovať subjektmi</w:t>
            </w:r>
            <w:r w:rsidR="009405CE" w:rsidRPr="00B3703A">
              <w:rPr>
                <w:rFonts w:ascii="Times New Roman" w:hAnsi="Times New Roman" w:cs="Times New Roman"/>
              </w:rPr>
              <w:t>,</w:t>
            </w:r>
            <w:r w:rsidR="008845E8" w:rsidRPr="00B3703A">
              <w:rPr>
                <w:rFonts w:ascii="Times New Roman" w:hAnsi="Times New Roman" w:cs="Times New Roman"/>
              </w:rPr>
              <w:t xml:space="preserve"> akými sú ubytovacie zariadenia, prepravné spoločnosti a iné, ani koľko ich celkových tržieb by tieto príjmy reálne tvorili, preto nie je možné tieto dopady priamo klasifikovať. </w:t>
            </w:r>
          </w:p>
          <w:p w:rsidR="008845E8" w:rsidRPr="00B3703A" w:rsidRDefault="008845E8" w:rsidP="008845E8">
            <w:pPr>
              <w:jc w:val="both"/>
              <w:rPr>
                <w:rFonts w:ascii="Times New Roman" w:hAnsi="Times New Roman" w:cs="Times New Roman"/>
              </w:rPr>
            </w:pPr>
          </w:p>
          <w:p w:rsidR="008845E8" w:rsidRPr="00B3703A" w:rsidRDefault="008845E8" w:rsidP="008845E8">
            <w:pPr>
              <w:jc w:val="both"/>
              <w:rPr>
                <w:rFonts w:ascii="Times New Roman" w:hAnsi="Times New Roman" w:cs="Times New Roman"/>
                <w:b/>
              </w:rPr>
            </w:pPr>
            <w:r w:rsidRPr="00B3703A">
              <w:rPr>
                <w:rFonts w:ascii="Times New Roman" w:hAnsi="Times New Roman" w:cs="Times New Roman"/>
              </w:rPr>
              <w:t>Na základe vyššie uvedeného si dovoľujeme uviesť, že dané pripomienky nie je možné zapracovať v rámci doložky vplyvov.</w:t>
            </w:r>
            <w:r w:rsidRPr="00B3703A">
              <w:rPr>
                <w:rFonts w:ascii="Times New Roman" w:hAnsi="Times New Roman" w:cs="Times New Roman"/>
                <w:b/>
              </w:rPr>
              <w:t xml:space="preserve"> </w:t>
            </w:r>
          </w:p>
        </w:tc>
      </w:tr>
    </w:tbl>
    <w:p w:rsidR="00327746" w:rsidRPr="00B3703A" w:rsidRDefault="00327746" w:rsidP="000772A7">
      <w:pPr>
        <w:rPr>
          <w:sz w:val="22"/>
          <w:szCs w:val="22"/>
        </w:rPr>
      </w:pPr>
    </w:p>
    <w:sectPr w:rsidR="00327746" w:rsidRPr="00B3703A" w:rsidSect="004A302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156A"/>
    <w:multiLevelType w:val="hybridMultilevel"/>
    <w:tmpl w:val="8CCCDC22"/>
    <w:lvl w:ilvl="0" w:tplc="D1D220B2">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A4"/>
    <w:rsid w:val="000772A7"/>
    <w:rsid w:val="001430A4"/>
    <w:rsid w:val="001B79E9"/>
    <w:rsid w:val="002176A9"/>
    <w:rsid w:val="002E23B4"/>
    <w:rsid w:val="00327746"/>
    <w:rsid w:val="004204B1"/>
    <w:rsid w:val="004A302C"/>
    <w:rsid w:val="006F0326"/>
    <w:rsid w:val="008845E8"/>
    <w:rsid w:val="008E6455"/>
    <w:rsid w:val="009405CE"/>
    <w:rsid w:val="00B3703A"/>
    <w:rsid w:val="00B779AF"/>
    <w:rsid w:val="00BD25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30A4"/>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430A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430A4"/>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1430A4"/>
    <w:rPr>
      <w:rFonts w:ascii="Tahoma" w:hAnsi="Tahoma" w:cs="Tahoma"/>
      <w:sz w:val="16"/>
      <w:szCs w:val="16"/>
    </w:rPr>
  </w:style>
  <w:style w:type="character" w:customStyle="1" w:styleId="TextbublinyChar">
    <w:name w:val="Text bubliny Char"/>
    <w:basedOn w:val="Predvolenpsmoodseku"/>
    <w:link w:val="Textbubliny"/>
    <w:uiPriority w:val="99"/>
    <w:semiHidden/>
    <w:rsid w:val="001430A4"/>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30A4"/>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430A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430A4"/>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1430A4"/>
    <w:rPr>
      <w:rFonts w:ascii="Tahoma" w:hAnsi="Tahoma" w:cs="Tahoma"/>
      <w:sz w:val="16"/>
      <w:szCs w:val="16"/>
    </w:rPr>
  </w:style>
  <w:style w:type="character" w:customStyle="1" w:styleId="TextbublinyChar">
    <w:name w:val="Text bubliny Char"/>
    <w:basedOn w:val="Predvolenpsmoodseku"/>
    <w:link w:val="Textbubliny"/>
    <w:uiPriority w:val="99"/>
    <w:semiHidden/>
    <w:rsid w:val="001430A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2360</Words>
  <Characters>13457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Viraghova Veronika</dc:creator>
  <cp:revision>4</cp:revision>
  <cp:lastPrinted>2018-02-07T08:46:00Z</cp:lastPrinted>
  <dcterms:created xsi:type="dcterms:W3CDTF">2018-02-06T07:00:00Z</dcterms:created>
  <dcterms:modified xsi:type="dcterms:W3CDTF">2018-02-07T08:46:00Z</dcterms:modified>
</cp:coreProperties>
</file>