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836CF" w:rsidRDefault="005836CF">
      <w:pPr>
        <w:jc w:val="center"/>
        <w:divId w:val="2122143080"/>
        <w:rPr>
          <w:rFonts w:ascii="Times" w:hAnsi="Times" w:cs="Times"/>
          <w:sz w:val="25"/>
          <w:szCs w:val="25"/>
        </w:rPr>
      </w:pPr>
      <w:r>
        <w:rPr>
          <w:rFonts w:ascii="Times" w:hAnsi="Times" w:cs="Times"/>
          <w:sz w:val="25"/>
          <w:szCs w:val="25"/>
        </w:rPr>
        <w:t xml:space="preserve">Návrh na ratifikáciu Dodatkového protokolu k Dohovoru Rady Európy o predchádzaní terorizmu Slovenskou republikou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836CF" w:rsidP="005836CF">
            <w:pPr>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836CF" w:rsidP="005836CF">
            <w:pPr>
              <w:spacing w:after="0" w:line="240" w:lineRule="auto"/>
              <w:rPr>
                <w:rFonts w:ascii="Times New Roman" w:hAnsi="Times New Roman" w:cs="Calibri"/>
                <w:sz w:val="20"/>
                <w:szCs w:val="20"/>
              </w:rPr>
            </w:pPr>
            <w:r>
              <w:rPr>
                <w:rFonts w:ascii="Times" w:hAnsi="Times" w:cs="Times"/>
                <w:sz w:val="25"/>
                <w:szCs w:val="25"/>
              </w:rPr>
              <w:t>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836CF" w:rsidP="005836CF">
            <w:pPr>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836CF" w:rsidP="005836C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836CF" w:rsidP="005836C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836CF" w:rsidRDefault="005836C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836CF">
        <w:trPr>
          <w:divId w:val="20816339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Vôbec nezaslali</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x</w:t>
            </w:r>
          </w:p>
        </w:tc>
      </w:tr>
      <w:tr w:rsidR="005836CF">
        <w:trPr>
          <w:divId w:val="2081633999"/>
          <w:jc w:val="center"/>
        </w:trPr>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836CF" w:rsidRDefault="005836C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836CF" w:rsidRDefault="005836C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Spôsob vyhodnotenia</w:t>
            </w: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k predloženému návrhu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Beriem na vedomie, že materiál nemá vplyv na rozpočet verejnej správy. Keďže sa však v tomto návrhu ukladajú povinnosti zmluvným stranám prijať potrebné opatrenia, upozorňujem, že do bodu 10. doložky vybraných vplyvov je potrebné uviesť, že plnenie týchto záväzkov bude zabezpečené v rámci schválených limitov výdavkov a počtu zamestnancov dotknutých subjektov rozpočtu verejnej správy na príslušný rozpočtový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 xml:space="preserve">V Dodatkovom protokole je podľa Článku 7 výmena informácií konkretizovaná záväzkom zriadenia a prevádzkovania kontaktného miesta umožňujúceho nepretržitú a urýchlenú (24 hodín, sedem dní v týždni) výmenu informácií o osobách cestujúcich do zahraničia na účel terorizmu, pričom bude možné </w:t>
            </w:r>
            <w:r>
              <w:rPr>
                <w:rFonts w:ascii="Times" w:hAnsi="Times" w:cs="Times"/>
                <w:sz w:val="25"/>
                <w:szCs w:val="25"/>
              </w:rPr>
              <w:lastRenderedPageBreak/>
              <w:t xml:space="preserve">určiť už existujúce kontaktné miesto. Napriek tomu, že gestorom návrhu protokolu je Ministerstvo spravodlivosti SR, nie je určené a teda nám zrejmé, ktorý orgán SR bude plniť funkciu kontaktného miesta v zmysle Dodatkového protokolu. Túto problematiku je nutné vyriešiť, aby v prípade ratifikácie SR plnila svoje záväzky podľa obsahu Dodatkového protokolu.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t xml:space="preserve">Pripomienku predkladateľ berie na vedomie, avšak výmena informácií (vrátane takej aká je naformulovaná v čl. 7 dodatkového protokolu) je realizovaná prostredníctvom národnej ústredne SIRENE zriadenej k 1. </w:t>
            </w:r>
            <w:r>
              <w:rPr>
                <w:rFonts w:ascii="Times" w:hAnsi="Times" w:cs="Times"/>
                <w:sz w:val="25"/>
                <w:szCs w:val="25"/>
              </w:rPr>
              <w:lastRenderedPageBreak/>
              <w:t xml:space="preserve">januáru 2004, ktorá je začlenená do organizačnej štruktúry Úradu medzinárodnej policajnej spolupráce Prezídia Policajného zboru. Národná ústredňa SIRENE predstavuje osobitný útvar zabezpečujúci výmenu doplňujúcich informácií a osobných údajov k záznamom spracúvaných v Schengenskom informačnom systéme, ktorý je informačným systémom súvisiacim so slobodou pohybu v schengenskom priestore, prostredníctvom ktorého je možné zabezpečiť výmenu dôležitých informácií potrebných pre určené orgány zodpovedné predovšetkým za bezpečnosť, ochranu verejného poriadku, osôb a majetku. Okrem uvedeného je výmena informácií vo vzťahu k štátom, ktoré nepoužívajú Schengenský informačný systém upravená aj v rámci ustanovení piatej časti zákona č. 301/2005 Z. z. Trestný poriadok (najmä § 484 Trestného poriadku), kedy je realizovaná prostredníctvom národnej ústredne Interpolu, ktorá plní funkciu styčného prvku medzi operatívnymi aktivitami </w:t>
            </w:r>
            <w:r>
              <w:rPr>
                <w:rFonts w:ascii="Times" w:hAnsi="Times" w:cs="Times"/>
                <w:sz w:val="25"/>
                <w:szCs w:val="25"/>
              </w:rPr>
              <w:lastRenderedPageBreak/>
              <w:t>útvarov rozličných policajných služieb, kedykoľvek tieto aktivity obsahujú medzinárodný prvok.</w:t>
            </w: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Z ustanovenia Článku 7 možno vyvodiť záver, že komunikácia v zmysle tohto článku bude prebiehať medzi kontaktnými miestami prevádzkovanými štátmi, ktoré ratifikovali Dodatkový protokol. Preto navrhujeme určiť subjekt, ktorý bude priebežne sledovať, ktoré štáty pristúpili k ratifikácii a aké určili kontaktné miesta a následne s týmito miestami potom nadviaže spojenie kontaktné miesto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t xml:space="preserve">Pripomienku berie predkladateľ na vedomie, avšak domnieva sa, že v danom prípade ide o štandardný právny styk s cudzinou, ktorého úprava je dostatočná, pričom vo vzťahu k monitorovaniu štátov, ktoré pristúpili k ratifikácii je potrebné poukázať na skutočnosť, že ide o verejne dostupné informácie a preto sa nejaví ako potrebné určenie subjektu, ktorý by priebežne sledoval, ktoré štáty pristúpili k ratifikácii, pričom konkrétne kontaktné miesta je taktiež možné zistiť bez potreby určenia jedného konkrétneho subjektu, ktorý by sa v rámci svojej činnosti týmto zaoberal. </w:t>
            </w: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 xml:space="preserve">K doložke vybraných vplyvov Pri vypracovaní doložky vybraných vplyvov je potrebné použiť aktuálne účinnú šablónu doložky vybraných vplyvov podľa Jednotnej metodiky na posudzovanie vybraných vplyvov (v predloženej šablóne nie sú zhodnotené vplyvy na služby verejnej správy pre občana ako jeden z vybraných vplyvov podľa danej metodiky). Požadované </w:t>
            </w:r>
            <w:r>
              <w:rPr>
                <w:rFonts w:ascii="Times" w:hAnsi="Times" w:cs="Times"/>
                <w:sz w:val="25"/>
                <w:szCs w:val="25"/>
              </w:rPr>
              <w:lastRenderedPageBreak/>
              <w:t xml:space="preserve">informácie podľa bodov 5 a 12 je potrebné uviesť tak, aby boli v súlade s ustanovenými minimálnymi obsahovými požiadavkami doložky vybraných vplyvov podľa časti II. Jednotnej metodiky na posudzovanie vybraných vplyvov; v predloženom návrhu tieto informácie úplne absentujú.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 xml:space="preserve">Celý materiál - v celom materiáli navrhujeme vypustiť z názvu slovné spojenie „Slovenskou republikou“; - keďže dodatkový protokol nespadá pod kategorizáciu článku 7 ods. 5 Ústavy SR (medzinárodná zmluva o ľudských právach a základných slobodách, ktorá má prednosť pred zákonmi SR) je potrebné, aby celý materiál bol upravený podľa kategorizácie článku 7 ods. 4 Ústavy SR (medzinárodná zmluva, na ktorej vykonanie je potrebný zákon), kde sa vyžaduje pred ratifikáciou súhlas Národnej rady SR. Obal materiálu: - navrhujeme vypustiť bod 7. „Doložka prednosti“; Návrh uznesenia vlády SR - bod B.2 navrhujeme v nasledujúcom znení: „vysloviť súhlas s dodatkovým protokolom“; - bod C.1. navrhujeme v nasledujúcom znení: „predložiť dodatkový protokol Národnej rade SR“; Predkladacia správa - poslednú vetu druhého odseku navrhujeme v nasledujúcom znení: „Dodatkový protokol bol doteraz ratifikovaný dvanástimi štátmi.“ V tejto súvislosti je potrebné aj </w:t>
            </w:r>
            <w:r>
              <w:rPr>
                <w:rFonts w:ascii="Times" w:hAnsi="Times" w:cs="Times"/>
                <w:sz w:val="25"/>
                <w:szCs w:val="25"/>
              </w:rPr>
              <w:lastRenderedPageBreak/>
              <w:t>upraviť názvy štátov v poznámke č. 2 pod čiarou; - piaty odsek navrhujeme v nasledujúcom znení: „Predmetný dodatkový protokol je medzinárodnou zmluvou podľa čl. 7 ods. 4 Ústavy SR, na vykonanie ktorej je potrebný zákon, najmä Trestný zákon a Trestný poriadok. Po podpise bude dodatkový protokol predložený na vyslovenie súhlasu Národnej rade SR a následne prezidentovi SR na ratifikáciu. Dodatkový protokol bude po ratifikácii vyhlásený spôsobom ustanoveným zákonom. Za účelom implementácie dodatkového protokolu v SR boli prijaté legislatívne zmeny obsiahnuté v rámci vládneho návrhu zákona, ktorým sa mení a dopĺňa zákon č. 300/2005 Z. z. Trestný zákon v znení neskorších predpisov a ktorým sa menia a dopĺňajú niektoré zákony (tlač 865). Vládny návrh zákona, prostredníctvom ktorého sa zabezpečuje súlad právneho poriadku Slovenskej republiky s dodatkovým protokolom bol dňa 15. mája 2018 schválený v treťom čítaní v Národnej rade Slovenskej republiky.“ Doložka prednosti - vypustiť; Návrh uznesenia Národnej rady SR: - vypustiť bod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V návrhu uznesenia NR SR v časti A. je potrebné slová "s Dodatkového protokolu" nahradiť slovami "s ratifikáciou Dodatkového protokolu",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r w:rsidR="005836CF">
        <w:trPr>
          <w:divId w:val="20762008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rPr>
                <w:rFonts w:ascii="Times" w:hAnsi="Times" w:cs="Times"/>
                <w:sz w:val="25"/>
                <w:szCs w:val="25"/>
              </w:rPr>
            </w:pPr>
            <w:r>
              <w:rPr>
                <w:rFonts w:ascii="Times" w:hAnsi="Times" w:cs="Times"/>
                <w:sz w:val="25"/>
                <w:szCs w:val="25"/>
              </w:rPr>
              <w:br/>
              <w:t xml:space="preserve">k celému materiálu: Pred prerokovaním vo vláde SR žiadame </w:t>
            </w:r>
            <w:r>
              <w:rPr>
                <w:rFonts w:ascii="Times" w:hAnsi="Times" w:cs="Times"/>
                <w:sz w:val="25"/>
                <w:szCs w:val="25"/>
              </w:rPr>
              <w:lastRenderedPageBreak/>
              <w:t>predložiť materiál na rokovanie Bezpečnostnej rady SR. Zároveň žiadame materiál formálne doplniť o časti materiálu predkladaného na rokovanie Bezpečnostnej rady SR podľa Smernice na prípravu a predkladanie materiálov na rokovanie Bezpečnostnej rady SR. Odôvodnenie: Pripomienka sa uplatňuje v súlade s čl. 2 ods. 3 Smernice na prípravu a predkladanie materiálov na rokovanie vlády SR a súčasne v súlade s § 1 v spojitosti s § 2 písm. b) bodu 1 zákona č. 110/2004 Z. z. o fungovaní Bezpečnostnej rady Slovenskej republiky v čase mieru. Najbližšie zasadnutie Bezpečnostnej rady SR je plánované na jún 2018. V prípade potreby však môže v súlade s § 4 ods. 3 písm. a) zákona č. 110/2004 Z. z. člen Bezpečnostnej rady SR navrhnúť predsedovi Bezpečnostnej rady SR zvolanie neplánovaného zasadnutia Bezpečnostnej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36CF" w:rsidRDefault="005836C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06" w:rsidRDefault="00F94106" w:rsidP="000A67D5">
      <w:pPr>
        <w:spacing w:after="0" w:line="240" w:lineRule="auto"/>
      </w:pPr>
      <w:r>
        <w:separator/>
      </w:r>
    </w:p>
  </w:endnote>
  <w:endnote w:type="continuationSeparator" w:id="0">
    <w:p w:rsidR="00F94106" w:rsidRDefault="00F9410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A" w:rsidRDefault="00626D5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77980"/>
      <w:docPartObj>
        <w:docPartGallery w:val="Page Numbers (Bottom of Page)"/>
        <w:docPartUnique/>
      </w:docPartObj>
    </w:sdtPr>
    <w:sdtContent>
      <w:bookmarkStart w:id="0" w:name="_GoBack" w:displacedByCustomXml="prev"/>
      <w:bookmarkEnd w:id="0" w:displacedByCustomXml="prev"/>
      <w:p w:rsidR="00626D5A" w:rsidRDefault="00626D5A">
        <w:pPr>
          <w:pStyle w:val="Pta"/>
          <w:jc w:val="center"/>
        </w:pPr>
        <w:r>
          <w:fldChar w:fldCharType="begin"/>
        </w:r>
        <w:r>
          <w:instrText>PAGE   \* MERGEFORMAT</w:instrText>
        </w:r>
        <w:r>
          <w:fldChar w:fldCharType="separate"/>
        </w:r>
        <w:r>
          <w:rPr>
            <w:noProof/>
          </w:rPr>
          <w:t>1</w:t>
        </w:r>
        <w:r>
          <w:fldChar w:fldCharType="end"/>
        </w:r>
      </w:p>
    </w:sdtContent>
  </w:sdt>
  <w:p w:rsidR="00626D5A" w:rsidRDefault="00626D5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A" w:rsidRDefault="00626D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06" w:rsidRDefault="00F94106" w:rsidP="000A67D5">
      <w:pPr>
        <w:spacing w:after="0" w:line="240" w:lineRule="auto"/>
      </w:pPr>
      <w:r>
        <w:separator/>
      </w:r>
    </w:p>
  </w:footnote>
  <w:footnote w:type="continuationSeparator" w:id="0">
    <w:p w:rsidR="00F94106" w:rsidRDefault="00F94106"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A" w:rsidRDefault="00626D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A" w:rsidRDefault="00626D5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A" w:rsidRDefault="00626D5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836CF"/>
    <w:rsid w:val="0059081C"/>
    <w:rsid w:val="005E7C53"/>
    <w:rsid w:val="00626D5A"/>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9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6912">
      <w:bodyDiv w:val="1"/>
      <w:marLeft w:val="0"/>
      <w:marRight w:val="0"/>
      <w:marTop w:val="0"/>
      <w:marBottom w:val="0"/>
      <w:divBdr>
        <w:top w:val="none" w:sz="0" w:space="0" w:color="auto"/>
        <w:left w:val="none" w:sz="0" w:space="0" w:color="auto"/>
        <w:bottom w:val="none" w:sz="0" w:space="0" w:color="auto"/>
        <w:right w:val="none" w:sz="0" w:space="0" w:color="auto"/>
      </w:divBdr>
    </w:div>
    <w:div w:id="187644367">
      <w:bodyDiv w:val="1"/>
      <w:marLeft w:val="0"/>
      <w:marRight w:val="0"/>
      <w:marTop w:val="0"/>
      <w:marBottom w:val="0"/>
      <w:divBdr>
        <w:top w:val="none" w:sz="0" w:space="0" w:color="auto"/>
        <w:left w:val="none" w:sz="0" w:space="0" w:color="auto"/>
        <w:bottom w:val="none" w:sz="0" w:space="0" w:color="auto"/>
        <w:right w:val="none" w:sz="0" w:space="0" w:color="auto"/>
      </w:divBdr>
    </w:div>
    <w:div w:id="499077154">
      <w:bodyDiv w:val="1"/>
      <w:marLeft w:val="0"/>
      <w:marRight w:val="0"/>
      <w:marTop w:val="0"/>
      <w:marBottom w:val="0"/>
      <w:divBdr>
        <w:top w:val="none" w:sz="0" w:space="0" w:color="auto"/>
        <w:left w:val="none" w:sz="0" w:space="0" w:color="auto"/>
        <w:bottom w:val="none" w:sz="0" w:space="0" w:color="auto"/>
        <w:right w:val="none" w:sz="0" w:space="0" w:color="auto"/>
      </w:divBdr>
    </w:div>
    <w:div w:id="712585085">
      <w:bodyDiv w:val="1"/>
      <w:marLeft w:val="0"/>
      <w:marRight w:val="0"/>
      <w:marTop w:val="0"/>
      <w:marBottom w:val="0"/>
      <w:divBdr>
        <w:top w:val="none" w:sz="0" w:space="0" w:color="auto"/>
        <w:left w:val="none" w:sz="0" w:space="0" w:color="auto"/>
        <w:bottom w:val="none" w:sz="0" w:space="0" w:color="auto"/>
        <w:right w:val="none" w:sz="0" w:space="0" w:color="auto"/>
      </w:divBdr>
    </w:div>
    <w:div w:id="1118059738">
      <w:bodyDiv w:val="1"/>
      <w:marLeft w:val="0"/>
      <w:marRight w:val="0"/>
      <w:marTop w:val="0"/>
      <w:marBottom w:val="0"/>
      <w:divBdr>
        <w:top w:val="none" w:sz="0" w:space="0" w:color="auto"/>
        <w:left w:val="none" w:sz="0" w:space="0" w:color="auto"/>
        <w:bottom w:val="none" w:sz="0" w:space="0" w:color="auto"/>
        <w:right w:val="none" w:sz="0" w:space="0" w:color="auto"/>
      </w:divBdr>
    </w:div>
    <w:div w:id="2076200888">
      <w:bodyDiv w:val="1"/>
      <w:marLeft w:val="0"/>
      <w:marRight w:val="0"/>
      <w:marTop w:val="0"/>
      <w:marBottom w:val="0"/>
      <w:divBdr>
        <w:top w:val="none" w:sz="0" w:space="0" w:color="auto"/>
        <w:left w:val="none" w:sz="0" w:space="0" w:color="auto"/>
        <w:bottom w:val="none" w:sz="0" w:space="0" w:color="auto"/>
        <w:right w:val="none" w:sz="0" w:space="0" w:color="auto"/>
      </w:divBdr>
    </w:div>
    <w:div w:id="2081633999">
      <w:bodyDiv w:val="1"/>
      <w:marLeft w:val="0"/>
      <w:marRight w:val="0"/>
      <w:marTop w:val="0"/>
      <w:marBottom w:val="0"/>
      <w:divBdr>
        <w:top w:val="none" w:sz="0" w:space="0" w:color="auto"/>
        <w:left w:val="none" w:sz="0" w:space="0" w:color="auto"/>
        <w:bottom w:val="none" w:sz="0" w:space="0" w:color="auto"/>
        <w:right w:val="none" w:sz="0" w:space="0" w:color="auto"/>
      </w:divBdr>
    </w:div>
    <w:div w:id="21221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6.2018 13:35:08"/>
    <f:field ref="objchangedby" par="" text="Administrator, System"/>
    <f:field ref="objmodifiedat" par="" text="18.6.2018 13:35: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9534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2018-06-18T11:40:00Z</dcterms:created>
  <dcterms:modified xsi:type="dcterms:W3CDTF">2018-06-18T11:40:00Z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zmluvy, dohody, dohovory_x000d_
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Návrh na ratifikáciu Dodatkového protokolu k Dohovoru Rady Európy o predchádzaní terorizmu Slovenskou republikou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C.2. uznesenia vlády Slovenskej republiky č. 298 zo dňa 17. augusta 2016</vt:lpwstr>
  </property>
  <property fmtid="{D5CDD505-2E9C-101B-9397-08002B2CF9AE}" pid="22" name="FSC#SKEDITIONSLOVLEX@103.510:plnynazovpredpis">
    <vt:lpwstr> Návrh na ratifikáciu Dodatkového protokolu k Dohovoru Rady Európy o predchádzaní terorizmu Slovenskou republikou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27670/2018/120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COO.2145.1000.3.2775036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18. 6. 2018</vt:lpwstr>
  </property>
</Properties>
</file>