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390B" w14:textId="77777777" w:rsidR="003501A1" w:rsidRPr="00272788" w:rsidRDefault="003501A1" w:rsidP="003501A1">
      <w:pPr>
        <w:jc w:val="center"/>
        <w:rPr>
          <w:b/>
          <w:bCs/>
          <w:sz w:val="24"/>
          <w:szCs w:val="24"/>
        </w:rPr>
      </w:pPr>
      <w:r w:rsidRPr="00272788">
        <w:rPr>
          <w:b/>
          <w:bCs/>
          <w:sz w:val="24"/>
          <w:szCs w:val="24"/>
        </w:rPr>
        <w:t>Doložka vybraných vplyvov</w:t>
      </w:r>
    </w:p>
    <w:p w14:paraId="22370808" w14:textId="77777777" w:rsidR="003501A1" w:rsidRPr="00272788" w:rsidRDefault="003501A1" w:rsidP="003501A1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272788" w14:paraId="765DAC47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43BD4C0" w14:textId="77777777" w:rsidR="003501A1" w:rsidRPr="00272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272788" w14:paraId="5FB174E6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2A71A88" w14:textId="77777777" w:rsidR="003501A1" w:rsidRPr="0027278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3501A1" w:rsidRPr="00272788" w14:paraId="1632B5A6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3671F90" w14:textId="2D838341" w:rsidR="003501A1" w:rsidRPr="00272788" w:rsidRDefault="00D72D8F" w:rsidP="007B71A4">
            <w:pPr>
              <w:rPr>
                <w:sz w:val="24"/>
                <w:szCs w:val="24"/>
              </w:rPr>
            </w:pPr>
            <w:r w:rsidRPr="00D72D8F">
              <w:rPr>
                <w:sz w:val="24"/>
                <w:szCs w:val="24"/>
              </w:rPr>
              <w:t>Návrh na ukončenie platnosti všetkých bilaterálnych dohôd o ochrane a podpore investícií uzavretých s členskými štátmi Európskej únie</w:t>
            </w:r>
          </w:p>
        </w:tc>
      </w:tr>
      <w:tr w:rsidR="003501A1" w:rsidRPr="00272788" w14:paraId="780540E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26F6F15" w14:textId="77777777" w:rsidR="003501A1" w:rsidRPr="0027278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501A1" w:rsidRPr="00272788" w14:paraId="6BDC4892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8F586" w14:textId="55A3E0F5" w:rsidR="003501A1" w:rsidRPr="00272788" w:rsidRDefault="00264DAB" w:rsidP="007B71A4">
            <w:pPr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Minister</w:t>
            </w:r>
            <w:r w:rsidR="00272788">
              <w:rPr>
                <w:sz w:val="24"/>
                <w:szCs w:val="24"/>
              </w:rPr>
              <w:t>stvo</w:t>
            </w:r>
            <w:r w:rsidRPr="00272788">
              <w:rPr>
                <w:sz w:val="24"/>
                <w:szCs w:val="24"/>
              </w:rPr>
              <w:t xml:space="preserve"> </w:t>
            </w:r>
            <w:r w:rsidR="00B9362D" w:rsidRPr="00272788">
              <w:rPr>
                <w:sz w:val="24"/>
                <w:szCs w:val="24"/>
              </w:rPr>
              <w:t>financií</w:t>
            </w:r>
            <w:r w:rsidRPr="00272788">
              <w:rPr>
                <w:sz w:val="24"/>
                <w:szCs w:val="24"/>
              </w:rPr>
              <w:t xml:space="preserve"> Slovenskej republiky</w:t>
            </w:r>
          </w:p>
          <w:p w14:paraId="13101AAE" w14:textId="77777777" w:rsidR="003501A1" w:rsidRPr="00272788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272788" w14:paraId="11AF7444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7CD8EE30" w14:textId="77777777" w:rsidR="003501A1" w:rsidRPr="0027278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sz w:val="24"/>
              <w:szCs w:val="24"/>
            </w:r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936B009" w14:textId="77777777" w:rsidR="003501A1" w:rsidRPr="00272788" w:rsidRDefault="00264DAB" w:rsidP="007B71A4">
                <w:pPr>
                  <w:jc w:val="center"/>
                  <w:rPr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01D7" w14:textId="77777777" w:rsidR="003501A1" w:rsidRPr="00272788" w:rsidRDefault="003501A1" w:rsidP="007B71A4">
            <w:pPr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Materiál nelegislatívnej povahy</w:t>
            </w:r>
          </w:p>
        </w:tc>
      </w:tr>
      <w:tr w:rsidR="003501A1" w:rsidRPr="00272788" w14:paraId="040CFB79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30C2268" w14:textId="77777777" w:rsidR="003501A1" w:rsidRPr="00272788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390B11E" w14:textId="77777777" w:rsidR="003501A1" w:rsidRPr="00272788" w:rsidRDefault="00264DAB" w:rsidP="007B71A4">
                <w:pPr>
                  <w:jc w:val="center"/>
                  <w:rPr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E7B4B8" w14:textId="77777777" w:rsidR="003501A1" w:rsidRPr="00272788" w:rsidRDefault="003501A1" w:rsidP="007B71A4">
            <w:pPr>
              <w:ind w:left="175" w:hanging="175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Materiál legislatívnej povahy</w:t>
            </w:r>
          </w:p>
        </w:tc>
      </w:tr>
      <w:tr w:rsidR="003501A1" w:rsidRPr="00272788" w14:paraId="3B7A222C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117F18E" w14:textId="77777777" w:rsidR="003501A1" w:rsidRPr="00272788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E9A8897" w14:textId="77777777" w:rsidR="003501A1" w:rsidRPr="00272788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272788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76BE94" w14:textId="77777777" w:rsidR="003501A1" w:rsidRPr="00272788" w:rsidRDefault="003501A1" w:rsidP="007B71A4">
            <w:pPr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Transpozícia práva EÚ</w:t>
            </w:r>
          </w:p>
        </w:tc>
      </w:tr>
      <w:tr w:rsidR="003501A1" w:rsidRPr="00272788" w14:paraId="2D238DEE" w14:textId="77777777" w:rsidTr="00272788">
        <w:trPr>
          <w:trHeight w:val="62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67226257" w14:textId="6871C3CE" w:rsidR="003501A1" w:rsidRPr="00272788" w:rsidRDefault="003501A1" w:rsidP="00272788">
            <w:pPr>
              <w:rPr>
                <w:sz w:val="24"/>
                <w:szCs w:val="24"/>
              </w:rPr>
            </w:pPr>
            <w:r w:rsidRPr="00272788">
              <w:rPr>
                <w:i/>
                <w:sz w:val="24"/>
                <w:szCs w:val="24"/>
              </w:rPr>
              <w:t>V prípade transpozície uveďte zoznam transponovaných predpisov:</w:t>
            </w:r>
          </w:p>
        </w:tc>
      </w:tr>
      <w:tr w:rsidR="003501A1" w:rsidRPr="00272788" w14:paraId="046AAB70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808B3A2" w14:textId="77777777" w:rsidR="003501A1" w:rsidRPr="0027278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555" w14:textId="6F71B284" w:rsidR="003501A1" w:rsidRPr="00272788" w:rsidRDefault="00272788" w:rsidP="007B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1A1" w:rsidRPr="00272788" w14:paraId="34460A5C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B3FABF3" w14:textId="77777777" w:rsidR="003501A1" w:rsidRPr="0027278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</w:t>
            </w:r>
            <w:r w:rsidR="00F62771"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EF6" w14:textId="596EBB16" w:rsidR="003501A1" w:rsidRPr="00272788" w:rsidRDefault="00D72D8F" w:rsidP="00B9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01.-14.6.2018</w:t>
            </w:r>
          </w:p>
        </w:tc>
      </w:tr>
      <w:tr w:rsidR="003501A1" w:rsidRPr="00272788" w14:paraId="7737FE01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E0840D6" w14:textId="77777777" w:rsidR="003501A1" w:rsidRPr="0027278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</w:t>
            </w:r>
            <w:r w:rsidR="00F62771"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4A5" w14:textId="497828F6" w:rsidR="003501A1" w:rsidRPr="00272788" w:rsidRDefault="00FA4B88" w:rsidP="00B9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  <w:bookmarkStart w:id="0" w:name="_GoBack"/>
            <w:bookmarkEnd w:id="0"/>
            <w:r w:rsidR="00D72D8F">
              <w:rPr>
                <w:sz w:val="24"/>
                <w:szCs w:val="24"/>
              </w:rPr>
              <w:t xml:space="preserve"> </w:t>
            </w:r>
            <w:r w:rsidR="00272788">
              <w:rPr>
                <w:sz w:val="24"/>
                <w:szCs w:val="24"/>
              </w:rPr>
              <w:t>2018</w:t>
            </w:r>
          </w:p>
        </w:tc>
      </w:tr>
      <w:tr w:rsidR="003501A1" w:rsidRPr="00272788" w14:paraId="520796A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1851D1" w14:textId="77777777" w:rsidR="003501A1" w:rsidRPr="00272788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272788" w14:paraId="181C9DD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82BEC80" w14:textId="77777777" w:rsidR="003501A1" w:rsidRPr="00D72D8F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8F">
              <w:rPr>
                <w:rFonts w:ascii="Times New Roman" w:hAnsi="Times New Roman" w:cs="Times New Roman"/>
                <w:b/>
                <w:sz w:val="24"/>
                <w:szCs w:val="24"/>
              </w:rPr>
              <w:t>Defin</w:t>
            </w:r>
            <w:r w:rsidR="00AC2477" w:rsidRPr="00D72D8F">
              <w:rPr>
                <w:rFonts w:ascii="Times New Roman" w:hAnsi="Times New Roman" w:cs="Times New Roman"/>
                <w:b/>
                <w:sz w:val="24"/>
                <w:szCs w:val="24"/>
              </w:rPr>
              <w:t>ovanie</w:t>
            </w:r>
            <w:r w:rsidRPr="00D7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problému</w:t>
            </w:r>
          </w:p>
        </w:tc>
      </w:tr>
      <w:tr w:rsidR="003501A1" w:rsidRPr="00272788" w14:paraId="47E75462" w14:textId="77777777" w:rsidTr="005D05C9">
        <w:trPr>
          <w:trHeight w:val="562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F91C1" w14:textId="5AE53B0C" w:rsidR="003501A1" w:rsidRPr="00272788" w:rsidRDefault="005E1EAB" w:rsidP="005E1EAB">
            <w:pPr>
              <w:jc w:val="both"/>
              <w:rPr>
                <w:b/>
                <w:sz w:val="24"/>
                <w:szCs w:val="24"/>
              </w:rPr>
            </w:pPr>
            <w:r w:rsidRPr="000541CB">
              <w:rPr>
                <w:sz w:val="24"/>
                <w:szCs w:val="24"/>
              </w:rPr>
              <w:t xml:space="preserve">Dňa 6. marca 2018 Súdny dvor Európskej únie rozhodol, že </w:t>
            </w:r>
            <w:r>
              <w:rPr>
                <w:sz w:val="24"/>
                <w:szCs w:val="24"/>
              </w:rPr>
              <w:t xml:space="preserve">spôsob riešenia sporov </w:t>
            </w:r>
            <w:r w:rsidRPr="000541CB">
              <w:rPr>
                <w:sz w:val="24"/>
                <w:szCs w:val="24"/>
              </w:rPr>
              <w:t>medzi investorom a</w:t>
            </w:r>
            <w:r>
              <w:rPr>
                <w:sz w:val="24"/>
                <w:szCs w:val="24"/>
              </w:rPr>
              <w:t> </w:t>
            </w:r>
            <w:r w:rsidRPr="000541CB">
              <w:rPr>
                <w:sz w:val="24"/>
                <w:szCs w:val="24"/>
              </w:rPr>
              <w:t>štátom</w:t>
            </w:r>
            <w:r>
              <w:rPr>
                <w:sz w:val="24"/>
                <w:szCs w:val="24"/>
              </w:rPr>
              <w:t xml:space="preserve"> prostredníctvom medzinárodnej arbitráže</w:t>
            </w:r>
            <w:r w:rsidRPr="000541CB">
              <w:rPr>
                <w:sz w:val="24"/>
                <w:szCs w:val="24"/>
              </w:rPr>
              <w:t xml:space="preserve"> tak ako je zavedený prostredníctvom bilaterálnych investičných dohôd uzavretých vzájomne medzi členskými štátmi EÚ, je nekompatibilný s právom EÚ.</w:t>
            </w:r>
            <w:r>
              <w:rPr>
                <w:sz w:val="24"/>
                <w:szCs w:val="24"/>
              </w:rPr>
              <w:t xml:space="preserve"> Č</w:t>
            </w:r>
            <w:r w:rsidRPr="005E1EAB">
              <w:rPr>
                <w:sz w:val="24"/>
                <w:szCs w:val="24"/>
              </w:rPr>
              <w:t>lenské štáty sú povinné vyvodiť dôsledky vyplývajúce z</w:t>
            </w:r>
            <w:r>
              <w:rPr>
                <w:sz w:val="24"/>
                <w:szCs w:val="24"/>
              </w:rPr>
              <w:t xml:space="preserve"> tohto</w:t>
            </w:r>
            <w:r w:rsidRPr="005E1EAB">
              <w:rPr>
                <w:sz w:val="24"/>
                <w:szCs w:val="24"/>
              </w:rPr>
              <w:t xml:space="preserve"> rozhodnutia, a to na základe zásady lojálnej spolupráce podľa čl. 4 ods. 3 Zmluvy o Európskej únii a v súlade so všeobecnými princípmi autonómie, prednosti a priameho účinku práva EÚ. Členské štáty majú povinnosť okamžite ukončiť všetky </w:t>
            </w:r>
            <w:r>
              <w:rPr>
                <w:sz w:val="24"/>
                <w:szCs w:val="24"/>
              </w:rPr>
              <w:t xml:space="preserve">tieto </w:t>
            </w:r>
            <w:r w:rsidRPr="005E1EAB">
              <w:rPr>
                <w:sz w:val="24"/>
                <w:szCs w:val="24"/>
              </w:rPr>
              <w:t>dohody</w:t>
            </w:r>
            <w:r>
              <w:rPr>
                <w:sz w:val="24"/>
                <w:szCs w:val="24"/>
              </w:rPr>
              <w:t>.</w:t>
            </w:r>
          </w:p>
        </w:tc>
      </w:tr>
      <w:tr w:rsidR="003501A1" w:rsidRPr="00272788" w14:paraId="723F2F0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09D0115" w14:textId="77777777" w:rsidR="003501A1" w:rsidRPr="00272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3501A1" w:rsidRPr="00272788" w14:paraId="1BB2155A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D47A2" w14:textId="4995B012" w:rsidR="003501A1" w:rsidRPr="00272788" w:rsidRDefault="005E1EAB" w:rsidP="005E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Navrhuje sa iniciatívne osloviť členské štáty s návrhom na ukončenie platnosti tzv. intra-EÚ dohôd vzájomnou dohodou. V prípade pozitívnej reakcie osloveného členského štátu možno následne prijať ďalšie kroky, v závislosti od dohody strán, smerujúce k okamžitému ukončeniu platnosti dohody. Výsledkom by malo byť ukončenie platnosti všetkých takýchto dohôd, čím bude odstránení rozpor s právom EÚ.</w:t>
            </w:r>
          </w:p>
        </w:tc>
      </w:tr>
      <w:tr w:rsidR="003501A1" w:rsidRPr="00272788" w14:paraId="3E8822E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E9EF25" w14:textId="77777777" w:rsidR="003501A1" w:rsidRPr="00272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3501A1" w:rsidRPr="00272788" w14:paraId="12314B39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A0291" w14:textId="293C720F" w:rsidR="003501A1" w:rsidRPr="00272788" w:rsidRDefault="003501A1" w:rsidP="00272788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272788" w14:paraId="39E4735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81F7552" w14:textId="77777777" w:rsidR="003501A1" w:rsidRPr="00272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3501A1" w:rsidRPr="00272788" w14:paraId="2007803B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91B43" w14:textId="05AF5E81" w:rsidR="003501A1" w:rsidRPr="00272788" w:rsidRDefault="00ED339C" w:rsidP="00272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Alternatívnym riešením by bolo ukončenie platnosti všetkých </w:t>
            </w:r>
            <w:r w:rsidR="005E1EAB">
              <w:rPr>
                <w:sz w:val="24"/>
                <w:szCs w:val="24"/>
              </w:rPr>
              <w:t xml:space="preserve">bilaterálnych investičných dohôd uzavretých medzi členským štátmi EÚ na multilaterálnej úrovni. Nakoľko v súčasnosti neexistuje jednotný postoj medzi členskými štátmi EÚ by išlo o proces značne náročný, </w:t>
            </w:r>
            <w:r w:rsidR="005E1EAB" w:rsidRPr="005E1EAB">
              <w:rPr>
                <w:sz w:val="24"/>
                <w:szCs w:val="24"/>
              </w:rPr>
              <w:t>a to najmä z časového ako aj politického hľadiska, preto nie je možné predpokladať, že by sa v najbližšom období podarilo na celoeurópskej úrovni dosiahnuť uspokojivé výsledky</w:t>
            </w:r>
            <w:r w:rsidR="005E1EAB">
              <w:rPr>
                <w:sz w:val="24"/>
                <w:szCs w:val="24"/>
              </w:rPr>
              <w:t>.</w:t>
            </w:r>
          </w:p>
        </w:tc>
      </w:tr>
      <w:tr w:rsidR="003501A1" w:rsidRPr="00272788" w14:paraId="5571EC5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ACF1553" w14:textId="77777777" w:rsidR="003501A1" w:rsidRPr="00272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272788" w14:paraId="5DF07EB5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4A19F" w14:textId="22478665" w:rsidR="003501A1" w:rsidRPr="00272788" w:rsidRDefault="003501A1" w:rsidP="007B71A4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390657" w14:textId="521F9963" w:rsidR="003501A1" w:rsidRPr="00272788" w:rsidRDefault="00FA4B88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F05" w:rsidRPr="00272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01A1" w:rsidRPr="00272788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B4E636" w14:textId="64C4C994" w:rsidR="003501A1" w:rsidRPr="00272788" w:rsidRDefault="00FA4B88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3A9" w:rsidRPr="00272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501A1" w:rsidRPr="00272788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272788" w14:paraId="321386CB" w14:textId="77777777" w:rsidTr="00C101DE">
        <w:trPr>
          <w:trHeight w:val="232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A1925" w14:textId="6402C719" w:rsidR="003501A1" w:rsidRPr="00272788" w:rsidRDefault="003501A1" w:rsidP="005E1EA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501A1" w:rsidRPr="00272788" w14:paraId="1C0DCB2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26F83B" w14:textId="77777777" w:rsidR="003501A1" w:rsidRPr="00272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Transpozícia práva EÚ </w:t>
            </w:r>
          </w:p>
        </w:tc>
      </w:tr>
      <w:tr w:rsidR="003501A1" w:rsidRPr="00272788" w14:paraId="585A9A1A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3730DE" w14:textId="77777777" w:rsidR="003501A1" w:rsidRPr="00272788" w:rsidRDefault="00264DAB" w:rsidP="007B71A4">
            <w:pPr>
              <w:rPr>
                <w:i/>
                <w:sz w:val="24"/>
                <w:szCs w:val="24"/>
              </w:rPr>
            </w:pPr>
            <w:r w:rsidRPr="00272788">
              <w:rPr>
                <w:i/>
                <w:sz w:val="24"/>
                <w:szCs w:val="24"/>
              </w:rPr>
              <w:t>Materiál sa netýka transpozície práva EÚ.</w:t>
            </w:r>
          </w:p>
        </w:tc>
      </w:tr>
      <w:tr w:rsidR="003501A1" w:rsidRPr="00272788" w14:paraId="1505D313" w14:textId="77777777" w:rsidTr="00272788">
        <w:trPr>
          <w:trHeight w:val="8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D6AF0A" w14:textId="77777777" w:rsidR="003501A1" w:rsidRPr="00272788" w:rsidRDefault="003501A1" w:rsidP="007B71A4">
            <w:pPr>
              <w:jc w:val="center"/>
              <w:rPr>
                <w:sz w:val="24"/>
                <w:szCs w:val="24"/>
              </w:rPr>
            </w:pPr>
          </w:p>
        </w:tc>
      </w:tr>
      <w:tr w:rsidR="003501A1" w:rsidRPr="00272788" w14:paraId="7B1953F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B7F3B79" w14:textId="77777777" w:rsidR="003501A1" w:rsidRPr="00272788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</w:t>
            </w:r>
            <w:r w:rsidR="00F62771"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3501A1" w:rsidRPr="00272788" w14:paraId="08F1DA79" w14:textId="77777777" w:rsidTr="00C101DE">
        <w:trPr>
          <w:trHeight w:val="446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4DF1A" w14:textId="77777777" w:rsidR="00117618" w:rsidRPr="00117618" w:rsidRDefault="00117618" w:rsidP="00117618">
            <w:pPr>
              <w:rPr>
                <w:sz w:val="24"/>
                <w:szCs w:val="24"/>
              </w:rPr>
            </w:pPr>
          </w:p>
          <w:p w14:paraId="7FEBA2A7" w14:textId="0DCBCD05" w:rsidR="003501A1" w:rsidRPr="00117618" w:rsidRDefault="003501A1" w:rsidP="00117618">
            <w:pPr>
              <w:jc w:val="center"/>
              <w:rPr>
                <w:sz w:val="24"/>
                <w:szCs w:val="24"/>
              </w:rPr>
            </w:pPr>
          </w:p>
        </w:tc>
      </w:tr>
      <w:tr w:rsidR="003501A1" w:rsidRPr="00272788" w14:paraId="46F81E6D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26598" w14:textId="77777777" w:rsidR="00F62771" w:rsidRPr="00272788" w:rsidRDefault="00F62771" w:rsidP="004C60B8">
            <w:pPr>
              <w:ind w:left="142" w:hanging="142"/>
            </w:pPr>
            <w:r w:rsidRPr="00272788">
              <w:t xml:space="preserve">* </w:t>
            </w:r>
            <w:r w:rsidR="004C60B8" w:rsidRPr="00272788">
              <w:t>vyplniť iba v prípade, ak</w:t>
            </w:r>
            <w:r w:rsidRPr="00272788">
              <w:t xml:space="preserve"> </w:t>
            </w:r>
            <w:r w:rsidR="004C60B8" w:rsidRPr="00272788">
              <w:t xml:space="preserve">materiál </w:t>
            </w:r>
            <w:r w:rsidRPr="00272788">
              <w:t xml:space="preserve">nie je </w:t>
            </w:r>
            <w:r w:rsidR="004C60B8" w:rsidRPr="00272788">
              <w:t>zahrnutý do Plánu práce vlády Slovenskej republiky alebo Plánu        legislatívnych úloh vlády Slovenskej republiky.</w:t>
            </w:r>
            <w:r w:rsidRPr="00272788">
              <w:t xml:space="preserve"> </w:t>
            </w:r>
          </w:p>
          <w:p w14:paraId="4E03F7D5" w14:textId="77777777" w:rsidR="003501A1" w:rsidRPr="00272788" w:rsidRDefault="00F62771" w:rsidP="00F22831">
            <w:r w:rsidRPr="00272788">
              <w:t>*</w:t>
            </w:r>
            <w:r w:rsidR="00F22831" w:rsidRPr="00272788">
              <w:t>* nepovinné</w:t>
            </w:r>
          </w:p>
          <w:p w14:paraId="22703D9B" w14:textId="2BFA008D" w:rsidR="004928DE" w:rsidRPr="00272788" w:rsidRDefault="004928DE" w:rsidP="004928DE">
            <w:pPr>
              <w:jc w:val="center"/>
              <w:rPr>
                <w:sz w:val="24"/>
                <w:szCs w:val="24"/>
              </w:rPr>
            </w:pPr>
          </w:p>
        </w:tc>
      </w:tr>
      <w:tr w:rsidR="003501A1" w:rsidRPr="00272788" w14:paraId="1476068A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B42180" w14:textId="77777777" w:rsidR="003501A1" w:rsidRPr="00272788" w:rsidRDefault="003501A1" w:rsidP="003501A1">
            <w:pPr>
              <w:rPr>
                <w:b/>
                <w:sz w:val="24"/>
                <w:szCs w:val="24"/>
              </w:rPr>
            </w:pPr>
          </w:p>
        </w:tc>
      </w:tr>
      <w:tr w:rsidR="003501A1" w:rsidRPr="00272788" w14:paraId="1BBF9770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EE5AA36" w14:textId="77777777" w:rsidR="003501A1" w:rsidRPr="00272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3501A1" w:rsidRPr="00272788" w14:paraId="17FAA09F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21518C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b/>
              <w:sz w:val="24"/>
              <w:szCs w:val="24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94221A1" w14:textId="77777777" w:rsidR="003501A1" w:rsidRPr="00272788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0F90D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2F4036" w14:textId="77777777" w:rsidR="003501A1" w:rsidRPr="00272788" w:rsidRDefault="007575DD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F4550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D2E4E7" w14:textId="77777777" w:rsidR="003501A1" w:rsidRPr="00272788" w:rsidRDefault="00B10ED1" w:rsidP="007B71A4">
                <w:pPr>
                  <w:ind w:left="-107" w:right="-108"/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5FC4" w14:textId="77777777" w:rsidR="003501A1" w:rsidRPr="00272788" w:rsidRDefault="003501A1" w:rsidP="007B71A4">
            <w:pPr>
              <w:ind w:left="34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272788" w14:paraId="74B31589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04F0B301" w14:textId="77777777" w:rsidR="003501A1" w:rsidRPr="00272788" w:rsidRDefault="003501A1" w:rsidP="007B71A4">
            <w:pPr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sz w:val="24"/>
              <w:szCs w:val="24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10FEC88" w14:textId="77777777" w:rsidR="003501A1" w:rsidRPr="00272788" w:rsidRDefault="00B10ED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1D599" w14:textId="77777777" w:rsidR="003501A1" w:rsidRPr="00272788" w:rsidRDefault="003501A1" w:rsidP="007B71A4">
            <w:pPr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Áno</w:t>
            </w:r>
          </w:p>
        </w:tc>
        <w:sdt>
          <w:sdtPr>
            <w:rPr>
              <w:sz w:val="24"/>
              <w:szCs w:val="24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9C57A1" w14:textId="77777777" w:rsidR="003501A1" w:rsidRPr="00272788" w:rsidRDefault="006B24C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A7781" w14:textId="77777777" w:rsidR="003501A1" w:rsidRPr="00272788" w:rsidRDefault="003501A1" w:rsidP="007B71A4">
            <w:pPr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Nie</w:t>
            </w:r>
          </w:p>
        </w:tc>
        <w:sdt>
          <w:sdtPr>
            <w:rPr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277CA9" w14:textId="77777777" w:rsidR="003501A1" w:rsidRPr="00272788" w:rsidRDefault="00E44EA1" w:rsidP="007B71A4">
                <w:pPr>
                  <w:ind w:left="-107" w:right="-108"/>
                  <w:jc w:val="center"/>
                  <w:rPr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62F59" w14:textId="77777777" w:rsidR="003501A1" w:rsidRPr="00272788" w:rsidRDefault="003501A1" w:rsidP="007B71A4">
            <w:pPr>
              <w:ind w:left="34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Čiastočne</w:t>
            </w:r>
          </w:p>
        </w:tc>
      </w:tr>
      <w:tr w:rsidR="003501A1" w:rsidRPr="00272788" w14:paraId="47D7385F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54E2F6B" w14:textId="77777777" w:rsidR="003501A1" w:rsidRPr="00272788" w:rsidRDefault="003501A1" w:rsidP="004C794A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b/>
              <w:sz w:val="24"/>
              <w:szCs w:val="24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37DDF14" w14:textId="77777777" w:rsidR="003501A1" w:rsidRPr="00272788" w:rsidRDefault="006B24C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3FFD9" w14:textId="77777777" w:rsidR="003501A1" w:rsidRPr="00272788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BDAEBCB" w14:textId="77777777" w:rsidR="003501A1" w:rsidRPr="00272788" w:rsidRDefault="006B24C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49AEC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0810D8" w14:textId="77777777" w:rsidR="003501A1" w:rsidRPr="00272788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B28C1" w14:textId="77777777" w:rsidR="003501A1" w:rsidRPr="00272788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272788" w14:paraId="06DC350D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269A808F" w14:textId="77777777" w:rsidR="003501A1" w:rsidRPr="00272788" w:rsidRDefault="003501A1" w:rsidP="007B71A4">
            <w:pPr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sz w:val="24"/>
              <w:szCs w:val="24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1042C4F2" w14:textId="77777777" w:rsidR="003501A1" w:rsidRPr="00272788" w:rsidRDefault="006B24C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A26F7" w14:textId="77777777" w:rsidR="003501A1" w:rsidRPr="00272788" w:rsidRDefault="003501A1" w:rsidP="007B71A4">
            <w:pPr>
              <w:ind w:right="-108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Pozitívne</w:t>
            </w:r>
          </w:p>
        </w:tc>
        <w:sdt>
          <w:sdtPr>
            <w:rPr>
              <w:sz w:val="24"/>
              <w:szCs w:val="24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05D4A2" w14:textId="77777777" w:rsidR="003501A1" w:rsidRPr="00272788" w:rsidRDefault="006B24C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B0AE9" w14:textId="77777777" w:rsidR="003501A1" w:rsidRPr="00272788" w:rsidRDefault="003501A1" w:rsidP="007B71A4">
            <w:pPr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Žiadne</w:t>
            </w:r>
          </w:p>
        </w:tc>
        <w:sdt>
          <w:sdtPr>
            <w:rPr>
              <w:sz w:val="24"/>
              <w:szCs w:val="24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9E9877" w14:textId="77777777" w:rsidR="003501A1" w:rsidRPr="00272788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272788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BBE9C" w14:textId="77777777" w:rsidR="003501A1" w:rsidRPr="00272788" w:rsidRDefault="003501A1" w:rsidP="007B71A4">
            <w:pPr>
              <w:ind w:left="54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Negatívne</w:t>
            </w:r>
          </w:p>
        </w:tc>
      </w:tr>
      <w:tr w:rsidR="003501A1" w:rsidRPr="00272788" w14:paraId="3E49F1A2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8EBE70C" w14:textId="77777777" w:rsidR="003501A1" w:rsidRPr="00272788" w:rsidRDefault="003501A1" w:rsidP="004C794A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b/>
              <w:sz w:val="24"/>
              <w:szCs w:val="24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0BA176" w14:textId="77777777" w:rsidR="003501A1" w:rsidRPr="00272788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DE722" w14:textId="77777777" w:rsidR="003501A1" w:rsidRPr="00272788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D8F730" w14:textId="77777777" w:rsidR="003501A1" w:rsidRPr="00272788" w:rsidRDefault="00264DAB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FE599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67ED7C" w14:textId="77777777" w:rsidR="003501A1" w:rsidRPr="00272788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E6BCA" w14:textId="77777777" w:rsidR="003501A1" w:rsidRPr="00272788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272788" w14:paraId="54EDF03C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5C7B81B" w14:textId="77777777" w:rsidR="003501A1" w:rsidRPr="00272788" w:rsidRDefault="003501A1" w:rsidP="004C794A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9EEBEFF" w14:textId="77777777" w:rsidR="003501A1" w:rsidRPr="00272788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218A6" w14:textId="77777777" w:rsidR="003501A1" w:rsidRPr="00272788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18743E" w14:textId="77777777" w:rsidR="003501A1" w:rsidRPr="00272788" w:rsidRDefault="00264DAB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0437F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9A11DE" w14:textId="77777777" w:rsidR="003501A1" w:rsidRPr="00272788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C2400" w14:textId="77777777" w:rsidR="003501A1" w:rsidRPr="00272788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272788" w14:paraId="5CB67A2B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261EA4" w14:textId="77777777" w:rsidR="003501A1" w:rsidRPr="00272788" w:rsidRDefault="003501A1" w:rsidP="004C794A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C724230" w14:textId="77777777" w:rsidR="003501A1" w:rsidRPr="00272788" w:rsidRDefault="006B24C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1DF49" w14:textId="77777777" w:rsidR="003501A1" w:rsidRPr="00272788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BFE808" w14:textId="77777777" w:rsidR="003501A1" w:rsidRPr="00272788" w:rsidRDefault="006B24C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5660F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98F730" w14:textId="77777777" w:rsidR="003501A1" w:rsidRPr="00272788" w:rsidRDefault="00B10ED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FA694" w14:textId="77777777" w:rsidR="003501A1" w:rsidRPr="00272788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272788" w14:paraId="58FA1D2B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79ADF1" w14:textId="77777777" w:rsidR="0045465B" w:rsidRPr="00272788" w:rsidRDefault="0045465B" w:rsidP="00B83402">
            <w:pPr>
              <w:rPr>
                <w:b/>
                <w:sz w:val="24"/>
                <w:szCs w:val="24"/>
              </w:rPr>
            </w:pPr>
            <w:r w:rsidRPr="00272788">
              <w:rPr>
                <w:rFonts w:eastAsia="Calibri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12ED16" w14:textId="77777777" w:rsidR="0045465B" w:rsidRPr="00272788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E4C78" w14:textId="77777777" w:rsidR="0045465B" w:rsidRPr="00272788" w:rsidRDefault="0045465B" w:rsidP="00B83402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86B83" w14:textId="77777777" w:rsidR="0045465B" w:rsidRPr="00272788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16B37" w14:textId="77777777" w:rsidR="0045465B" w:rsidRPr="00272788" w:rsidRDefault="0045465B" w:rsidP="00B83402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AE2AA" w14:textId="77777777" w:rsidR="0045465B" w:rsidRPr="00272788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66ABF" w14:textId="77777777" w:rsidR="0045465B" w:rsidRPr="00272788" w:rsidRDefault="0045465B" w:rsidP="00B83402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1A1559" w:rsidRPr="00272788" w14:paraId="52B47DF7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3DD729" w14:textId="77777777" w:rsidR="001A1559" w:rsidRPr="00272788" w:rsidRDefault="001A1559" w:rsidP="00B83402">
            <w:pPr>
              <w:ind w:left="196" w:hanging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788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573FFE1" w14:textId="77777777" w:rsidR="001A1559" w:rsidRPr="00272788" w:rsidRDefault="00B10ED1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5F95" w14:textId="77777777" w:rsidR="001A1559" w:rsidRPr="00272788" w:rsidRDefault="001A1559" w:rsidP="00EB1608">
            <w:pPr>
              <w:ind w:right="-108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75BD948" w14:textId="77777777" w:rsidR="001A1559" w:rsidRPr="00272788" w:rsidRDefault="00B10ED1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B6643" w14:textId="77777777" w:rsidR="001A1559" w:rsidRPr="00272788" w:rsidRDefault="001A1559" w:rsidP="00EB1608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7F00A3" w14:textId="77777777" w:rsidR="001A1559" w:rsidRPr="00272788" w:rsidRDefault="00B10ED1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48676B" w14:textId="77777777" w:rsidR="001A1559" w:rsidRPr="00272788" w:rsidRDefault="001A1559" w:rsidP="00EB1608">
            <w:pPr>
              <w:ind w:left="54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Negatívne</w:t>
            </w:r>
          </w:p>
        </w:tc>
      </w:tr>
      <w:tr w:rsidR="001A1559" w:rsidRPr="00272788" w14:paraId="4A47F4B8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1513D93" w14:textId="77777777" w:rsidR="001A1559" w:rsidRPr="00272788" w:rsidRDefault="001A1559" w:rsidP="00B83402">
            <w:pPr>
              <w:ind w:left="168" w:hanging="16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2788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B4303B" w14:textId="77777777" w:rsidR="001A1559" w:rsidRPr="00272788" w:rsidRDefault="00B10ED1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B1CC7" w14:textId="77777777" w:rsidR="001A1559" w:rsidRPr="00272788" w:rsidRDefault="001A1559" w:rsidP="00EB1608">
            <w:pPr>
              <w:ind w:right="-108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27BD3DD" w14:textId="77777777" w:rsidR="001A1559" w:rsidRPr="00272788" w:rsidRDefault="00B10ED1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B8965" w14:textId="77777777" w:rsidR="001A1559" w:rsidRPr="00272788" w:rsidRDefault="001A1559" w:rsidP="00EB1608">
            <w:pPr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552C5CE" w14:textId="77777777" w:rsidR="001A1559" w:rsidRPr="00272788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272788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3FB6" w14:textId="77777777" w:rsidR="001A1559" w:rsidRPr="00272788" w:rsidRDefault="001A1559" w:rsidP="00EB1608">
            <w:pPr>
              <w:ind w:left="54"/>
              <w:rPr>
                <w:b/>
                <w:sz w:val="24"/>
                <w:szCs w:val="24"/>
              </w:rPr>
            </w:pPr>
            <w:r w:rsidRPr="00272788">
              <w:rPr>
                <w:b/>
                <w:sz w:val="24"/>
                <w:szCs w:val="24"/>
              </w:rPr>
              <w:t>Negatívne</w:t>
            </w:r>
          </w:p>
        </w:tc>
      </w:tr>
    </w:tbl>
    <w:p w14:paraId="45841B3F" w14:textId="77777777" w:rsidR="003501A1" w:rsidRPr="00272788" w:rsidRDefault="003501A1" w:rsidP="003501A1">
      <w:pPr>
        <w:ind w:right="141"/>
        <w:rPr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272788" w14:paraId="05302BDD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162902" w14:textId="77777777" w:rsidR="004F6F1F" w:rsidRPr="00272788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4F6F1F" w:rsidRPr="00272788" w14:paraId="37B1989B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FD8B556" w14:textId="77777777" w:rsidR="004F6F1F" w:rsidRPr="00272788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1A1" w:rsidRPr="00272788" w14:paraId="12525988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3384F98" w14:textId="77777777" w:rsidR="003501A1" w:rsidRPr="00272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272788" w14:paraId="74CCD1AB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16BAD" w14:textId="7CCA4015" w:rsidR="003501A1" w:rsidRPr="00272788" w:rsidRDefault="00D72D8F" w:rsidP="00D7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Julián Kupka</w:t>
            </w:r>
            <w:r w:rsidR="00B9362D" w:rsidRPr="0027278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Odbor</w:t>
            </w:r>
            <w:r w:rsidR="00B9362D" w:rsidRPr="00272788">
              <w:rPr>
                <w:sz w:val="24"/>
                <w:szCs w:val="24"/>
              </w:rPr>
              <w:t xml:space="preserve"> špecifických právnych vzťahov, Ministerstvo financií SR</w:t>
            </w:r>
          </w:p>
        </w:tc>
      </w:tr>
      <w:tr w:rsidR="003501A1" w:rsidRPr="00272788" w14:paraId="0AA021B3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09476D8" w14:textId="77777777" w:rsidR="003501A1" w:rsidRPr="00272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3501A1" w:rsidRPr="00272788" w14:paraId="07C12328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992CA" w14:textId="14DC07BF" w:rsidR="003501A1" w:rsidRPr="00272788" w:rsidRDefault="003501A1" w:rsidP="00950A4F">
            <w:pPr>
              <w:rPr>
                <w:b/>
                <w:sz w:val="24"/>
                <w:szCs w:val="24"/>
              </w:rPr>
            </w:pPr>
          </w:p>
        </w:tc>
      </w:tr>
      <w:tr w:rsidR="003501A1" w:rsidRPr="00272788" w14:paraId="022C7E7D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76E6BDB" w14:textId="77777777" w:rsidR="003501A1" w:rsidRPr="00272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88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272788" w14:paraId="478A921A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3149" w14:textId="3C451BCA" w:rsidR="003501A1" w:rsidRPr="00272788" w:rsidRDefault="00264DAB" w:rsidP="007B71A4">
            <w:pPr>
              <w:rPr>
                <w:b/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Návrh nebol predložený Komisii na posudzovani</w:t>
            </w:r>
            <w:r w:rsidR="004A11E6" w:rsidRPr="00272788">
              <w:rPr>
                <w:sz w:val="24"/>
                <w:szCs w:val="24"/>
              </w:rPr>
              <w:t>e</w:t>
            </w:r>
            <w:r w:rsidRPr="00272788">
              <w:rPr>
                <w:sz w:val="24"/>
                <w:szCs w:val="24"/>
              </w:rPr>
              <w:t xml:space="preserve"> vybraných vplyvov z PPK.</w:t>
            </w:r>
          </w:p>
          <w:p w14:paraId="2F58C059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</w:p>
          <w:p w14:paraId="7AD7E66D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</w:p>
          <w:p w14:paraId="47AFEA78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</w:p>
          <w:p w14:paraId="42C2D5A2" w14:textId="77777777" w:rsidR="003501A1" w:rsidRPr="00272788" w:rsidRDefault="003501A1" w:rsidP="007B71A4">
            <w:pPr>
              <w:rPr>
                <w:b/>
                <w:sz w:val="24"/>
                <w:szCs w:val="24"/>
              </w:rPr>
            </w:pPr>
          </w:p>
        </w:tc>
      </w:tr>
    </w:tbl>
    <w:p w14:paraId="2A13B8A7" w14:textId="77777777" w:rsidR="003501A1" w:rsidRDefault="003501A1" w:rsidP="003501A1">
      <w:pPr>
        <w:rPr>
          <w:b/>
        </w:rPr>
      </w:pPr>
    </w:p>
    <w:p w14:paraId="519FA3E7" w14:textId="77777777" w:rsidR="003501A1" w:rsidRDefault="003501A1" w:rsidP="003501A1">
      <w:pPr>
        <w:rPr>
          <w:b/>
        </w:rPr>
      </w:pPr>
    </w:p>
    <w:p w14:paraId="721BAA77" w14:textId="77777777" w:rsidR="004928DE" w:rsidRDefault="004928DE"/>
    <w:p w14:paraId="2A677C3C" w14:textId="77777777" w:rsidR="004928DE" w:rsidRDefault="004928DE"/>
    <w:p w14:paraId="5F15DDF1" w14:textId="77777777" w:rsidR="004928DE" w:rsidRDefault="004928DE"/>
    <w:p w14:paraId="14233660" w14:textId="77777777" w:rsidR="004928DE" w:rsidRDefault="004928DE"/>
    <w:sectPr w:rsidR="004928DE" w:rsidSect="00494529">
      <w:footerReference w:type="default" r:id="rId8"/>
      <w:pgSz w:w="11906" w:h="16838"/>
      <w:pgMar w:top="1417" w:right="1417" w:bottom="1134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63833" w14:textId="77777777" w:rsidR="006271FA" w:rsidRDefault="006271FA" w:rsidP="003501A1">
      <w:r>
        <w:separator/>
      </w:r>
    </w:p>
  </w:endnote>
  <w:endnote w:type="continuationSeparator" w:id="0">
    <w:p w14:paraId="76347E81" w14:textId="77777777" w:rsidR="006271FA" w:rsidRDefault="006271F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E1ED" w14:textId="085DD498" w:rsidR="00494529" w:rsidRPr="00494529" w:rsidRDefault="00494529">
    <w:pPr>
      <w:pStyle w:val="Pta"/>
      <w:jc w:val="center"/>
      <w:rPr>
        <w:sz w:val="24"/>
        <w:szCs w:val="24"/>
      </w:rPr>
    </w:pPr>
  </w:p>
  <w:p w14:paraId="2B724284" w14:textId="77777777" w:rsidR="00117618" w:rsidRDefault="001176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6DC8B" w14:textId="77777777" w:rsidR="006271FA" w:rsidRDefault="006271FA" w:rsidP="003501A1">
      <w:r>
        <w:separator/>
      </w:r>
    </w:p>
  </w:footnote>
  <w:footnote w:type="continuationSeparator" w:id="0">
    <w:p w14:paraId="32A7213A" w14:textId="77777777" w:rsidR="006271FA" w:rsidRDefault="006271F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178A"/>
    <w:multiLevelType w:val="hybridMultilevel"/>
    <w:tmpl w:val="86A03996"/>
    <w:lvl w:ilvl="0" w:tplc="68BC60A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D40AB"/>
    <w:rsid w:val="000E5F05"/>
    <w:rsid w:val="0011693A"/>
    <w:rsid w:val="00117618"/>
    <w:rsid w:val="0013675F"/>
    <w:rsid w:val="00175FD8"/>
    <w:rsid w:val="001A1559"/>
    <w:rsid w:val="001F64F8"/>
    <w:rsid w:val="002626B3"/>
    <w:rsid w:val="00264DAB"/>
    <w:rsid w:val="00272788"/>
    <w:rsid w:val="00311F12"/>
    <w:rsid w:val="003501A1"/>
    <w:rsid w:val="00377583"/>
    <w:rsid w:val="00395098"/>
    <w:rsid w:val="003B3253"/>
    <w:rsid w:val="004519B8"/>
    <w:rsid w:val="0045465B"/>
    <w:rsid w:val="004928DE"/>
    <w:rsid w:val="00494529"/>
    <w:rsid w:val="004A11E6"/>
    <w:rsid w:val="004A43F9"/>
    <w:rsid w:val="004C60B8"/>
    <w:rsid w:val="004C794A"/>
    <w:rsid w:val="004F6F1F"/>
    <w:rsid w:val="004F7D6F"/>
    <w:rsid w:val="00520A9F"/>
    <w:rsid w:val="00570B48"/>
    <w:rsid w:val="005B7A8D"/>
    <w:rsid w:val="005C080E"/>
    <w:rsid w:val="005D05C9"/>
    <w:rsid w:val="005E1EAB"/>
    <w:rsid w:val="006271FA"/>
    <w:rsid w:val="006B24C1"/>
    <w:rsid w:val="006C3B7D"/>
    <w:rsid w:val="007153D6"/>
    <w:rsid w:val="00755984"/>
    <w:rsid w:val="007575DD"/>
    <w:rsid w:val="00780F66"/>
    <w:rsid w:val="007A751A"/>
    <w:rsid w:val="007D53A9"/>
    <w:rsid w:val="00811D04"/>
    <w:rsid w:val="00853A45"/>
    <w:rsid w:val="0087295B"/>
    <w:rsid w:val="008748CB"/>
    <w:rsid w:val="00903FF3"/>
    <w:rsid w:val="00950A4F"/>
    <w:rsid w:val="00964E32"/>
    <w:rsid w:val="00980823"/>
    <w:rsid w:val="00A75773"/>
    <w:rsid w:val="00A94D8D"/>
    <w:rsid w:val="00AC2477"/>
    <w:rsid w:val="00AF24A4"/>
    <w:rsid w:val="00B10ED1"/>
    <w:rsid w:val="00B2294E"/>
    <w:rsid w:val="00B2516E"/>
    <w:rsid w:val="00B350DC"/>
    <w:rsid w:val="00B47319"/>
    <w:rsid w:val="00B56B0D"/>
    <w:rsid w:val="00B65387"/>
    <w:rsid w:val="00B65A86"/>
    <w:rsid w:val="00B72955"/>
    <w:rsid w:val="00B916E1"/>
    <w:rsid w:val="00B9362D"/>
    <w:rsid w:val="00B958C3"/>
    <w:rsid w:val="00C101DE"/>
    <w:rsid w:val="00C97DF9"/>
    <w:rsid w:val="00CB3623"/>
    <w:rsid w:val="00CF5D76"/>
    <w:rsid w:val="00D10FDB"/>
    <w:rsid w:val="00D13B6F"/>
    <w:rsid w:val="00D72D8F"/>
    <w:rsid w:val="00D74FCF"/>
    <w:rsid w:val="00D75D35"/>
    <w:rsid w:val="00D83B49"/>
    <w:rsid w:val="00DB7D87"/>
    <w:rsid w:val="00DE2A12"/>
    <w:rsid w:val="00DF5625"/>
    <w:rsid w:val="00E43D28"/>
    <w:rsid w:val="00E44EA1"/>
    <w:rsid w:val="00EB59E3"/>
    <w:rsid w:val="00EC3EC0"/>
    <w:rsid w:val="00ED0CFB"/>
    <w:rsid w:val="00ED339C"/>
    <w:rsid w:val="00EF466C"/>
    <w:rsid w:val="00EF6109"/>
    <w:rsid w:val="00F15ACF"/>
    <w:rsid w:val="00F22831"/>
    <w:rsid w:val="00F436FD"/>
    <w:rsid w:val="00F62771"/>
    <w:rsid w:val="00F81304"/>
    <w:rsid w:val="00F9777C"/>
    <w:rsid w:val="00FA4B88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0C14"/>
  <w15:docId w15:val="{6BA34A71-A245-4796-AD35-FF0BBC46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C755-5C59-48BB-ABB1-34459131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Kupka Julian</cp:lastModifiedBy>
  <cp:revision>4</cp:revision>
  <cp:lastPrinted>2018-02-15T10:02:00Z</cp:lastPrinted>
  <dcterms:created xsi:type="dcterms:W3CDTF">2018-06-19T12:19:00Z</dcterms:created>
  <dcterms:modified xsi:type="dcterms:W3CDTF">2018-08-03T07:48:00Z</dcterms:modified>
</cp:coreProperties>
</file>