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F44DE5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4DE5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AA7C99" w:rsidRPr="00F44DE5" w:rsidRDefault="00AA7C99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EB0" w:rsidRPr="00F44DE5" w:rsidRDefault="00E37EB0" w:rsidP="004B1828">
      <w:pPr>
        <w:pStyle w:val="Zkladntext"/>
        <w:spacing w:before="0"/>
        <w:divId w:val="760686351"/>
        <w:rPr>
          <w:rFonts w:eastAsiaTheme="minorEastAsia"/>
          <w:b/>
          <w:noProof/>
          <w:lang w:val="sk-SK"/>
        </w:rPr>
      </w:pPr>
    </w:p>
    <w:p w:rsidR="00953B53" w:rsidRPr="009B5BF9" w:rsidRDefault="00C745A9" w:rsidP="004B1828">
      <w:pPr>
        <w:pStyle w:val="Zkladntext"/>
        <w:spacing w:before="0"/>
        <w:ind w:firstLine="720"/>
        <w:divId w:val="760686351"/>
        <w:rPr>
          <w:lang w:val="sk-SK"/>
        </w:rPr>
      </w:pPr>
      <w:r w:rsidRPr="007317C2">
        <w:rPr>
          <w:lang w:val="sk-SK"/>
        </w:rPr>
        <w:t xml:space="preserve">Ministerstvo financií Slovenskej republiky </w:t>
      </w:r>
      <w:r w:rsidR="007F1AB3">
        <w:rPr>
          <w:lang w:val="sk-SK"/>
        </w:rPr>
        <w:t xml:space="preserve">v spolupráci s Národnou bankou Slovenska </w:t>
      </w:r>
      <w:r w:rsidRPr="007317C2">
        <w:rPr>
          <w:lang w:val="sk-SK"/>
        </w:rPr>
        <w:t xml:space="preserve">predkladá na </w:t>
      </w:r>
      <w:r w:rsidR="00202049" w:rsidRPr="007317C2">
        <w:rPr>
          <w:lang w:val="sk-SK"/>
        </w:rPr>
        <w:t>medzirezortné</w:t>
      </w:r>
      <w:r w:rsidRPr="007317C2">
        <w:rPr>
          <w:lang w:val="sk-SK"/>
        </w:rPr>
        <w:t xml:space="preserve"> pripomienkové konanie </w:t>
      </w:r>
      <w:r w:rsidR="00F44DE5" w:rsidRPr="007317C2">
        <w:rPr>
          <w:lang w:val="sk-SK"/>
        </w:rPr>
        <w:t>návrh zákona, ktorým sa mení a dopĺňa zákon č. 371/2014 Z. z. o riešení krízových situácií na finančnom trhu a o zmene a doplnení niektorých zákono</w:t>
      </w:r>
      <w:r w:rsidR="00511107">
        <w:rPr>
          <w:lang w:val="sk-SK"/>
        </w:rPr>
        <w:t xml:space="preserve">v v znení neskorších predpisov </w:t>
      </w:r>
      <w:r w:rsidR="00F44DE5" w:rsidRPr="007317C2">
        <w:rPr>
          <w:lang w:val="sk-SK"/>
        </w:rPr>
        <w:t>a ktorým sa menia a dopĺňajú niektoré zákony  (ďalej len „návrh zákona“).</w:t>
      </w:r>
    </w:p>
    <w:p w:rsidR="00953B53" w:rsidRPr="009B5BF9" w:rsidRDefault="00953B53" w:rsidP="004B1828">
      <w:pPr>
        <w:pStyle w:val="Zkladntext"/>
        <w:spacing w:before="0"/>
        <w:ind w:firstLine="720"/>
        <w:divId w:val="760686351"/>
        <w:rPr>
          <w:lang w:val="sk-SK"/>
        </w:rPr>
      </w:pPr>
    </w:p>
    <w:p w:rsidR="00E05860" w:rsidRPr="009B5BF9" w:rsidRDefault="00E05860" w:rsidP="004B1828">
      <w:pPr>
        <w:pStyle w:val="Zkladntext"/>
        <w:spacing w:before="0"/>
        <w:ind w:firstLine="720"/>
        <w:divId w:val="760686351"/>
        <w:rPr>
          <w:rStyle w:val="Zstupntext"/>
          <w:color w:val="auto"/>
          <w:lang w:val="sk-SK"/>
        </w:rPr>
      </w:pPr>
      <w:r w:rsidRPr="009B5BF9">
        <w:rPr>
          <w:rStyle w:val="Zstupntext"/>
          <w:color w:val="000000"/>
          <w:lang w:val="sk-SK"/>
        </w:rPr>
        <w:t xml:space="preserve">Návrhom zákona sa do právneho poriadku Slovenskej republiky preberá smernica Európskeho parlamentu a Rady </w:t>
      </w:r>
      <w:r w:rsidRPr="009B5BF9">
        <w:rPr>
          <w:lang w:val="sk-SK"/>
        </w:rPr>
        <w:t xml:space="preserve">(EÚ) č. 2017/2399, ktorou sa mení smernica 2014/59/EÚ, pokiaľ ide o postavenie </w:t>
      </w:r>
      <w:r w:rsidR="002F4A06">
        <w:rPr>
          <w:lang w:val="sk-SK"/>
        </w:rPr>
        <w:t xml:space="preserve">veriteľov z </w:t>
      </w:r>
      <w:r w:rsidRPr="009B5BF9">
        <w:rPr>
          <w:lang w:val="sk-SK"/>
        </w:rPr>
        <w:t xml:space="preserve">nezabezpečených dlhových nástrojov v hierarchii konkurzného konania </w:t>
      </w:r>
      <w:r w:rsidR="002F4A06">
        <w:rPr>
          <w:lang w:val="sk-SK"/>
        </w:rPr>
        <w:t xml:space="preserve">(Ú. v. EÚ L 345, 27.12.2017) </w:t>
      </w:r>
      <w:r w:rsidRPr="009B5BF9">
        <w:rPr>
          <w:lang w:val="sk-SK"/>
        </w:rPr>
        <w:t xml:space="preserve">(“smernica”). </w:t>
      </w:r>
      <w:r w:rsidRPr="009B5BF9">
        <w:rPr>
          <w:rStyle w:val="Zstupntext"/>
          <w:color w:val="000000"/>
          <w:lang w:val="sk-SK"/>
        </w:rPr>
        <w:t>Smernica je uvedená v transpozičnej prílohe návrhu zákona.</w:t>
      </w:r>
    </w:p>
    <w:p w:rsidR="00953B53" w:rsidRPr="009B5BF9" w:rsidRDefault="00953B53" w:rsidP="004B1828">
      <w:pPr>
        <w:pStyle w:val="Zkladntext"/>
        <w:tabs>
          <w:tab w:val="left" w:pos="426"/>
        </w:tabs>
        <w:spacing w:before="0"/>
        <w:divId w:val="760686351"/>
        <w:rPr>
          <w:color w:val="000000" w:themeColor="text1"/>
          <w:lang w:val="sk-SK"/>
        </w:rPr>
      </w:pPr>
    </w:p>
    <w:p w:rsidR="00953B53" w:rsidRPr="009B5BF9" w:rsidRDefault="00953B53" w:rsidP="004B1828">
      <w:pPr>
        <w:pStyle w:val="Zkladntext"/>
        <w:tabs>
          <w:tab w:val="left" w:pos="426"/>
        </w:tabs>
        <w:spacing w:before="0"/>
        <w:divId w:val="760686351"/>
        <w:rPr>
          <w:lang w:val="sk-SK"/>
        </w:rPr>
      </w:pPr>
      <w:r w:rsidRPr="009B5BF9">
        <w:rPr>
          <w:color w:val="000000" w:themeColor="text1"/>
          <w:lang w:val="sk-SK"/>
        </w:rPr>
        <w:tab/>
      </w:r>
      <w:r w:rsidRPr="009B5BF9">
        <w:rPr>
          <w:color w:val="000000" w:themeColor="text1"/>
          <w:lang w:val="sk-SK"/>
        </w:rPr>
        <w:tab/>
      </w:r>
      <w:r w:rsidR="00E05860" w:rsidRPr="009B5BF9">
        <w:rPr>
          <w:color w:val="000000" w:themeColor="text1"/>
          <w:lang w:val="sk-SK"/>
        </w:rPr>
        <w:t xml:space="preserve">Hlavným dôvodom vypracovania uvedeného návrhu zákona je </w:t>
      </w:r>
      <w:r w:rsidR="0092792F" w:rsidRPr="009B5BF9">
        <w:rPr>
          <w:color w:val="000000" w:themeColor="text1"/>
          <w:lang w:val="sk-SK"/>
        </w:rPr>
        <w:t>transpozícia smernice, a s tým spojená úprava</w:t>
      </w:r>
      <w:r w:rsidR="00E05860" w:rsidRPr="009B5BF9">
        <w:rPr>
          <w:color w:val="000000" w:themeColor="text1"/>
          <w:lang w:val="sk-SK"/>
        </w:rPr>
        <w:t xml:space="preserve"> súčasného znenia zákona, aby bol v súlade s ustanoveniami </w:t>
      </w:r>
      <w:r w:rsidR="00E05860" w:rsidRPr="009B5BF9">
        <w:rPr>
          <w:lang w:val="sk-SK"/>
        </w:rPr>
        <w:t xml:space="preserve">smernice. </w:t>
      </w:r>
      <w:r w:rsidR="00E05860" w:rsidRPr="009B5BF9">
        <w:rPr>
          <w:rStyle w:val="Zstupntext"/>
          <w:color w:val="000000" w:themeColor="text1"/>
          <w:lang w:val="sk-SK"/>
        </w:rPr>
        <w:t xml:space="preserve">Smernica </w:t>
      </w:r>
      <w:r w:rsidR="00E05860" w:rsidRPr="009B5BF9">
        <w:rPr>
          <w:color w:val="000000" w:themeColor="text1"/>
          <w:lang w:val="sk-SK"/>
        </w:rPr>
        <w:t>je súčasťou úsilia Európskej Komisie zaviesť normu TLAC</w:t>
      </w:r>
      <w:r w:rsidR="0094327F" w:rsidRPr="009B5BF9">
        <w:rPr>
          <w:color w:val="000000" w:themeColor="text1"/>
          <w:lang w:val="sk-SK"/>
        </w:rPr>
        <w:t xml:space="preserve"> (</w:t>
      </w:r>
      <w:r w:rsidR="0094327F" w:rsidRPr="009B5BF9">
        <w:rPr>
          <w:lang w:val="sk-SK"/>
        </w:rPr>
        <w:t>globálne stanovené normy pre celkovú kapacitu na absorpciu strát)</w:t>
      </w:r>
      <w:r w:rsidR="00E05860" w:rsidRPr="009B5BF9">
        <w:rPr>
          <w:color w:val="000000" w:themeColor="text1"/>
          <w:lang w:val="sk-SK"/>
        </w:rPr>
        <w:t xml:space="preserve"> v Únii spolu s niekoľkými ďalšími návrhmi, ktorými sa mení súčasný rámec Únie pre ozdravenie a riešenie krízových situácií.</w:t>
      </w:r>
      <w:r w:rsidR="003055C7" w:rsidRPr="009B5BF9">
        <w:rPr>
          <w:lang w:val="sk-SK"/>
        </w:rPr>
        <w:t xml:space="preserve"> </w:t>
      </w:r>
    </w:p>
    <w:p w:rsidR="0092792F" w:rsidRPr="009B5BF9" w:rsidRDefault="0092792F" w:rsidP="004B1828">
      <w:pPr>
        <w:pStyle w:val="Zkladntext"/>
        <w:tabs>
          <w:tab w:val="left" w:pos="426"/>
        </w:tabs>
        <w:spacing w:before="0"/>
        <w:divId w:val="760686351"/>
        <w:rPr>
          <w:lang w:val="sk-SK"/>
        </w:rPr>
      </w:pPr>
    </w:p>
    <w:p w:rsidR="00E37EB0" w:rsidRPr="009B5BF9" w:rsidRDefault="00953B53" w:rsidP="004B1828">
      <w:pPr>
        <w:pStyle w:val="Zkladntext"/>
        <w:tabs>
          <w:tab w:val="left" w:pos="426"/>
        </w:tabs>
        <w:spacing w:before="0"/>
        <w:divId w:val="760686351"/>
        <w:rPr>
          <w:color w:val="000000" w:themeColor="text1"/>
          <w:lang w:val="sk-SK"/>
        </w:rPr>
      </w:pPr>
      <w:r w:rsidRPr="009B5BF9">
        <w:rPr>
          <w:color w:val="000000" w:themeColor="text1"/>
          <w:lang w:val="sk-SK"/>
        </w:rPr>
        <w:tab/>
      </w:r>
      <w:r w:rsidRPr="009B5BF9">
        <w:rPr>
          <w:color w:val="000000" w:themeColor="text1"/>
          <w:lang w:val="sk-SK"/>
        </w:rPr>
        <w:tab/>
      </w:r>
      <w:r w:rsidR="008E7E2D">
        <w:rPr>
          <w:color w:val="000000" w:themeColor="text1"/>
          <w:lang w:val="sk-SK"/>
        </w:rPr>
        <w:t>N</w:t>
      </w:r>
      <w:r w:rsidR="0094327F" w:rsidRPr="009B5BF9">
        <w:rPr>
          <w:color w:val="000000" w:themeColor="text1"/>
          <w:lang w:val="sk-SK"/>
        </w:rPr>
        <w:t>ávrh</w:t>
      </w:r>
      <w:r w:rsidR="008E7E2D">
        <w:rPr>
          <w:color w:val="000000" w:themeColor="text1"/>
          <w:lang w:val="sk-SK"/>
        </w:rPr>
        <w:t xml:space="preserve"> zákona</w:t>
      </w:r>
      <w:r w:rsidR="00E37EB0" w:rsidRPr="009B5BF9">
        <w:rPr>
          <w:color w:val="000000" w:themeColor="text1"/>
          <w:lang w:val="sk-SK"/>
        </w:rPr>
        <w:t xml:space="preserve"> implementuje konkrétne opatrenia </w:t>
      </w:r>
      <w:r w:rsidR="00E37EB0" w:rsidRPr="009B5BF9">
        <w:rPr>
          <w:lang w:val="sk-SK"/>
        </w:rPr>
        <w:t xml:space="preserve">smernice </w:t>
      </w:r>
      <w:r w:rsidR="00E37EB0" w:rsidRPr="009B5BF9">
        <w:rPr>
          <w:color w:val="000000" w:themeColor="text1"/>
          <w:lang w:val="sk-SK"/>
        </w:rPr>
        <w:t xml:space="preserve">v súvislosti s klasifikáciou platobnej neschopnosti držiteľov dlhových nástrojov, ktoré vydali banky s cieľom vyhovieť požiadavkám BRRD a TLAC, ktoré sa týkajú schopnosti absorbovať straty a schopnosti </w:t>
      </w:r>
      <w:proofErr w:type="spellStart"/>
      <w:r w:rsidR="00E37EB0" w:rsidRPr="009B5BF9">
        <w:rPr>
          <w:color w:val="000000" w:themeColor="text1"/>
          <w:lang w:val="sk-SK"/>
        </w:rPr>
        <w:t>rekapitalizovať</w:t>
      </w:r>
      <w:proofErr w:type="spellEnd"/>
      <w:r w:rsidR="00E37EB0" w:rsidRPr="009B5BF9">
        <w:rPr>
          <w:color w:val="000000" w:themeColor="text1"/>
          <w:lang w:val="sk-SK"/>
        </w:rPr>
        <w:t xml:space="preserve"> banky. S cieľom zvýšiť prevádzkový výkon a robustnosť právomocí na záchranu pomocou vnútorných zdrojov a s cieľom predísť právnej neistote sa v norme TLAC požaduje, aby záväzky mohli byť oprávnené na TLAC len v prípade, ak sú podriadené iným záväzkom, teda v prípade, že absorbujú straty v platobnej neschopnosti alebo pri riešení krízových situácií pred ostatnými „uprednostňovanými“ záväzkami, ktoré sú výslovne vylúčené z oprávnenosti na TLAC, ako sú napr. deriváty, kryté vklady alebo daňové záväzky. </w:t>
      </w:r>
    </w:p>
    <w:p w:rsidR="00953B53" w:rsidRPr="009B5BF9" w:rsidRDefault="00953B53" w:rsidP="004B1828">
      <w:pPr>
        <w:pStyle w:val="Zkladntext"/>
        <w:spacing w:before="0"/>
        <w:divId w:val="760686351"/>
        <w:rPr>
          <w:lang w:val="sk-SK"/>
        </w:rPr>
      </w:pPr>
    </w:p>
    <w:p w:rsidR="00953B53" w:rsidRDefault="008E7E2D" w:rsidP="004B1828">
      <w:pPr>
        <w:pStyle w:val="Zkladntext"/>
        <w:spacing w:before="0"/>
        <w:ind w:firstLine="720"/>
        <w:divId w:val="760686351"/>
        <w:rPr>
          <w:lang w:val="sk-SK"/>
        </w:rPr>
      </w:pPr>
      <w:r>
        <w:rPr>
          <w:lang w:val="sk-SK"/>
        </w:rPr>
        <w:t>N</w:t>
      </w:r>
      <w:r w:rsidR="0094327F" w:rsidRPr="009B5BF9">
        <w:rPr>
          <w:lang w:val="sk-SK"/>
        </w:rPr>
        <w:t xml:space="preserve">ávrh </w:t>
      </w:r>
      <w:r>
        <w:rPr>
          <w:lang w:val="sk-SK"/>
        </w:rPr>
        <w:t xml:space="preserve">zákona </w:t>
      </w:r>
      <w:r w:rsidR="0094327F" w:rsidRPr="009B5BF9">
        <w:rPr>
          <w:lang w:val="sk-SK"/>
        </w:rPr>
        <w:t>vytvára novú triedu pohľadávok v konkurze bánk a pobočiek zahraničných bánk. Vďaka tejto novej legislatívnej úprave budú môcť banky vydávať dlhové nástroje, ktoré spĺňajú požiadavku na podriadenosť, hoci nepôjde o podriadený dlh.  V konkurze bude  táto nová trieda uspokojená pred podriadeným dlhom, vďaka čomu by mohlo byť vydávanie dlhových nástrojov v tejto triede pre banky lacnejšie ako emisia kapitálových nástrojov a podriadeného dlhu. Zároveň tento návrh zabezpečí právnu istotu pomocou zabezpečenia jednoznačných kritérií oprávnenosti záväzkov použitých na dosiahnutie súladu MREL a TLAC a odstráni tak existujúce prekážky brániace fungovaniu vnútorného trhu a hospodárskej súťaže.</w:t>
      </w:r>
    </w:p>
    <w:p w:rsidR="0052178E" w:rsidRDefault="0052178E" w:rsidP="0052178E">
      <w:pPr>
        <w:pStyle w:val="Zkladntext"/>
        <w:spacing w:before="0"/>
        <w:divId w:val="760686351"/>
        <w:rPr>
          <w:lang w:val="sk-SK"/>
        </w:rPr>
      </w:pPr>
    </w:p>
    <w:p w:rsidR="00ED193A" w:rsidRPr="002114DF" w:rsidRDefault="00ED193A" w:rsidP="00ED193A">
      <w:pPr>
        <w:pStyle w:val="Odsekzoznamu"/>
        <w:ind w:left="0" w:firstLine="708"/>
        <w:jc w:val="both"/>
        <w:divId w:val="760686351"/>
        <w:rPr>
          <w:rFonts w:ascii="Times New Roman" w:hAnsi="Times New Roman"/>
          <w:bCs/>
          <w:sz w:val="24"/>
          <w:szCs w:val="24"/>
        </w:rPr>
      </w:pPr>
      <w:r w:rsidRPr="002114DF">
        <w:rPr>
          <w:rFonts w:ascii="Times New Roman" w:hAnsi="Times New Roman"/>
          <w:bCs/>
          <w:sz w:val="24"/>
          <w:szCs w:val="24"/>
        </w:rPr>
        <w:t>V súvislosti s úpravou poskytovania údajov chránených bankovým tajomstvom v návrhu novely zákona o bankách, ktorý je súčasťou tohto návrhu zákona, je potrebné novelizovať aj zákon o Exportno-importnej banke Slovenskej republiky z dôvodu zjednotenia právnej úpravy ochrany informácií a údajov týkajúcich sa klientov Eximbanky.</w:t>
      </w:r>
    </w:p>
    <w:p w:rsidR="00ED193A" w:rsidRDefault="00ED193A" w:rsidP="00ED193A">
      <w:pPr>
        <w:jc w:val="both"/>
        <w:divId w:val="760686351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2178E" w:rsidRPr="0055148D" w:rsidRDefault="0052178E" w:rsidP="0052178E">
      <w:pPr>
        <w:ind w:firstLine="708"/>
        <w:jc w:val="both"/>
        <w:divId w:val="7606863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48D">
        <w:rPr>
          <w:rFonts w:ascii="Times New Roman" w:hAnsi="Times New Roman" w:cs="Times New Roman"/>
          <w:sz w:val="24"/>
          <w:szCs w:val="24"/>
          <w:lang w:eastAsia="sk-SK"/>
        </w:rPr>
        <w:lastRenderedPageBreak/>
        <w:t>Legislatívna úprava zákona o povinnom zmluvnom poistení vyplýva z oznámenia Európskej komisie (2018/C233/01) o úprave minimálnych súm, ktoré sú stanovené v smernici Európskeho parlamentu a Rady 2009/103/ES o poistení zodpovednosti za škodu spôsobenú prevádzkou motorových vozidiel a o kontrole plnenia povinnosti poistenia tejto zodpovednosti. V súlade s článkom 9 ods. 2 smernice 2009/103/ES sa prehodnotili sumy stanovené v eurách v článku 9 ods. 1, aby sa zohľadnili zmeny európskeho indexu spotrebiteľských cien zahŕňajúceho všetky členské štáty, ktorý zverejnil Eurostat.</w:t>
      </w:r>
    </w:p>
    <w:p w:rsidR="0052178E" w:rsidRDefault="0052178E" w:rsidP="0052178E">
      <w:pPr>
        <w:ind w:firstLine="708"/>
        <w:jc w:val="both"/>
        <w:divId w:val="760686351"/>
        <w:rPr>
          <w:rFonts w:ascii="Times New Roman" w:hAnsi="Times New Roman"/>
          <w:sz w:val="24"/>
          <w:szCs w:val="24"/>
        </w:rPr>
      </w:pPr>
      <w:r w:rsidRPr="0055148D">
        <w:rPr>
          <w:rFonts w:ascii="Times New Roman" w:hAnsi="Times New Roman"/>
          <w:sz w:val="24"/>
          <w:szCs w:val="24"/>
        </w:rPr>
        <w:t>Súčasťou novely je aj legislatívna úprava týkajúca sa zrušenia povinnosti zriadiť Stály rozhodcovský súd Slovenskej bankovej asociácie (SRS SBA). Podnet na túto zmenu vzišiel od Slovenskej bankovej asociácie a to z viacerých dôvodov – nová legislatíva (novela zákona o rozhodcovskom konaní zredukovala počet rozhodcovských súdov z takmer 200 na 8), ako aj negatívny prístup slovenských súdov k rozhodnutiam rozhodcovských súdov (tieto boli v minulosti zneužívané nebankovými spoločnosťami a absentovala nad nimi štátna kontrola, preto bežné súdy v zásade prestali ich rozhodnutia uznávať, čo spôsobilo prudké zníženie podaných žalôb – v roku 2014 vyše 7 000, v roku 2015 až 2017 iba okolo 70 ročne). Všetky tieto uvedené skutočnosti mali negatívny dopad na hospodársky výsledok SRS SBA za posledné roky. Legislatívne zmeny v tejto oblasti boli pripravené v spolupráci s Národnou bankou Slovenska a ďalšími dotknutými ministerstvami a v tejto súvislosti bolo potrebné novelizovať viacero zákonov – zákon o platobných službách</w:t>
      </w:r>
      <w:r>
        <w:rPr>
          <w:rFonts w:ascii="Times New Roman" w:hAnsi="Times New Roman"/>
          <w:sz w:val="24"/>
          <w:szCs w:val="24"/>
        </w:rPr>
        <w:t>, zákon o bankách</w:t>
      </w:r>
      <w:r w:rsidRPr="0055148D">
        <w:rPr>
          <w:rFonts w:ascii="Times New Roman" w:hAnsi="Times New Roman"/>
          <w:sz w:val="24"/>
          <w:szCs w:val="24"/>
        </w:rPr>
        <w:t>, zákon</w:t>
      </w:r>
      <w:r>
        <w:rPr>
          <w:rFonts w:ascii="Times New Roman" w:hAnsi="Times New Roman"/>
          <w:sz w:val="24"/>
          <w:szCs w:val="24"/>
        </w:rPr>
        <w:t xml:space="preserve"> o rozhodcovskom konaní</w:t>
      </w:r>
      <w:r w:rsidRPr="0055148D">
        <w:rPr>
          <w:rFonts w:ascii="Times New Roman" w:hAnsi="Times New Roman"/>
          <w:sz w:val="24"/>
          <w:szCs w:val="24"/>
        </w:rPr>
        <w:t>, zákon o spotrebiteľskom</w:t>
      </w:r>
      <w:r>
        <w:rPr>
          <w:rFonts w:ascii="Times New Roman" w:hAnsi="Times New Roman"/>
          <w:sz w:val="24"/>
          <w:szCs w:val="24"/>
        </w:rPr>
        <w:t xml:space="preserve"> rozhodcovskom konaní </w:t>
      </w:r>
      <w:r w:rsidRPr="0055148D">
        <w:rPr>
          <w:rFonts w:ascii="Times New Roman" w:hAnsi="Times New Roman"/>
          <w:sz w:val="24"/>
          <w:szCs w:val="24"/>
        </w:rPr>
        <w:t>a zákon o alterna</w:t>
      </w:r>
      <w:r>
        <w:rPr>
          <w:rFonts w:ascii="Times New Roman" w:hAnsi="Times New Roman"/>
          <w:sz w:val="24"/>
          <w:szCs w:val="24"/>
        </w:rPr>
        <w:t>tívnom riešení sporov</w:t>
      </w:r>
      <w:r w:rsidRPr="0055148D">
        <w:rPr>
          <w:rFonts w:ascii="Times New Roman" w:hAnsi="Times New Roman"/>
          <w:sz w:val="24"/>
          <w:szCs w:val="24"/>
        </w:rPr>
        <w:t>.</w:t>
      </w:r>
    </w:p>
    <w:p w:rsidR="0052178E" w:rsidRPr="0055148D" w:rsidRDefault="0052178E" w:rsidP="0052178E">
      <w:pPr>
        <w:ind w:firstLine="708"/>
        <w:jc w:val="both"/>
        <w:divId w:val="760686351"/>
        <w:rPr>
          <w:rFonts w:ascii="Times New Roman" w:hAnsi="Times New Roman"/>
          <w:sz w:val="24"/>
          <w:szCs w:val="24"/>
        </w:rPr>
      </w:pPr>
      <w:r w:rsidRPr="0055148D">
        <w:rPr>
          <w:rFonts w:ascii="Times New Roman" w:hAnsi="Times New Roman" w:cs="Times New Roman"/>
          <w:sz w:val="24"/>
          <w:szCs w:val="24"/>
        </w:rPr>
        <w:t xml:space="preserve">Ďalšou súčasťou materiálu sú novely zákona o cenných papieroch, zákona o kolektívnom investovaní  a zákona o burze cenných papierov. Tieto boli upravované na základe aplikačnej praxe a podnetov od účastníkov trhu tak, aby sa zefektívnili procesy najmä v súvislosti s fondmi kolektívneho investovania. </w:t>
      </w:r>
    </w:p>
    <w:p w:rsidR="0052178E" w:rsidRPr="0055148D" w:rsidRDefault="0052178E" w:rsidP="0052178E">
      <w:pPr>
        <w:ind w:firstLine="708"/>
        <w:jc w:val="both"/>
        <w:divId w:val="760686351"/>
        <w:rPr>
          <w:rFonts w:ascii="Times New Roman" w:hAnsi="Times New Roman" w:cs="Times New Roman"/>
          <w:b/>
          <w:sz w:val="24"/>
          <w:szCs w:val="24"/>
        </w:rPr>
      </w:pPr>
      <w:r w:rsidRPr="0055148D">
        <w:rPr>
          <w:rFonts w:ascii="Times New Roman" w:hAnsi="Times New Roman" w:cs="Times New Roman"/>
          <w:sz w:val="24"/>
          <w:szCs w:val="24"/>
        </w:rPr>
        <w:t xml:space="preserve">Navrhovaná zmena zákona o obchodnom registri súvisí so zmenou zákona č. 297/2008 Z. z. o ochrane pred legalizáciou príjmov z trestnej činnosti a o ochrane pred financovaním terorizmu a o zmene a doplnení niektorých zákonov, ku ktorej došlo zákonom č. 52/2018 Z. z. a ktorou vznikla povinnosť evidencie údajov o konečnom užívateľovi výhod v zákonom určenom rozsahu vo vzťahu k zákonom určenému okruhu právnických osôb (povinnosť nemajú subjekty verejnej správy, ani emitenti cenných papierov prijatých na obchodovanie na regulovanom trhu). Táto nová povinnosť sa premietla v rámci ustanovenia § 2 ods. 3 zákona o obchodnom registri a vzniká ňou popri registri partnerov verejného sektora zavedenom zákonom č. 315/2016 Z. z. o registri partnerov verejného sektora ďalší mechanizmus evidencie údajov o konečných užívateľoch výhod. </w:t>
      </w:r>
    </w:p>
    <w:p w:rsidR="0052178E" w:rsidRPr="0055148D" w:rsidRDefault="0052178E" w:rsidP="0052178E">
      <w:pPr>
        <w:ind w:firstLine="708"/>
        <w:jc w:val="both"/>
        <w:divId w:val="760686351"/>
        <w:rPr>
          <w:rFonts w:ascii="Times New Roman" w:hAnsi="Times New Roman" w:cs="Times New Roman"/>
          <w:sz w:val="24"/>
          <w:szCs w:val="24"/>
        </w:rPr>
      </w:pPr>
      <w:r w:rsidRPr="0055148D">
        <w:rPr>
          <w:rFonts w:ascii="Times New Roman" w:hAnsi="Times New Roman" w:cs="Times New Roman"/>
          <w:sz w:val="24"/>
          <w:szCs w:val="24"/>
        </w:rPr>
        <w:t xml:space="preserve">Novelizácia zákona o dohľade nad finančným trhom sleduje najmä zámer zdokonalenia legislatívneho rámca pre spravodlivejšie nastavenie ročných príspevkov prispievateľov a v tomto smere spravodlivejšieho prerozdelenia súvisiaceho finančného zaťaženia medzi príslušné dohliadané subjekty finančného trhu. Zároveň sa navrhuje vyprecizovanie viacerých ustanovení predmetného zákona, a to s cieľom reagovania na skutočnosti vyplývajúce z príslušnej legislatívy, </w:t>
      </w:r>
      <w:r w:rsidRPr="0055148D">
        <w:rPr>
          <w:rFonts w:ascii="Times New Roman" w:hAnsi="Times New Roman" w:cs="Times New Roman"/>
          <w:sz w:val="24"/>
          <w:szCs w:val="24"/>
        </w:rPr>
        <w:lastRenderedPageBreak/>
        <w:t>ako aj v záujme zapracovania skutočností identifikovaných v praxi a v tomto smere eliminovania interpretačno-aplikačných komplikácií.</w:t>
      </w:r>
    </w:p>
    <w:p w:rsidR="0052178E" w:rsidRDefault="0052178E" w:rsidP="0052178E">
      <w:pPr>
        <w:ind w:firstLine="708"/>
        <w:jc w:val="both"/>
        <w:divId w:val="760686351"/>
        <w:rPr>
          <w:rFonts w:ascii="Times New Roman" w:hAnsi="Times New Roman" w:cs="Times New Roman"/>
          <w:sz w:val="24"/>
          <w:szCs w:val="24"/>
        </w:rPr>
      </w:pPr>
      <w:r w:rsidRPr="0055148D">
        <w:rPr>
          <w:rFonts w:ascii="Times New Roman" w:hAnsi="Times New Roman" w:cs="Times New Roman"/>
          <w:sz w:val="24"/>
          <w:szCs w:val="24"/>
        </w:rPr>
        <w:t>Novela zákona o konkurze a reštrukturalizácii sa týka najmä konkurzu banky alebo pobočky zahraničnej banky. Cieľom navrhovanej úpravy textu zákona o konkurze je jednoznačne vymedziť poradie uspokojenia nezabezpečených veriteľov z výťažku speňaženia majetku tvoriaceho všeobecnú podstatu. Po uspokojení pohľadávok proti všeobecnej podstate sa zo zostávajúceho výťažku speňaženia majetku tvoriaceho všeobecnú podstatu uspokoja pohľadávky z krytých vkladov, tak ako ich vymedzuje zákon č. 118/1996 Z. z. o ochrane vkladov. V praxi teda pôjde o pohľadávky, ktoré vzniknú Fondu ochrany vkladov (ďalej len „FOV“) z výplat náhrad za nedostupné vklady alebo z financovania riešenia krízových situácií. Ďalej nasleduje uspokojenie pohľadávok z chránených vkladov fyzických osôb, mikropodnikov, malých a stredných podnikov, ktoré prevyšujú úroveň krytia upravenú v § 9 ods. 2 a 6 zákona o ochrane vkladov ako aj pohľadávky z vkladov fyzických osôb, mikropodnikov, malých a stredných podnikov, ktoré by boli považované za chránené vklady, ak by neboli vložené do pobočky banky umiestnenej v inom ako členskom štáte Mikropodnikmi, malými a strednými podnikmi sa rozumejú podniky, ktorých ročný obrat nepresiahne 50 miliónov eur.</w:t>
      </w:r>
    </w:p>
    <w:p w:rsidR="0052178E" w:rsidRPr="0052178E" w:rsidRDefault="0052178E" w:rsidP="0052178E">
      <w:pPr>
        <w:ind w:firstLine="708"/>
        <w:jc w:val="both"/>
        <w:divId w:val="760686351"/>
      </w:pPr>
      <w:r w:rsidRPr="0055148D">
        <w:rPr>
          <w:rFonts w:ascii="Times New Roman" w:hAnsi="Times New Roman" w:cs="Times New Roman"/>
          <w:color w:val="000000" w:themeColor="text1"/>
          <w:sz w:val="24"/>
          <w:szCs w:val="24"/>
        </w:rPr>
        <w:t>Návrhom novely zákona o spotrebiteľských úveroch sa zavádza legislatívna úprava, ktorá sa týka najmä financovania pri motorových vozidlách spôsobom, aby sa spotrebiteľovi na konci splácania úveru umožnilo rozhodnúť ako s nadobudnutým automobilom naloží, napr. zaplatením poslednej splátky alebo vrátením leasingovej spoločnosti. Súčasne sa precizuje výnimka z povinnosti overovania informácií súvisiacich s príjmom spotrebiteľa v Sociálnej poisťovni pri tzv. predschválenych úveroch. V prípade zákonom splnených náležitostí veriteľ môže ponúkať predschválené úvery iba svojim dlhodobým klientom, u ktorých si vie pre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ukázateľne preveriť ich príjem. </w:t>
      </w:r>
      <w:r w:rsidRPr="00551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Návrhy noviel zákona o úveroch na bývanie a zákona o spotrebiteľských úveroch reagujú na aplikačnú prax doplnením splnomocňujúceho ustanovenia, na základe ktorého Národná banka Slovenska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môže vydať </w:t>
      </w:r>
      <w:r w:rsidRPr="0055148D">
        <w:rPr>
          <w:rFonts w:ascii="Times New Roman" w:hAnsi="Times New Roman" w:cs="Times New Roman"/>
          <w:color w:val="000000" w:themeColor="text1"/>
          <w:sz w:val="24"/>
          <w:szCs w:val="24"/>
        </w:rPr>
        <w:t>opatrenie, v ktorom spresní určité podrobnosti pri výpočte ročnej percentuálnej miery nákladov.</w:t>
      </w:r>
      <w:r w:rsidRPr="008E2749">
        <w:t xml:space="preserve"> </w:t>
      </w:r>
    </w:p>
    <w:p w:rsidR="0052178E" w:rsidRDefault="0052178E" w:rsidP="0052178E">
      <w:pPr>
        <w:spacing w:after="0" w:line="240" w:lineRule="auto"/>
        <w:ind w:firstLine="708"/>
        <w:jc w:val="both"/>
        <w:divId w:val="7606863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48D">
        <w:rPr>
          <w:rFonts w:ascii="Times New Roman" w:hAnsi="Times New Roman" w:cs="Times New Roman"/>
          <w:sz w:val="24"/>
          <w:szCs w:val="24"/>
        </w:rPr>
        <w:t>Do zákona o kritickej infraštruktúre</w:t>
      </w:r>
      <w:r w:rsidRPr="0055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48D">
        <w:rPr>
          <w:rFonts w:ascii="Times New Roman" w:hAnsi="Times New Roman" w:cs="Times New Roman"/>
          <w:sz w:val="24"/>
          <w:szCs w:val="24"/>
        </w:rPr>
        <w:t>sa</w:t>
      </w:r>
      <w:r w:rsidRPr="0055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dopĺňa ministerstvo financií ako orgán zodpovedný za štátnu správu na úseku kritickej infraštruktúry pre nový sektor financie a príslušné podsektory a detailne sa vymedzujú výnimky z pôsobnosti dané legislatívou EU. </w:t>
      </w:r>
    </w:p>
    <w:p w:rsidR="0052178E" w:rsidRPr="0055148D" w:rsidRDefault="0052178E" w:rsidP="0052178E">
      <w:pPr>
        <w:spacing w:after="0" w:line="240" w:lineRule="auto"/>
        <w:ind w:firstLine="708"/>
        <w:jc w:val="both"/>
        <w:divId w:val="7606863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78E" w:rsidRDefault="0052178E" w:rsidP="0052178E">
      <w:pPr>
        <w:spacing w:after="0" w:line="240" w:lineRule="auto"/>
        <w:ind w:firstLine="708"/>
        <w:jc w:val="both"/>
        <w:divId w:val="760686351"/>
        <w:rPr>
          <w:rFonts w:ascii="Times New Roman" w:hAnsi="Times New Roman" w:cs="Times New Roman"/>
          <w:sz w:val="24"/>
          <w:szCs w:val="24"/>
          <w:lang w:eastAsia="sk-SK"/>
        </w:rPr>
      </w:pPr>
      <w:r w:rsidRPr="0055148D">
        <w:rPr>
          <w:rFonts w:ascii="Times New Roman" w:hAnsi="Times New Roman" w:cs="Times New Roman"/>
          <w:sz w:val="24"/>
          <w:szCs w:val="24"/>
        </w:rPr>
        <w:t xml:space="preserve">Úprava zákona o orgánoch štátnej správy v oblasti daní, poplatkov a colníctva </w:t>
      </w:r>
      <w:r w:rsidRPr="0055148D">
        <w:rPr>
          <w:rFonts w:ascii="Times New Roman" w:hAnsi="Times New Roman" w:cs="Times New Roman"/>
          <w:sz w:val="24"/>
          <w:szCs w:val="24"/>
          <w:lang w:eastAsia="sk-SK"/>
        </w:rPr>
        <w:t xml:space="preserve">sa navrhuje s cieľom zabezpečiť vykonávanie analytických činností z úrovne ministerstva financií ako aj finančného riaditeľstva, ktorých primárnym cieľom je okrem iného identifikovať možnosť napĺňania rozpočtu verejnej správy ako aj identifikácia modelov nežiaduceho správania sa subjektov v oblasti daní, poplatkov a colníctva a nástrojov jeho eliminácie. </w:t>
      </w:r>
    </w:p>
    <w:p w:rsidR="0052178E" w:rsidRDefault="0052178E" w:rsidP="0052178E">
      <w:pPr>
        <w:spacing w:after="0" w:line="240" w:lineRule="auto"/>
        <w:ind w:firstLine="708"/>
        <w:jc w:val="both"/>
        <w:divId w:val="760686351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2178E" w:rsidRDefault="0052178E" w:rsidP="0052178E">
      <w:pPr>
        <w:spacing w:after="0" w:line="240" w:lineRule="auto"/>
        <w:ind w:firstLine="708"/>
        <w:jc w:val="both"/>
        <w:divId w:val="7606863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nadväznosti na úpravu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zákona o kybernetickej bezpečnosti </w:t>
      </w:r>
      <w:r w:rsidRPr="0055148D">
        <w:rPr>
          <w:rFonts w:ascii="Times New Roman" w:hAnsi="Times New Roman" w:cs="Times New Roman"/>
          <w:color w:val="000000" w:themeColor="text1"/>
          <w:sz w:val="24"/>
          <w:szCs w:val="24"/>
        </w:rPr>
        <w:t>sa bližšie špecifikujú podmienky spolupráce s orgánmi verejnej moci a právnickými osobami v oblasti kybernetickej bezpečnosti, implementuje sa stanovisko Európskej centrálnej banky a tiež sa upravujú niektoré podsektory základnej služby a prevádzkovatelia týchto služieb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2178E" w:rsidRDefault="006D5F0D" w:rsidP="006D5F0D">
      <w:pPr>
        <w:spacing w:after="0" w:line="240" w:lineRule="auto"/>
        <w:ind w:firstLine="708"/>
        <w:jc w:val="both"/>
        <w:divId w:val="7606863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Podľa čl. 16 ods. 1 Legislatívnych pravidiel vlády Slovenskej republiky a podľa rozhodnutia Rady o poradení sa s Európskou centrálnou bankou vnútroštátnymi orgánmi o návrhu právnych predpisov (98/415/ES) (Mimoriadne vydanie Ú. V. EÚ, kap. 01/zv. 01) bol návrh zákona predložený na vnútrokomunitárne pripomienkové konanie Európskej centrálnej banke. Pripomienky Európskej centrálnej banky boli zapracované do predkladaného návrhu zákona.</w:t>
      </w:r>
    </w:p>
    <w:p w:rsidR="006D5F0D" w:rsidRPr="006D5F0D" w:rsidRDefault="006D5F0D" w:rsidP="006D5F0D">
      <w:pPr>
        <w:spacing w:after="0" w:line="240" w:lineRule="auto"/>
        <w:ind w:firstLine="708"/>
        <w:jc w:val="both"/>
        <w:divId w:val="760686351"/>
        <w:rPr>
          <w:rFonts w:ascii="Times New Roman" w:hAnsi="Times New Roman"/>
          <w:noProof w:val="0"/>
          <w:sz w:val="24"/>
          <w:szCs w:val="24"/>
        </w:rPr>
      </w:pPr>
    </w:p>
    <w:p w:rsidR="00953B53" w:rsidRPr="009B5BF9" w:rsidRDefault="00C745A9" w:rsidP="004B1828">
      <w:pPr>
        <w:pStyle w:val="Normlnywebov"/>
        <w:spacing w:before="0" w:beforeAutospacing="0" w:after="0" w:afterAutospacing="0"/>
        <w:jc w:val="both"/>
        <w:divId w:val="760686351"/>
      </w:pPr>
      <w:r w:rsidRPr="009B5BF9">
        <w:t> </w:t>
      </w:r>
      <w:r w:rsidR="00953B53" w:rsidRPr="009B5BF9">
        <w:t xml:space="preserve">     </w:t>
      </w:r>
      <w:r w:rsidR="002A51D8" w:rsidRPr="009B5BF9">
        <w:t xml:space="preserve">       </w:t>
      </w:r>
      <w:r w:rsidR="008E7E2D">
        <w:t>N</w:t>
      </w:r>
      <w:r w:rsidR="007443EB" w:rsidRPr="00511107">
        <w:t xml:space="preserve">ávrh </w:t>
      </w:r>
      <w:r w:rsidR="008E7E2D">
        <w:t xml:space="preserve">zákona </w:t>
      </w:r>
      <w:r w:rsidRPr="00511107">
        <w:t>nebude mať vplyvy na rozpočet verejnej správy, sociálne vplyvy, vplyvy na životné prostredie</w:t>
      </w:r>
      <w:r w:rsidR="00F55047" w:rsidRPr="00511107">
        <w:t>,</w:t>
      </w:r>
      <w:r w:rsidRPr="00511107">
        <w:t> vplyvy na informatizáciu spoločnosti</w:t>
      </w:r>
      <w:r w:rsidR="003C3798" w:rsidRPr="00511107">
        <w:t xml:space="preserve">. Legislatívny návrh bude mať </w:t>
      </w:r>
      <w:r w:rsidR="00B342B0" w:rsidRPr="00511107">
        <w:t xml:space="preserve">pozitívny a </w:t>
      </w:r>
      <w:r w:rsidR="00B53DDF" w:rsidRPr="00511107">
        <w:t xml:space="preserve">negatívny </w:t>
      </w:r>
      <w:r w:rsidR="003C3798" w:rsidRPr="00511107">
        <w:t>vplyv</w:t>
      </w:r>
      <w:r w:rsidR="003233EE" w:rsidRPr="00511107">
        <w:t xml:space="preserve"> na podnikateľské prostredie.</w:t>
      </w:r>
    </w:p>
    <w:p w:rsidR="004B1828" w:rsidRPr="009B5BF9" w:rsidRDefault="004B1828" w:rsidP="004B1828">
      <w:pPr>
        <w:pStyle w:val="Normlnywebov"/>
        <w:spacing w:before="0" w:beforeAutospacing="0" w:after="0" w:afterAutospacing="0"/>
        <w:jc w:val="both"/>
        <w:divId w:val="760686351"/>
      </w:pPr>
    </w:p>
    <w:p w:rsidR="00F83729" w:rsidRDefault="008E7E2D" w:rsidP="00F83729">
      <w:pPr>
        <w:pStyle w:val="Normlnywebov"/>
        <w:spacing w:before="0" w:beforeAutospacing="0" w:after="0" w:afterAutospacing="0"/>
        <w:ind w:firstLine="720"/>
        <w:jc w:val="both"/>
        <w:divId w:val="760686351"/>
      </w:pPr>
      <w:r>
        <w:t>N</w:t>
      </w:r>
      <w:r w:rsidR="007443EB" w:rsidRPr="009B5BF9">
        <w:t>ávrh</w:t>
      </w:r>
      <w:r>
        <w:t xml:space="preserve"> zákona</w:t>
      </w:r>
      <w:r w:rsidR="007443EB" w:rsidRPr="009B5BF9">
        <w:t xml:space="preserve"> </w:t>
      </w:r>
      <w:r w:rsidR="00C745A9" w:rsidRPr="009B5BF9">
        <w:t>je v súlade s Ústavou Slovenskej republiky, s </w:t>
      </w:r>
      <w:r w:rsidR="00DA4D4F">
        <w:t>ústavnými zákonmi a nálezmi Ú</w:t>
      </w:r>
      <w:r w:rsidR="00B26E6E" w:rsidRPr="009B5BF9">
        <w:t xml:space="preserve">stavného súdu </w:t>
      </w:r>
      <w:r w:rsidR="00DA4D4F">
        <w:t xml:space="preserve">Slovenskej republiky </w:t>
      </w:r>
      <w:r w:rsidR="00B26E6E" w:rsidRPr="009B5BF9">
        <w:t xml:space="preserve">a </w:t>
      </w:r>
      <w:r w:rsidR="00C745A9" w:rsidRPr="009B5BF9">
        <w:t>inými zákonmi</w:t>
      </w:r>
      <w:r w:rsidR="00B26E6E" w:rsidRPr="009B5BF9">
        <w:t xml:space="preserve"> a medzinárodnými zmluvami a inými medzinárodnými dokumentmi, ktorými je Slovenská republika viazaná. Návrh zákona je v súlade s právom Európskej únie.</w:t>
      </w:r>
    </w:p>
    <w:p w:rsidR="00F83729" w:rsidRDefault="00F83729" w:rsidP="00F83729">
      <w:pPr>
        <w:pStyle w:val="Normlnywebov"/>
        <w:spacing w:before="0" w:beforeAutospacing="0" w:after="0" w:afterAutospacing="0"/>
        <w:ind w:firstLine="720"/>
        <w:jc w:val="both"/>
        <w:divId w:val="760686351"/>
      </w:pPr>
    </w:p>
    <w:p w:rsidR="00F83729" w:rsidRDefault="00F83729" w:rsidP="00D97539">
      <w:pPr>
        <w:spacing w:after="0"/>
        <w:ind w:firstLine="708"/>
        <w:jc w:val="both"/>
        <w:divId w:val="760686351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sa, aby zákon nadobudol účinnosť 1. januára 2019 a okrem čl. V bodov 2, 16, 36 až 38, 40, 41, 43 a 48 a čl. VII bodov 2 až 7,13 a 14, ktoré nadobúdajú účinnosť 21. júla 2019.</w:t>
      </w:r>
    </w:p>
    <w:p w:rsidR="00F83729" w:rsidRDefault="00F83729" w:rsidP="00D97539">
      <w:pPr>
        <w:jc w:val="both"/>
        <w:divId w:val="760686351"/>
        <w:rPr>
          <w:rFonts w:ascii="Arial Narrow" w:hAnsi="Arial Narrow"/>
          <w:color w:val="23467F"/>
        </w:rPr>
      </w:pPr>
    </w:p>
    <w:p w:rsidR="00F83729" w:rsidRPr="009B5BF9" w:rsidRDefault="00F83729" w:rsidP="00D97539">
      <w:pPr>
        <w:pStyle w:val="Normlnywebov"/>
        <w:spacing w:before="0" w:beforeAutospacing="0" w:after="0" w:afterAutospacing="0"/>
        <w:ind w:firstLine="720"/>
        <w:jc w:val="both"/>
        <w:divId w:val="760686351"/>
      </w:pPr>
    </w:p>
    <w:p w:rsidR="0094327F" w:rsidRPr="009B5BF9" w:rsidRDefault="00C745A9" w:rsidP="00D97539">
      <w:pPr>
        <w:pStyle w:val="Normlnywebov"/>
        <w:spacing w:before="0" w:beforeAutospacing="0" w:after="0" w:afterAutospacing="0"/>
        <w:jc w:val="both"/>
        <w:divId w:val="760686351"/>
      </w:pPr>
      <w:r w:rsidRPr="009B5BF9">
        <w:t>              </w:t>
      </w:r>
    </w:p>
    <w:p w:rsidR="00E14E7F" w:rsidRPr="00F44DE5" w:rsidRDefault="00C745A9" w:rsidP="004B1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E5">
        <w:rPr>
          <w:rFonts w:ascii="Times New Roman" w:hAnsi="Times New Roman" w:cs="Times New Roman"/>
          <w:sz w:val="24"/>
          <w:szCs w:val="24"/>
        </w:rPr>
        <w:t> </w:t>
      </w:r>
    </w:p>
    <w:p w:rsidR="00E076A2" w:rsidRPr="00F44DE5" w:rsidRDefault="00E076A2" w:rsidP="004B18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6A2" w:rsidRPr="00F44DE5" w:rsidRDefault="00E076A2" w:rsidP="004B182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076A2" w:rsidRPr="00F44DE5" w:rsidSect="00532574">
      <w:footerReference w:type="default" r:id="rId8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2C8" w:rsidRDefault="000832C8" w:rsidP="000A67D5">
      <w:pPr>
        <w:spacing w:after="0" w:line="240" w:lineRule="auto"/>
      </w:pPr>
      <w:r>
        <w:separator/>
      </w:r>
    </w:p>
  </w:endnote>
  <w:endnote w:type="continuationSeparator" w:id="0">
    <w:p w:rsidR="000832C8" w:rsidRDefault="000832C8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50334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63358" w:rsidRPr="0073318E" w:rsidRDefault="00863358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31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31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31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0139">
          <w:rPr>
            <w:rFonts w:ascii="Times New Roman" w:hAnsi="Times New Roman" w:cs="Times New Roman"/>
            <w:sz w:val="24"/>
            <w:szCs w:val="24"/>
          </w:rPr>
          <w:t>4</w:t>
        </w:r>
        <w:r w:rsidRPr="007331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63358" w:rsidRDefault="0086335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2C8" w:rsidRDefault="000832C8" w:rsidP="000A67D5">
      <w:pPr>
        <w:spacing w:after="0" w:line="240" w:lineRule="auto"/>
      </w:pPr>
      <w:r>
        <w:separator/>
      </w:r>
    </w:p>
  </w:footnote>
  <w:footnote w:type="continuationSeparator" w:id="0">
    <w:p w:rsidR="000832C8" w:rsidRDefault="000832C8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4289"/>
    <w:rsid w:val="0006543E"/>
    <w:rsid w:val="000832C8"/>
    <w:rsid w:val="00092DD6"/>
    <w:rsid w:val="000A67D5"/>
    <w:rsid w:val="000C30FD"/>
    <w:rsid w:val="000E25CA"/>
    <w:rsid w:val="000E3A97"/>
    <w:rsid w:val="000F1C7D"/>
    <w:rsid w:val="001034F7"/>
    <w:rsid w:val="00146547"/>
    <w:rsid w:val="00146B48"/>
    <w:rsid w:val="00150388"/>
    <w:rsid w:val="001A3641"/>
    <w:rsid w:val="001C0D35"/>
    <w:rsid w:val="001D5538"/>
    <w:rsid w:val="00202049"/>
    <w:rsid w:val="002109B0"/>
    <w:rsid w:val="0021228E"/>
    <w:rsid w:val="00216F9B"/>
    <w:rsid w:val="00230F3C"/>
    <w:rsid w:val="0026610F"/>
    <w:rsid w:val="002702D6"/>
    <w:rsid w:val="002737D2"/>
    <w:rsid w:val="002A51D8"/>
    <w:rsid w:val="002A5342"/>
    <w:rsid w:val="002A5577"/>
    <w:rsid w:val="002A6989"/>
    <w:rsid w:val="002C6481"/>
    <w:rsid w:val="002F4A06"/>
    <w:rsid w:val="002F60BF"/>
    <w:rsid w:val="003055C7"/>
    <w:rsid w:val="003111B8"/>
    <w:rsid w:val="00322014"/>
    <w:rsid w:val="003233EE"/>
    <w:rsid w:val="00340F7C"/>
    <w:rsid w:val="003521FC"/>
    <w:rsid w:val="0039526D"/>
    <w:rsid w:val="003B435B"/>
    <w:rsid w:val="003C3798"/>
    <w:rsid w:val="003C5D62"/>
    <w:rsid w:val="003D0D96"/>
    <w:rsid w:val="003D5E45"/>
    <w:rsid w:val="003E2DC5"/>
    <w:rsid w:val="003E3CDC"/>
    <w:rsid w:val="003E4226"/>
    <w:rsid w:val="003F210A"/>
    <w:rsid w:val="00422DEC"/>
    <w:rsid w:val="004320D5"/>
    <w:rsid w:val="004337BA"/>
    <w:rsid w:val="00436C44"/>
    <w:rsid w:val="00456912"/>
    <w:rsid w:val="00465F4A"/>
    <w:rsid w:val="00473D41"/>
    <w:rsid w:val="00474A9D"/>
    <w:rsid w:val="004811CC"/>
    <w:rsid w:val="00494B6A"/>
    <w:rsid w:val="00496E0B"/>
    <w:rsid w:val="004B1828"/>
    <w:rsid w:val="004C2A55"/>
    <w:rsid w:val="004E70BA"/>
    <w:rsid w:val="00511107"/>
    <w:rsid w:val="0052178E"/>
    <w:rsid w:val="00532574"/>
    <w:rsid w:val="0053385C"/>
    <w:rsid w:val="005602D9"/>
    <w:rsid w:val="00581072"/>
    <w:rsid w:val="00581D58"/>
    <w:rsid w:val="0059081C"/>
    <w:rsid w:val="00592B96"/>
    <w:rsid w:val="005A567F"/>
    <w:rsid w:val="005F13FB"/>
    <w:rsid w:val="00634B9C"/>
    <w:rsid w:val="00642FB8"/>
    <w:rsid w:val="00657226"/>
    <w:rsid w:val="006817AE"/>
    <w:rsid w:val="006A116A"/>
    <w:rsid w:val="006A3681"/>
    <w:rsid w:val="006A55FC"/>
    <w:rsid w:val="006C07F6"/>
    <w:rsid w:val="006D394C"/>
    <w:rsid w:val="006D5F0D"/>
    <w:rsid w:val="007055C1"/>
    <w:rsid w:val="007317C2"/>
    <w:rsid w:val="0073318E"/>
    <w:rsid w:val="007443EB"/>
    <w:rsid w:val="00764FAC"/>
    <w:rsid w:val="00766598"/>
    <w:rsid w:val="007746DD"/>
    <w:rsid w:val="00777C34"/>
    <w:rsid w:val="007A1010"/>
    <w:rsid w:val="007D7AE6"/>
    <w:rsid w:val="007F1AB3"/>
    <w:rsid w:val="007F7B24"/>
    <w:rsid w:val="0081645A"/>
    <w:rsid w:val="008354BD"/>
    <w:rsid w:val="0084052F"/>
    <w:rsid w:val="00863358"/>
    <w:rsid w:val="00880BB5"/>
    <w:rsid w:val="00886B6B"/>
    <w:rsid w:val="00894834"/>
    <w:rsid w:val="008A0F68"/>
    <w:rsid w:val="008A1964"/>
    <w:rsid w:val="008D2B72"/>
    <w:rsid w:val="008E2844"/>
    <w:rsid w:val="008E3D2E"/>
    <w:rsid w:val="008E7E2D"/>
    <w:rsid w:val="0090100E"/>
    <w:rsid w:val="009239D9"/>
    <w:rsid w:val="0092792F"/>
    <w:rsid w:val="0094327F"/>
    <w:rsid w:val="00953B53"/>
    <w:rsid w:val="0097441C"/>
    <w:rsid w:val="009A03D4"/>
    <w:rsid w:val="009B2526"/>
    <w:rsid w:val="009B5BF9"/>
    <w:rsid w:val="009C6C5C"/>
    <w:rsid w:val="009D0879"/>
    <w:rsid w:val="009D6F8B"/>
    <w:rsid w:val="00A05DD1"/>
    <w:rsid w:val="00A232C8"/>
    <w:rsid w:val="00A54A16"/>
    <w:rsid w:val="00A82820"/>
    <w:rsid w:val="00A9522D"/>
    <w:rsid w:val="00AA7C99"/>
    <w:rsid w:val="00AB733D"/>
    <w:rsid w:val="00AF457A"/>
    <w:rsid w:val="00B133CC"/>
    <w:rsid w:val="00B26E6E"/>
    <w:rsid w:val="00B342B0"/>
    <w:rsid w:val="00B53DDF"/>
    <w:rsid w:val="00B659FE"/>
    <w:rsid w:val="00B67ED2"/>
    <w:rsid w:val="00B72079"/>
    <w:rsid w:val="00B75BB0"/>
    <w:rsid w:val="00B81906"/>
    <w:rsid w:val="00B906B2"/>
    <w:rsid w:val="00BA60C3"/>
    <w:rsid w:val="00BD04B3"/>
    <w:rsid w:val="00BD1FAB"/>
    <w:rsid w:val="00BE7302"/>
    <w:rsid w:val="00C35BC3"/>
    <w:rsid w:val="00C65A4A"/>
    <w:rsid w:val="00C67BF9"/>
    <w:rsid w:val="00C745A9"/>
    <w:rsid w:val="00C74B38"/>
    <w:rsid w:val="00C920E8"/>
    <w:rsid w:val="00CA4563"/>
    <w:rsid w:val="00CE47A6"/>
    <w:rsid w:val="00D261C9"/>
    <w:rsid w:val="00D60EE0"/>
    <w:rsid w:val="00D7179C"/>
    <w:rsid w:val="00D85172"/>
    <w:rsid w:val="00D969AC"/>
    <w:rsid w:val="00D97539"/>
    <w:rsid w:val="00DA34D9"/>
    <w:rsid w:val="00DA4D4F"/>
    <w:rsid w:val="00DB3E13"/>
    <w:rsid w:val="00DC0BD9"/>
    <w:rsid w:val="00DD58E1"/>
    <w:rsid w:val="00E05860"/>
    <w:rsid w:val="00E076A2"/>
    <w:rsid w:val="00E14E7F"/>
    <w:rsid w:val="00E32491"/>
    <w:rsid w:val="00E37EB0"/>
    <w:rsid w:val="00E5284A"/>
    <w:rsid w:val="00E569A5"/>
    <w:rsid w:val="00E7489D"/>
    <w:rsid w:val="00E840B3"/>
    <w:rsid w:val="00E876B9"/>
    <w:rsid w:val="00EA7C00"/>
    <w:rsid w:val="00EC027B"/>
    <w:rsid w:val="00ED193A"/>
    <w:rsid w:val="00EE0D4A"/>
    <w:rsid w:val="00EE50EE"/>
    <w:rsid w:val="00EF1425"/>
    <w:rsid w:val="00F256C4"/>
    <w:rsid w:val="00F2656B"/>
    <w:rsid w:val="00F26A4A"/>
    <w:rsid w:val="00F44DE5"/>
    <w:rsid w:val="00F46B1B"/>
    <w:rsid w:val="00F55047"/>
    <w:rsid w:val="00F80139"/>
    <w:rsid w:val="00F83729"/>
    <w:rsid w:val="00FA0ABD"/>
    <w:rsid w:val="00FB12C1"/>
    <w:rsid w:val="00FC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6C07F6"/>
    <w:pPr>
      <w:widowControl w:val="0"/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6C07F6"/>
    <w:rPr>
      <w:rFonts w:ascii="Times New Roman" w:eastAsia="Times New Roman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52178E"/>
    <w:pPr>
      <w:spacing w:after="0" w:line="240" w:lineRule="auto"/>
    </w:pPr>
    <w:rPr>
      <w:rFonts w:eastAsia="Times New Roman" w:cs="Times New Roman"/>
      <w:lang w:val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D193A"/>
    <w:pPr>
      <w:spacing w:after="160" w:line="259" w:lineRule="auto"/>
      <w:ind w:left="720"/>
      <w:contextualSpacing/>
    </w:pPr>
    <w:rPr>
      <w:rFonts w:eastAsiaTheme="minorHAnsi"/>
      <w:noProof w:val="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193A"/>
    <w:rPr>
      <w:rFonts w:eastAsiaTheme="minorHAnsi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5.6.2017 9:43:37"/>
    <f:field ref="objchangedby" par="" text="Administrator, System"/>
    <f:field ref="objmodifiedat" par="" text="15.6.2017 9:43:38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697AB8D-08AC-4AE4-BFFE-EAE88EEF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2018-06-12T07:25:00Z</dcterms:created>
  <dcterms:modified xsi:type="dcterms:W3CDTF">2018-09-20T08:27:00Z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Nelegislatívny všeobecný materiál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Finančné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Ján Kaššovič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nazovpredpis">
    <vt:lpwstr> Riadne predbežné stanovisko k návrhu nariadenia Európskeho parlamentu a Rady, ktorým sa mení nariadenie (EÚ) č. 648/2012, pokiaľ ide o zúčtovaciu povinnosť, pozastavenie uplatňovania zúčtovacej povinnosti, požiadavky na ohlasovanie, postupy zmierňovania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financií Slovenskej republiky</vt:lpwstr>
  </property>
  <property fmtid="{D5CDD505-2E9C-101B-9397-08002B2CF9AE}" pid="13" name="FSC#SKEDITIONSLOVLEX@103.510:pripomienkovatelia">
    <vt:lpwstr>Ministerstvo financií Slovenskej republiky, Ministerstvo financií Slovenskej republiky, Ministerstvo financií Slovenskej republiky, Ministerstvo financií Slovenskej republiky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na základe uznesenia vlády SR č. 627/2013</vt:lpwstr>
  </property>
  <property fmtid="{D5CDD505-2E9C-101B-9397-08002B2CF9AE}" pid="16" name="FSC#SKEDITIONSLOVLEX@103.510:plnynazovpredpis">
    <vt:lpwstr> Riadne predbežné stanovisko k návrhu nariadenia Európskeho parlamentu a Rady, ktorým sa mení nariadenie (EÚ) č. 648/2012, pokiaľ ide o zúčtovaciu povinnosť, pozastavenie uplatňovania zúčtovacej povinnosti, požiadavky na ohlasovanie, postupy zmierňovania </vt:lpwstr>
  </property>
  <property fmtid="{D5CDD505-2E9C-101B-9397-08002B2CF9AE}" pid="17" name="FSC#SKEDITIONSLOVLEX@103.510:rezortcislopredpis">
    <vt:lpwstr>MF/013810/2017-61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LP/2017/454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-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-</vt:lpwstr>
  </property>
  <property fmtid="{D5CDD505-2E9C-101B-9397-08002B2CF9AE}" pid="127" name="FSC#SKEDITIONSLOVLEX@103.510:AttrStrListDocPropUznesenieNaVedomie">
    <vt:lpwstr>-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justify;"&gt;&amp;nbsp;&amp;nbsp;&amp;nbsp;&amp;nbsp;&amp;nbsp;&amp;nbsp;&amp;nbsp;&amp;nbsp;&amp;nbsp;&amp;nbsp;&amp;nbsp; Ministerstvo financií Slovenskej republiky predkladá na medzirezortné pripomienkové konanie návrh riadneho predbežného stanoviska k&amp;nbsp;návrhu nariadenia E</vt:lpwstr>
  </property>
  <property fmtid="{D5CDD505-2E9C-101B-9397-08002B2CF9AE}" pid="130" name="FSC#COOSYSTEM@1.1:Container">
    <vt:lpwstr>COO.2145.1000.3.2021814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rizika pri zmluvách o mimoburzových derivátoch, ktoré nezúčtováva centrálna protistrana, registráciu archívov obchodných údajov a dohľad nad nimi a požiadavky na archívy obchodných údajov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rizika pri zmluvách o mimoburzových derivátoch, ktoré nezúčtováva centrálna protistrana, registráciu archívov obchodných údajov a dohľad nad nimi a požiadavky na archívy obchodných údajov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hlavný štátny radca</vt:lpwstr>
  </property>
  <property fmtid="{D5CDD505-2E9C-101B-9397-08002B2CF9AE}" pid="142" name="FSC#SKEDITIONSLOVLEX@103.510:funkciaPredAkuzativ">
    <vt:lpwstr>hlavný štátny radca</vt:lpwstr>
  </property>
  <property fmtid="{D5CDD505-2E9C-101B-9397-08002B2CF9AE}" pid="143" name="FSC#SKEDITIONSLOVLEX@103.510:funkciaPredDativ">
    <vt:lpwstr>hlavný štátny radca</vt:lpwstr>
  </property>
  <property fmtid="{D5CDD505-2E9C-101B-9397-08002B2CF9AE}" pid="144" name="FSC#SKEDITIONSLOVLEX@103.510:funkciaZodpPred">
    <vt:lpwstr>minister financií Slovenskej republiky</vt:lpwstr>
  </property>
  <property fmtid="{D5CDD505-2E9C-101B-9397-08002B2CF9AE}" pid="145" name="FSC#SKEDITIONSLOVLEX@103.510:funkciaZodpPredAkuzativ">
    <vt:lpwstr>ministrovi financií Slovenskej republiky</vt:lpwstr>
  </property>
  <property fmtid="{D5CDD505-2E9C-101B-9397-08002B2CF9AE}" pid="146" name="FSC#SKEDITIONSLOVLEX@103.510:funkciaZodpPredDativ">
    <vt:lpwstr>ministra financií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Peter Kažimír_x000d_
minister financií Slovenskej republiky</vt:lpwstr>
  </property>
  <property fmtid="{D5CDD505-2E9C-101B-9397-08002B2CF9AE}" pid="151" name="FSC#SKEDITIONSLOVLEX@103.510:aktualnyrok">
    <vt:lpwstr>2017</vt:lpwstr>
  </property>
</Properties>
</file>