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DF" w:rsidRPr="000F2079" w:rsidRDefault="00D34CDF" w:rsidP="00FC7D11">
      <w:pPr>
        <w:spacing w:after="0"/>
        <w:jc w:val="center"/>
        <w:outlineLvl w:val="0"/>
        <w:rPr>
          <w:rFonts w:ascii="Arial" w:hAnsi="Arial" w:cs="Arial"/>
          <w:b/>
          <w:bCs/>
          <w:caps/>
          <w:color w:val="000000"/>
          <w:spacing w:val="30"/>
          <w:sz w:val="20"/>
          <w:szCs w:val="20"/>
        </w:rPr>
      </w:pPr>
      <w:bookmarkStart w:id="0" w:name="_GoBack"/>
      <w:bookmarkEnd w:id="0"/>
    </w:p>
    <w:p w:rsidR="00E67756" w:rsidRPr="000F2079" w:rsidRDefault="00E67756" w:rsidP="00FC7D11">
      <w:pPr>
        <w:spacing w:after="0"/>
        <w:jc w:val="center"/>
        <w:outlineLvl w:val="0"/>
        <w:rPr>
          <w:rFonts w:ascii="Arial" w:hAnsi="Arial" w:cs="Arial"/>
          <w:b/>
          <w:bCs/>
          <w:caps/>
          <w:color w:val="000000"/>
          <w:spacing w:val="30"/>
          <w:sz w:val="20"/>
          <w:szCs w:val="20"/>
        </w:rPr>
      </w:pPr>
      <w:r w:rsidRPr="000F2079">
        <w:rPr>
          <w:rFonts w:ascii="Arial" w:hAnsi="Arial" w:cs="Arial"/>
          <w:b/>
          <w:bCs/>
          <w:caps/>
          <w:color w:val="000000"/>
          <w:spacing w:val="30"/>
          <w:sz w:val="20"/>
          <w:szCs w:val="20"/>
        </w:rPr>
        <w:t>Správa o výsledkoch</w:t>
      </w:r>
    </w:p>
    <w:p w:rsidR="00E67756" w:rsidRPr="000F2079" w:rsidRDefault="00E67756" w:rsidP="00FC7D11">
      <w:pPr>
        <w:spacing w:after="0"/>
        <w:jc w:val="center"/>
        <w:outlineLvl w:val="0"/>
        <w:rPr>
          <w:rFonts w:ascii="Arial" w:hAnsi="Arial" w:cs="Arial"/>
          <w:b/>
          <w:bCs/>
          <w:color w:val="000000"/>
          <w:sz w:val="20"/>
          <w:szCs w:val="20"/>
        </w:rPr>
      </w:pPr>
      <w:r w:rsidRPr="000F2079">
        <w:rPr>
          <w:rFonts w:ascii="Arial" w:hAnsi="Arial" w:cs="Arial"/>
          <w:b/>
          <w:bCs/>
          <w:color w:val="000000"/>
          <w:sz w:val="20"/>
          <w:szCs w:val="20"/>
        </w:rPr>
        <w:t>testu malých a stredných podnikov</w:t>
      </w:r>
    </w:p>
    <w:p w:rsidR="00E67756" w:rsidRPr="000F2079" w:rsidRDefault="00E67756" w:rsidP="00FC7D11">
      <w:pPr>
        <w:spacing w:after="0"/>
        <w:rPr>
          <w:rFonts w:ascii="Arial" w:hAnsi="Arial" w:cs="Arial"/>
          <w:color w:val="000000"/>
          <w:sz w:val="20"/>
          <w:szCs w:val="20"/>
        </w:rPr>
      </w:pPr>
    </w:p>
    <w:p w:rsidR="00E67756" w:rsidRPr="000F2079" w:rsidRDefault="00E67756" w:rsidP="00FC7D11">
      <w:pPr>
        <w:spacing w:after="0"/>
        <w:rPr>
          <w:rFonts w:ascii="Arial" w:hAnsi="Arial" w:cs="Arial"/>
          <w:color w:val="000000"/>
          <w:sz w:val="20"/>
          <w:szCs w:val="20"/>
        </w:rPr>
      </w:pPr>
    </w:p>
    <w:p w:rsidR="00E67756" w:rsidRPr="000F2079" w:rsidRDefault="00E67756" w:rsidP="00022065">
      <w:pPr>
        <w:spacing w:after="0"/>
        <w:jc w:val="both"/>
        <w:rPr>
          <w:rFonts w:ascii="Arial" w:hAnsi="Arial" w:cs="Arial"/>
          <w:b/>
          <w:color w:val="000000"/>
          <w:sz w:val="20"/>
          <w:szCs w:val="20"/>
        </w:rPr>
      </w:pPr>
      <w:r w:rsidRPr="000F2079">
        <w:rPr>
          <w:rFonts w:ascii="Arial" w:hAnsi="Arial" w:cs="Arial"/>
          <w:b/>
          <w:color w:val="000000"/>
          <w:sz w:val="20"/>
          <w:szCs w:val="20"/>
        </w:rPr>
        <w:t>Preambula</w:t>
      </w:r>
    </w:p>
    <w:p w:rsidR="00E67756" w:rsidRPr="000F2079" w:rsidRDefault="00E67756" w:rsidP="00022065">
      <w:pPr>
        <w:spacing w:after="0"/>
        <w:jc w:val="both"/>
        <w:rPr>
          <w:rFonts w:ascii="Arial" w:hAnsi="Arial" w:cs="Arial"/>
          <w:b/>
          <w:color w:val="000000"/>
          <w:sz w:val="20"/>
          <w:szCs w:val="20"/>
        </w:rPr>
      </w:pPr>
    </w:p>
    <w:p w:rsidR="00E67756" w:rsidRPr="000F2079" w:rsidRDefault="00E67756" w:rsidP="00022065">
      <w:pPr>
        <w:spacing w:after="0"/>
        <w:ind w:firstLine="708"/>
        <w:jc w:val="both"/>
        <w:rPr>
          <w:rFonts w:ascii="Arial" w:hAnsi="Arial" w:cs="Arial"/>
          <w:color w:val="000000"/>
          <w:sz w:val="20"/>
          <w:szCs w:val="20"/>
        </w:rPr>
      </w:pPr>
      <w:r w:rsidRPr="000F2079">
        <w:rPr>
          <w:rFonts w:ascii="Arial" w:hAnsi="Arial" w:cs="Arial"/>
          <w:b/>
          <w:color w:val="000000"/>
          <w:sz w:val="20"/>
          <w:szCs w:val="20"/>
        </w:rPr>
        <w:t xml:space="preserve">Test malých a stredných podnikov </w:t>
      </w:r>
      <w:r w:rsidRPr="000F2079">
        <w:rPr>
          <w:rFonts w:ascii="Arial" w:hAnsi="Arial" w:cs="Arial"/>
          <w:color w:val="000000"/>
          <w:sz w:val="20"/>
          <w:szCs w:val="20"/>
        </w:rPr>
        <w:t>(ďalej len test MSP) je vykonávaný v súlade s o</w:t>
      </w:r>
      <w:r w:rsidRPr="000F2079">
        <w:rPr>
          <w:rFonts w:ascii="Arial" w:hAnsi="Arial" w:cs="Arial"/>
          <w:bCs/>
          <w:color w:val="000000"/>
          <w:sz w:val="20"/>
          <w:szCs w:val="20"/>
        </w:rPr>
        <w:t xml:space="preserve">známením Komisie Európskemu parlamentu, Rade, Európskemu hospodárskemu a sociálnemu výboru a Výboru regiónov - </w:t>
      </w:r>
      <w:r w:rsidRPr="000F2079">
        <w:rPr>
          <w:rFonts w:ascii="Arial" w:hAnsi="Arial" w:cs="Arial"/>
          <w:b/>
          <w:bCs/>
          <w:color w:val="000000"/>
          <w:sz w:val="20"/>
          <w:szCs w:val="20"/>
        </w:rPr>
        <w:t xml:space="preserve">„Najskôr myslieť v malom“ </w:t>
      </w:r>
      <w:r w:rsidRPr="000F2079">
        <w:rPr>
          <w:rFonts w:ascii="Arial" w:hAnsi="Arial" w:cs="Arial"/>
          <w:bCs/>
          <w:color w:val="000000"/>
          <w:sz w:val="20"/>
          <w:szCs w:val="20"/>
        </w:rPr>
        <w:t>Iniciatíva „Small Business Act“ pre Európu SEK</w:t>
      </w:r>
      <w:r w:rsidR="009118FA" w:rsidRPr="000F2079">
        <w:rPr>
          <w:rFonts w:ascii="Arial" w:hAnsi="Arial" w:cs="Arial"/>
          <w:bCs/>
          <w:color w:val="000000"/>
          <w:sz w:val="20"/>
          <w:szCs w:val="20"/>
        </w:rPr>
        <w:t xml:space="preserve"> </w:t>
      </w:r>
      <w:r w:rsidRPr="000F2079">
        <w:rPr>
          <w:rFonts w:ascii="Arial" w:hAnsi="Arial" w:cs="Arial"/>
          <w:bCs/>
          <w:color w:val="000000"/>
          <w:sz w:val="20"/>
          <w:szCs w:val="20"/>
        </w:rPr>
        <w:t>(2008) 2101, SEK</w:t>
      </w:r>
      <w:r w:rsidR="00C97990" w:rsidRPr="000F2079">
        <w:rPr>
          <w:rFonts w:ascii="Arial" w:hAnsi="Arial" w:cs="Arial"/>
          <w:bCs/>
          <w:color w:val="000000"/>
          <w:sz w:val="20"/>
          <w:szCs w:val="20"/>
        </w:rPr>
        <w:t xml:space="preserve"> </w:t>
      </w:r>
      <w:r w:rsidRPr="000F2079">
        <w:rPr>
          <w:rFonts w:ascii="Arial" w:hAnsi="Arial" w:cs="Arial"/>
          <w:bCs/>
          <w:color w:val="000000"/>
          <w:sz w:val="20"/>
          <w:szCs w:val="20"/>
        </w:rPr>
        <w:t>(2008) 2102, odporúčaním Komisie č. 2003/361/ES, ako i v súlade s </w:t>
      </w:r>
      <w:r w:rsidR="00423FE6" w:rsidRPr="000F2079">
        <w:rPr>
          <w:rFonts w:ascii="Arial" w:hAnsi="Arial" w:cs="Arial"/>
          <w:bCs/>
          <w:color w:val="000000"/>
          <w:sz w:val="20"/>
          <w:szCs w:val="20"/>
        </w:rPr>
        <w:t xml:space="preserve">§ 10 zákona č. 290/2016 Z. z. o podpore malého a stredného podnikania a o zmene a doplnení zákona č. 71/2013 Z. z. o poskytovaní dotácií v pôsobnosti Ministerstva hospodárstva Slovenskej republiky v znení neskorších predpisov (ďalej len </w:t>
      </w:r>
      <w:r w:rsidR="00423FE6" w:rsidRPr="000F2079">
        <w:rPr>
          <w:rFonts w:ascii="Arial" w:hAnsi="Arial" w:cs="Arial"/>
          <w:b/>
          <w:bCs/>
          <w:color w:val="000000"/>
          <w:sz w:val="20"/>
          <w:szCs w:val="20"/>
        </w:rPr>
        <w:t>„zákona o podpore MSP“</w:t>
      </w:r>
      <w:r w:rsidR="00423FE6" w:rsidRPr="000F2079">
        <w:rPr>
          <w:rFonts w:ascii="Arial" w:hAnsi="Arial" w:cs="Arial"/>
          <w:bCs/>
          <w:color w:val="000000"/>
          <w:sz w:val="20"/>
          <w:szCs w:val="20"/>
        </w:rPr>
        <w:t xml:space="preserve">) a </w:t>
      </w:r>
      <w:r w:rsidR="009E63D1" w:rsidRPr="000F2079">
        <w:rPr>
          <w:rFonts w:ascii="Arial" w:hAnsi="Arial" w:cs="Arial"/>
          <w:color w:val="000000"/>
          <w:sz w:val="20"/>
          <w:szCs w:val="20"/>
        </w:rPr>
        <w:t>bodom</w:t>
      </w:r>
      <w:r w:rsidRPr="000F2079">
        <w:rPr>
          <w:rFonts w:ascii="Arial" w:hAnsi="Arial" w:cs="Arial"/>
          <w:color w:val="000000"/>
          <w:sz w:val="20"/>
          <w:szCs w:val="20"/>
        </w:rPr>
        <w:t xml:space="preserve"> </w:t>
      </w:r>
      <w:r w:rsidR="00423FE6" w:rsidRPr="000F2079">
        <w:rPr>
          <w:rFonts w:ascii="Arial" w:hAnsi="Arial" w:cs="Arial"/>
          <w:color w:val="000000"/>
          <w:sz w:val="20"/>
          <w:szCs w:val="20"/>
        </w:rPr>
        <w:t>6</w:t>
      </w:r>
      <w:r w:rsidR="00022065" w:rsidRPr="000F2079">
        <w:rPr>
          <w:rFonts w:ascii="Arial" w:hAnsi="Arial" w:cs="Arial"/>
          <w:color w:val="000000"/>
          <w:sz w:val="20"/>
          <w:szCs w:val="20"/>
        </w:rPr>
        <w:t>.</w:t>
      </w:r>
      <w:r w:rsidRPr="000F2079">
        <w:rPr>
          <w:rFonts w:ascii="Arial" w:hAnsi="Arial" w:cs="Arial"/>
          <w:color w:val="000000"/>
          <w:sz w:val="20"/>
          <w:szCs w:val="20"/>
        </w:rPr>
        <w:t xml:space="preserve"> Jednotnej metodiky na posudzovanie vybraných vplyvov schválenej uznesením vlády S</w:t>
      </w:r>
      <w:r w:rsidR="009D7953" w:rsidRPr="000F2079">
        <w:rPr>
          <w:rFonts w:ascii="Arial" w:hAnsi="Arial" w:cs="Arial"/>
          <w:color w:val="000000"/>
          <w:sz w:val="20"/>
          <w:szCs w:val="20"/>
        </w:rPr>
        <w:t>lovenskej republiky</w:t>
      </w:r>
      <w:r w:rsidRPr="000F2079">
        <w:rPr>
          <w:rFonts w:ascii="Arial" w:hAnsi="Arial" w:cs="Arial"/>
          <w:color w:val="000000"/>
          <w:sz w:val="20"/>
          <w:szCs w:val="20"/>
        </w:rPr>
        <w:t xml:space="preserve"> zo 14. januára 2015 </w:t>
      </w:r>
      <w:r w:rsidR="002D3299" w:rsidRPr="000F2079">
        <w:rPr>
          <w:rFonts w:ascii="Arial" w:hAnsi="Arial" w:cs="Arial"/>
          <w:color w:val="000000"/>
          <w:sz w:val="20"/>
          <w:szCs w:val="20"/>
        </w:rPr>
        <w:t>v znení uznesenia vlády SR č. 513 zo 16. septembra 2015 a uznesenia vlády SR č. 76 z 24. februára 2016</w:t>
      </w:r>
      <w:r w:rsidRPr="000F2079">
        <w:rPr>
          <w:rFonts w:ascii="Arial" w:hAnsi="Arial" w:cs="Arial"/>
          <w:color w:val="000000"/>
          <w:sz w:val="20"/>
          <w:szCs w:val="20"/>
        </w:rPr>
        <w:t xml:space="preserve"> (ďalej len </w:t>
      </w:r>
      <w:r w:rsidR="00034F60" w:rsidRPr="000F2079">
        <w:rPr>
          <w:rFonts w:ascii="Arial" w:hAnsi="Arial" w:cs="Arial"/>
          <w:color w:val="000000"/>
          <w:sz w:val="20"/>
          <w:szCs w:val="20"/>
        </w:rPr>
        <w:t>„</w:t>
      </w:r>
      <w:r w:rsidRPr="000F2079">
        <w:rPr>
          <w:rFonts w:ascii="Arial" w:hAnsi="Arial" w:cs="Arial"/>
          <w:b/>
          <w:color w:val="000000"/>
          <w:sz w:val="20"/>
          <w:szCs w:val="20"/>
        </w:rPr>
        <w:t>Jednotná metodika</w:t>
      </w:r>
      <w:r w:rsidR="00034F60" w:rsidRPr="000F2079">
        <w:rPr>
          <w:rFonts w:ascii="Arial" w:hAnsi="Arial" w:cs="Arial"/>
          <w:b/>
          <w:color w:val="000000"/>
          <w:sz w:val="20"/>
          <w:szCs w:val="20"/>
        </w:rPr>
        <w:t>“</w:t>
      </w:r>
      <w:r w:rsidRPr="000F2079">
        <w:rPr>
          <w:rFonts w:ascii="Arial" w:hAnsi="Arial" w:cs="Arial"/>
          <w:color w:val="000000"/>
          <w:sz w:val="20"/>
          <w:szCs w:val="20"/>
        </w:rPr>
        <w:t>).</w:t>
      </w:r>
    </w:p>
    <w:p w:rsidR="00E67756" w:rsidRPr="000F2079" w:rsidRDefault="00E67756" w:rsidP="00022065">
      <w:pPr>
        <w:spacing w:after="0"/>
        <w:jc w:val="both"/>
        <w:rPr>
          <w:rFonts w:ascii="Arial" w:hAnsi="Arial" w:cs="Arial"/>
          <w:color w:val="000000"/>
          <w:sz w:val="20"/>
          <w:szCs w:val="20"/>
        </w:rPr>
      </w:pPr>
    </w:p>
    <w:p w:rsidR="00E67756" w:rsidRPr="000F2079" w:rsidRDefault="002D3299" w:rsidP="00022065">
      <w:pPr>
        <w:spacing w:after="0"/>
        <w:ind w:firstLine="708"/>
        <w:jc w:val="both"/>
        <w:rPr>
          <w:rFonts w:ascii="Arial" w:hAnsi="Arial" w:cs="Arial"/>
          <w:color w:val="000000"/>
          <w:sz w:val="20"/>
          <w:szCs w:val="20"/>
        </w:rPr>
      </w:pPr>
      <w:r w:rsidRPr="000F2079">
        <w:rPr>
          <w:rFonts w:ascii="Arial" w:hAnsi="Arial" w:cs="Arial"/>
          <w:color w:val="000000"/>
          <w:sz w:val="20"/>
          <w:szCs w:val="20"/>
        </w:rPr>
        <w:t>Bod</w:t>
      </w:r>
      <w:r w:rsidR="00E67756" w:rsidRPr="000F2079">
        <w:rPr>
          <w:rFonts w:ascii="Arial" w:hAnsi="Arial" w:cs="Arial"/>
          <w:color w:val="000000"/>
          <w:sz w:val="20"/>
          <w:szCs w:val="20"/>
        </w:rPr>
        <w:t xml:space="preserve"> </w:t>
      </w:r>
      <w:r w:rsidRPr="000F2079">
        <w:rPr>
          <w:rFonts w:ascii="Arial" w:hAnsi="Arial" w:cs="Arial"/>
          <w:color w:val="000000"/>
          <w:sz w:val="20"/>
          <w:szCs w:val="20"/>
        </w:rPr>
        <w:t>6</w:t>
      </w:r>
      <w:r w:rsidR="00E67756" w:rsidRPr="000F2079">
        <w:rPr>
          <w:rFonts w:ascii="Arial" w:hAnsi="Arial" w:cs="Arial"/>
          <w:color w:val="000000"/>
          <w:sz w:val="20"/>
          <w:szCs w:val="20"/>
        </w:rPr>
        <w:t>.</w:t>
      </w:r>
      <w:r w:rsidR="00B42FD6" w:rsidRPr="000F2079">
        <w:rPr>
          <w:rFonts w:ascii="Arial" w:hAnsi="Arial" w:cs="Arial"/>
          <w:color w:val="000000"/>
          <w:sz w:val="20"/>
          <w:szCs w:val="20"/>
        </w:rPr>
        <w:t>2</w:t>
      </w:r>
      <w:r w:rsidR="00022065" w:rsidRPr="000F2079">
        <w:rPr>
          <w:rFonts w:ascii="Arial" w:hAnsi="Arial" w:cs="Arial"/>
          <w:color w:val="000000"/>
          <w:sz w:val="20"/>
          <w:szCs w:val="20"/>
        </w:rPr>
        <w:t>.</w:t>
      </w:r>
      <w:r w:rsidR="00E67756" w:rsidRPr="000F2079">
        <w:rPr>
          <w:rFonts w:ascii="Arial" w:hAnsi="Arial" w:cs="Arial"/>
          <w:color w:val="000000"/>
          <w:sz w:val="20"/>
          <w:szCs w:val="20"/>
        </w:rPr>
        <w:t xml:space="preserve"> Jednotnej metodiky </w:t>
      </w:r>
      <w:r w:rsidRPr="000F2079">
        <w:rPr>
          <w:rFonts w:ascii="Arial" w:hAnsi="Arial" w:cs="Arial"/>
          <w:color w:val="000000"/>
          <w:sz w:val="20"/>
          <w:szCs w:val="20"/>
        </w:rPr>
        <w:t xml:space="preserve">ustanovuje, že </w:t>
      </w:r>
      <w:r w:rsidRPr="000F2079">
        <w:rPr>
          <w:rFonts w:ascii="Arial" w:hAnsi="Arial" w:cs="Arial"/>
          <w:b/>
          <w:color w:val="000000"/>
          <w:sz w:val="20"/>
          <w:szCs w:val="20"/>
        </w:rPr>
        <w:t>test MSP</w:t>
      </w:r>
      <w:r w:rsidRPr="000F2079">
        <w:rPr>
          <w:rFonts w:ascii="Arial" w:hAnsi="Arial" w:cs="Arial"/>
          <w:color w:val="000000"/>
          <w:sz w:val="20"/>
          <w:szCs w:val="20"/>
        </w:rPr>
        <w:t xml:space="preserve"> vykoná </w:t>
      </w:r>
      <w:r w:rsidR="00726FC1" w:rsidRPr="000F2079">
        <w:rPr>
          <w:rFonts w:ascii="Arial" w:eastAsia="Calibri" w:hAnsi="Arial" w:cs="Arial"/>
          <w:sz w:val="20"/>
          <w:szCs w:val="20"/>
        </w:rPr>
        <w:t>Združenie právnických osôb s účasťou Ministerstva hospodárstva Slovenskej republiky, ktorého záujmom a poslaním je podpora a rozvoj malého a stredného podnikania v Slovenskej republike</w:t>
      </w:r>
      <w:r w:rsidR="00392B9A" w:rsidRPr="000F2079">
        <w:rPr>
          <w:rFonts w:ascii="Arial" w:eastAsia="Calibri" w:hAnsi="Arial" w:cs="Arial"/>
          <w:sz w:val="20"/>
          <w:szCs w:val="20"/>
        </w:rPr>
        <w:t xml:space="preserve">, </w:t>
      </w:r>
      <w:r w:rsidR="0012566C" w:rsidRPr="000F2079">
        <w:rPr>
          <w:rFonts w:ascii="Arial" w:eastAsia="Calibri" w:hAnsi="Arial" w:cs="Arial"/>
          <w:sz w:val="20"/>
          <w:szCs w:val="20"/>
        </w:rPr>
        <w:t xml:space="preserve">pričom </w:t>
      </w:r>
      <w:r w:rsidR="00392B9A" w:rsidRPr="000F2079">
        <w:rPr>
          <w:rFonts w:ascii="Arial" w:eastAsia="Calibri" w:hAnsi="Arial" w:cs="Arial"/>
          <w:sz w:val="20"/>
          <w:szCs w:val="20"/>
        </w:rPr>
        <w:t xml:space="preserve">konkrétne </w:t>
      </w:r>
      <w:r w:rsidR="0012566C" w:rsidRPr="000F2079">
        <w:rPr>
          <w:rFonts w:ascii="Arial" w:eastAsia="Calibri" w:hAnsi="Arial" w:cs="Arial"/>
          <w:sz w:val="20"/>
          <w:szCs w:val="20"/>
        </w:rPr>
        <w:t>ho vykonáva</w:t>
      </w:r>
      <w:r w:rsidR="00392B9A" w:rsidRPr="000F2079">
        <w:rPr>
          <w:rFonts w:ascii="Arial" w:eastAsia="Calibri" w:hAnsi="Arial" w:cs="Arial"/>
          <w:sz w:val="20"/>
          <w:szCs w:val="20"/>
        </w:rPr>
        <w:t xml:space="preserve"> analytický odbor</w:t>
      </w:r>
      <w:r w:rsidR="0012566C" w:rsidRPr="000F2079">
        <w:rPr>
          <w:rFonts w:ascii="Arial" w:eastAsia="Calibri" w:hAnsi="Arial" w:cs="Arial"/>
          <w:sz w:val="20"/>
          <w:szCs w:val="20"/>
        </w:rPr>
        <w:t xml:space="preserve"> tohto združenia -</w:t>
      </w:r>
      <w:r w:rsidR="00392B9A" w:rsidRPr="000F2079">
        <w:rPr>
          <w:rFonts w:ascii="Arial" w:eastAsia="Calibri" w:hAnsi="Arial" w:cs="Arial"/>
          <w:sz w:val="20"/>
          <w:szCs w:val="20"/>
        </w:rPr>
        <w:t xml:space="preserve"> </w:t>
      </w:r>
      <w:r w:rsidR="00392B9A" w:rsidRPr="000F2079">
        <w:rPr>
          <w:rFonts w:ascii="Arial" w:eastAsia="Calibri" w:hAnsi="Arial" w:cs="Arial"/>
          <w:b/>
          <w:sz w:val="20"/>
          <w:szCs w:val="20"/>
        </w:rPr>
        <w:t>Centrum lepšej regulácie</w:t>
      </w:r>
      <w:r w:rsidR="00726FC1" w:rsidRPr="000F2079">
        <w:rPr>
          <w:rFonts w:ascii="Arial" w:eastAsia="Calibri" w:hAnsi="Arial" w:cs="Arial"/>
          <w:sz w:val="20"/>
          <w:szCs w:val="20"/>
        </w:rPr>
        <w:t xml:space="preserve"> (ďalej len „</w:t>
      </w:r>
      <w:r w:rsidR="00392B9A" w:rsidRPr="000F2079">
        <w:rPr>
          <w:rFonts w:ascii="Arial" w:eastAsia="Calibri" w:hAnsi="Arial" w:cs="Arial"/>
          <w:sz w:val="20"/>
          <w:szCs w:val="20"/>
        </w:rPr>
        <w:t>Centrum lepšej regulácie</w:t>
      </w:r>
      <w:r w:rsidR="00726FC1" w:rsidRPr="000F2079">
        <w:rPr>
          <w:rFonts w:ascii="Arial" w:eastAsia="Calibri" w:hAnsi="Arial" w:cs="Arial"/>
          <w:sz w:val="20"/>
          <w:szCs w:val="20"/>
        </w:rPr>
        <w:t>“)</w:t>
      </w:r>
      <w:r w:rsidRPr="000F2079">
        <w:rPr>
          <w:rFonts w:ascii="Arial" w:hAnsi="Arial" w:cs="Arial"/>
          <w:color w:val="000000"/>
          <w:sz w:val="20"/>
          <w:szCs w:val="20"/>
        </w:rPr>
        <w:t xml:space="preserve"> v spolupráci s predkladateľom. V rámci testu MSP preskúma špecifické vplyvy predkladaného návrhu na </w:t>
      </w:r>
      <w:r w:rsidR="00B42FD6" w:rsidRPr="000F2079">
        <w:rPr>
          <w:rFonts w:ascii="Arial" w:hAnsi="Arial" w:cs="Arial"/>
          <w:color w:val="000000"/>
          <w:sz w:val="20"/>
          <w:szCs w:val="20"/>
        </w:rPr>
        <w:t xml:space="preserve">mikro, malé a stredné podniky. </w:t>
      </w:r>
      <w:r w:rsidR="00B42FD6" w:rsidRPr="000F2079">
        <w:rPr>
          <w:rFonts w:ascii="Arial" w:hAnsi="Arial" w:cs="Arial"/>
          <w:b/>
          <w:color w:val="000000"/>
          <w:sz w:val="20"/>
          <w:szCs w:val="20"/>
        </w:rPr>
        <w:t>V</w:t>
      </w:r>
      <w:r w:rsidRPr="000F2079">
        <w:rPr>
          <w:rFonts w:ascii="Arial" w:hAnsi="Arial" w:cs="Arial"/>
          <w:b/>
          <w:color w:val="000000"/>
          <w:sz w:val="20"/>
          <w:szCs w:val="20"/>
        </w:rPr>
        <w:t>ýsledky testu MSP</w:t>
      </w:r>
      <w:r w:rsidRPr="000F2079">
        <w:rPr>
          <w:rFonts w:ascii="Arial" w:hAnsi="Arial" w:cs="Arial"/>
          <w:color w:val="000000"/>
          <w:sz w:val="20"/>
          <w:szCs w:val="20"/>
        </w:rPr>
        <w:t xml:space="preserve"> sú </w:t>
      </w:r>
      <w:r w:rsidR="00B42FD6" w:rsidRPr="000F2079">
        <w:rPr>
          <w:rFonts w:ascii="Arial" w:hAnsi="Arial" w:cs="Arial"/>
          <w:color w:val="000000"/>
          <w:sz w:val="20"/>
          <w:szCs w:val="20"/>
        </w:rPr>
        <w:t>podľa bodu 6.3</w:t>
      </w:r>
      <w:r w:rsidR="00022065" w:rsidRPr="000F2079">
        <w:rPr>
          <w:rFonts w:ascii="Arial" w:hAnsi="Arial" w:cs="Arial"/>
          <w:color w:val="000000"/>
          <w:sz w:val="20"/>
          <w:szCs w:val="20"/>
        </w:rPr>
        <w:t>.</w:t>
      </w:r>
      <w:r w:rsidR="00B42FD6" w:rsidRPr="000F2079">
        <w:rPr>
          <w:rFonts w:ascii="Arial" w:hAnsi="Arial" w:cs="Arial"/>
          <w:color w:val="000000"/>
          <w:sz w:val="20"/>
          <w:szCs w:val="20"/>
        </w:rPr>
        <w:t xml:space="preserve"> Jednotnej metodiky </w:t>
      </w:r>
      <w:r w:rsidRPr="000F2079">
        <w:rPr>
          <w:rFonts w:ascii="Arial" w:hAnsi="Arial" w:cs="Arial"/>
          <w:b/>
          <w:color w:val="000000"/>
          <w:sz w:val="20"/>
          <w:szCs w:val="20"/>
        </w:rPr>
        <w:t>súčasťou analýzy vplyvov na podnikateľské prostredie.</w:t>
      </w:r>
    </w:p>
    <w:p w:rsidR="00E67756" w:rsidRPr="000F2079" w:rsidRDefault="00E67756" w:rsidP="00022065">
      <w:pPr>
        <w:spacing w:after="0"/>
        <w:jc w:val="both"/>
        <w:rPr>
          <w:rFonts w:ascii="Arial" w:hAnsi="Arial" w:cs="Arial"/>
          <w:color w:val="000000"/>
          <w:sz w:val="20"/>
          <w:szCs w:val="20"/>
          <w:highlight w:val="yellow"/>
        </w:rPr>
      </w:pPr>
    </w:p>
    <w:p w:rsidR="00C63BDA" w:rsidRPr="000F2079" w:rsidRDefault="00C63BDA" w:rsidP="00022065">
      <w:pPr>
        <w:spacing w:after="0"/>
        <w:jc w:val="both"/>
        <w:outlineLvl w:val="0"/>
        <w:rPr>
          <w:rFonts w:ascii="Arial" w:hAnsi="Arial" w:cs="Arial"/>
          <w:b/>
          <w:bCs/>
          <w:color w:val="000000"/>
          <w:sz w:val="20"/>
          <w:szCs w:val="20"/>
        </w:rPr>
      </w:pPr>
    </w:p>
    <w:p w:rsidR="00E67756" w:rsidRPr="000F2079" w:rsidRDefault="00E67756" w:rsidP="00022065">
      <w:pPr>
        <w:spacing w:after="0"/>
        <w:jc w:val="both"/>
        <w:outlineLvl w:val="0"/>
        <w:rPr>
          <w:rFonts w:ascii="Arial" w:hAnsi="Arial" w:cs="Arial"/>
          <w:b/>
          <w:bCs/>
          <w:color w:val="000000"/>
          <w:sz w:val="20"/>
          <w:szCs w:val="20"/>
        </w:rPr>
      </w:pPr>
      <w:r w:rsidRPr="000F2079">
        <w:rPr>
          <w:rFonts w:ascii="Arial" w:hAnsi="Arial" w:cs="Arial"/>
          <w:b/>
          <w:bCs/>
          <w:color w:val="000000"/>
          <w:sz w:val="20"/>
          <w:szCs w:val="20"/>
        </w:rPr>
        <w:t xml:space="preserve">Názov </w:t>
      </w:r>
      <w:r w:rsidR="001F1A04" w:rsidRPr="000F2079">
        <w:rPr>
          <w:rFonts w:ascii="Arial" w:hAnsi="Arial" w:cs="Arial"/>
          <w:b/>
          <w:bCs/>
          <w:color w:val="000000"/>
          <w:sz w:val="20"/>
          <w:szCs w:val="20"/>
        </w:rPr>
        <w:t xml:space="preserve">a cieľ </w:t>
      </w:r>
      <w:r w:rsidRPr="000F2079">
        <w:rPr>
          <w:rFonts w:ascii="Arial" w:hAnsi="Arial" w:cs="Arial"/>
          <w:b/>
          <w:bCs/>
          <w:color w:val="000000"/>
          <w:sz w:val="20"/>
          <w:szCs w:val="20"/>
        </w:rPr>
        <w:t xml:space="preserve">materiálu: </w:t>
      </w:r>
    </w:p>
    <w:p w:rsidR="00CA415F" w:rsidRPr="000F2079" w:rsidRDefault="00CA415F" w:rsidP="00AA7D81">
      <w:pPr>
        <w:pStyle w:val="Normlny1"/>
        <w:jc w:val="both"/>
        <w:rPr>
          <w:sz w:val="20"/>
          <w:szCs w:val="20"/>
          <w:u w:val="single"/>
          <w:lang w:val="sk-SK"/>
        </w:rPr>
      </w:pPr>
    </w:p>
    <w:p w:rsidR="00EF1063" w:rsidRPr="000F2079" w:rsidRDefault="00EF1063" w:rsidP="004134E0">
      <w:pPr>
        <w:pStyle w:val="Normlny1"/>
        <w:ind w:firstLine="708"/>
        <w:jc w:val="both"/>
        <w:rPr>
          <w:sz w:val="20"/>
          <w:szCs w:val="20"/>
          <w:lang w:val="sk-SK"/>
        </w:rPr>
      </w:pPr>
      <w:r w:rsidRPr="000F2079">
        <w:rPr>
          <w:sz w:val="20"/>
          <w:szCs w:val="20"/>
          <w:lang w:val="sk-SK"/>
        </w:rPr>
        <w:t xml:space="preserve">Pripravovaný návrh z dielne </w:t>
      </w:r>
      <w:r w:rsidR="004134E0" w:rsidRPr="000F2079">
        <w:rPr>
          <w:sz w:val="20"/>
          <w:szCs w:val="20"/>
          <w:lang w:val="sk-SK"/>
        </w:rPr>
        <w:t>Ministerstva práce, sociálnych vecí a rodiny SR (ďalej len „Ministerstvo práce“)</w:t>
      </w:r>
      <w:r w:rsidR="004134E0" w:rsidRPr="000F2079">
        <w:rPr>
          <w:sz w:val="20"/>
          <w:szCs w:val="20"/>
        </w:rPr>
        <w:t xml:space="preserve"> </w:t>
      </w:r>
      <w:r w:rsidR="004134E0" w:rsidRPr="000F2079">
        <w:rPr>
          <w:b/>
          <w:sz w:val="20"/>
          <w:szCs w:val="20"/>
          <w:lang w:val="sk-SK"/>
        </w:rPr>
        <w:t>nariadenia vlády Slovenskej republiky, ktorým sa ustanovuje suma minimálnej mzdy na rok 2019 sa predkladá na základe § 2 ods. 1 zákona č. 663/2007 Z. z. o minimálnej mzde v znení neskorších predpisov</w:t>
      </w:r>
      <w:r w:rsidR="004134E0" w:rsidRPr="000F2079">
        <w:rPr>
          <w:sz w:val="20"/>
          <w:szCs w:val="20"/>
          <w:lang w:val="sk-SK"/>
        </w:rPr>
        <w:t xml:space="preserve"> </w:t>
      </w:r>
      <w:r w:rsidR="005F6542" w:rsidRPr="000F2079">
        <w:rPr>
          <w:sz w:val="20"/>
          <w:szCs w:val="20"/>
          <w:lang w:val="sk-SK"/>
        </w:rPr>
        <w:t>(ďalej len „</w:t>
      </w:r>
      <w:r w:rsidR="002B58BD" w:rsidRPr="000F2079">
        <w:rPr>
          <w:sz w:val="20"/>
          <w:szCs w:val="20"/>
          <w:lang w:val="sk-SK"/>
        </w:rPr>
        <w:t>návrh</w:t>
      </w:r>
      <w:r w:rsidR="005F6542" w:rsidRPr="000F2079">
        <w:rPr>
          <w:sz w:val="20"/>
          <w:szCs w:val="20"/>
          <w:lang w:val="sk-SK"/>
        </w:rPr>
        <w:t>“)</w:t>
      </w:r>
      <w:r w:rsidR="004134E0" w:rsidRPr="000F2079">
        <w:rPr>
          <w:sz w:val="20"/>
          <w:szCs w:val="20"/>
          <w:lang w:val="sk-SK"/>
        </w:rPr>
        <w:t xml:space="preserve"> reaguje na</w:t>
      </w:r>
      <w:r w:rsidR="004134E0" w:rsidRPr="000F2079">
        <w:rPr>
          <w:sz w:val="20"/>
          <w:szCs w:val="20"/>
        </w:rPr>
        <w:t xml:space="preserve"> </w:t>
      </w:r>
      <w:r w:rsidR="004134E0" w:rsidRPr="000F2079">
        <w:rPr>
          <w:sz w:val="20"/>
          <w:szCs w:val="20"/>
          <w:lang w:val="sk-SK"/>
        </w:rPr>
        <w:t xml:space="preserve">§ 8 ods. 2 zákona o minimálnej mzde, podľa ktorého </w:t>
      </w:r>
      <w:r w:rsidR="004134E0" w:rsidRPr="000F2079">
        <w:rPr>
          <w:b/>
          <w:sz w:val="20"/>
          <w:szCs w:val="20"/>
          <w:lang w:val="sk-SK"/>
        </w:rPr>
        <w:t>sa suma mesačnej minimálnej mzdy na nasledujúci kalendárny rok určí najmenej vo výške súčinu platnej mesačnej minimálnej mzdy a indexu medziročného rastu priemernej mesačnej nominálnej mzdy zamestnanca</w:t>
      </w:r>
      <w:r w:rsidR="004134E0" w:rsidRPr="000F2079">
        <w:rPr>
          <w:sz w:val="20"/>
          <w:szCs w:val="20"/>
          <w:lang w:val="sk-SK"/>
        </w:rPr>
        <w:t xml:space="preserve"> v hospodárstve Slovenskej republiky zverejneného Štatistickým úradom Slovenskej republiky za kalendárny rok, ktorý predchádza kalendárnemu roku, v ktorom sa predkladá návrh na úpravu sumy minimálnej mzdy. Podľa údajov Štatistického úradu Slovenskej republiky medziročný index rastu nominálnej mzdy za rok 2017 predstavoval 104,6 %. Podľa § 8 ods. 3 zákona o minimálnej mzde však o konečnej sume minimálnej mzdy rozhodne vláda Slovenskej republiky s prihliadnutím na stanoviská sociálnych partnerov, vývoj kritérií na úpravu sumy minimálnej mzdy podľa § 6 zákona o minimálnej mzde, vývoj podielu čistej minimálnej mzdy z čistej priemernej mzdy najmenej za predchádzajúce dva kalendárne roky a s prihliadnutím na vývoj produktivity práce. Podľa predbežných informácií </w:t>
      </w:r>
      <w:r w:rsidR="004134E0" w:rsidRPr="000F2079">
        <w:rPr>
          <w:b/>
          <w:sz w:val="20"/>
          <w:szCs w:val="20"/>
          <w:u w:val="single"/>
          <w:lang w:val="sk-SK"/>
        </w:rPr>
        <w:t>má návrh</w:t>
      </w:r>
      <w:r w:rsidR="002820CD" w:rsidRPr="000F2079">
        <w:rPr>
          <w:b/>
          <w:sz w:val="20"/>
          <w:szCs w:val="20"/>
          <w:u w:val="single"/>
          <w:lang w:val="sk-SK"/>
        </w:rPr>
        <w:t xml:space="preserve"> </w:t>
      </w:r>
      <w:r w:rsidRPr="000F2079">
        <w:rPr>
          <w:b/>
          <w:sz w:val="20"/>
          <w:szCs w:val="20"/>
          <w:u w:val="single"/>
          <w:lang w:val="sk-SK"/>
        </w:rPr>
        <w:t>za cieľ</w:t>
      </w:r>
      <w:r w:rsidRPr="000F2079">
        <w:rPr>
          <w:b/>
          <w:sz w:val="20"/>
          <w:szCs w:val="20"/>
          <w:lang w:val="sk-SK"/>
        </w:rPr>
        <w:t>:</w:t>
      </w:r>
    </w:p>
    <w:p w:rsidR="00EF1063" w:rsidRPr="000F2079" w:rsidRDefault="00EF1063" w:rsidP="00AA7D81">
      <w:pPr>
        <w:pStyle w:val="Normlny1"/>
        <w:jc w:val="both"/>
        <w:rPr>
          <w:sz w:val="20"/>
          <w:szCs w:val="20"/>
          <w:highlight w:val="yellow"/>
          <w:lang w:val="sk-SK"/>
        </w:rPr>
      </w:pPr>
    </w:p>
    <w:p w:rsidR="004601BA" w:rsidRPr="00B2523B" w:rsidRDefault="007F35AC" w:rsidP="004601BA">
      <w:pPr>
        <w:pStyle w:val="Odsekzoznamu"/>
        <w:widowControl/>
        <w:numPr>
          <w:ilvl w:val="0"/>
          <w:numId w:val="5"/>
        </w:numPr>
        <w:shd w:val="clear" w:color="auto" w:fill="FFFFFF"/>
        <w:adjustRightInd/>
        <w:spacing w:after="0"/>
        <w:jc w:val="both"/>
        <w:rPr>
          <w:rFonts w:ascii="Arial" w:hAnsi="Arial" w:cs="Arial"/>
          <w:bCs/>
          <w:color w:val="FF0000"/>
          <w:sz w:val="20"/>
          <w:szCs w:val="20"/>
          <w:u w:val="single"/>
        </w:rPr>
      </w:pPr>
      <w:r w:rsidRPr="000F2079">
        <w:rPr>
          <w:rFonts w:ascii="Arial" w:hAnsi="Arial" w:cs="Arial"/>
          <w:b/>
          <w:bCs/>
          <w:sz w:val="20"/>
          <w:szCs w:val="20"/>
        </w:rPr>
        <w:t xml:space="preserve">zvýšiť </w:t>
      </w:r>
      <w:r w:rsidR="00B2523B" w:rsidRPr="00787D4D">
        <w:rPr>
          <w:rFonts w:ascii="Arial" w:hAnsi="Arial" w:cs="Arial"/>
          <w:b/>
          <w:bCs/>
          <w:sz w:val="20"/>
          <w:szCs w:val="20"/>
        </w:rPr>
        <w:t>mesačnú</w:t>
      </w:r>
      <w:r w:rsidR="00B2523B">
        <w:rPr>
          <w:rFonts w:ascii="Arial" w:hAnsi="Arial" w:cs="Arial"/>
          <w:b/>
          <w:bCs/>
          <w:sz w:val="20"/>
          <w:szCs w:val="20"/>
        </w:rPr>
        <w:t xml:space="preserve"> </w:t>
      </w:r>
      <w:r w:rsidRPr="000F2079">
        <w:rPr>
          <w:rFonts w:ascii="Arial" w:hAnsi="Arial" w:cs="Arial"/>
          <w:b/>
          <w:bCs/>
          <w:sz w:val="20"/>
          <w:szCs w:val="20"/>
        </w:rPr>
        <w:t>minimálnu</w:t>
      </w:r>
      <w:r w:rsidR="00B2523B">
        <w:rPr>
          <w:rFonts w:ascii="Arial" w:hAnsi="Arial" w:cs="Arial"/>
          <w:b/>
          <w:bCs/>
          <w:sz w:val="20"/>
          <w:szCs w:val="20"/>
        </w:rPr>
        <w:t xml:space="preserve"> mzdu</w:t>
      </w:r>
      <w:r w:rsidRPr="000F2079">
        <w:rPr>
          <w:rFonts w:ascii="Arial" w:hAnsi="Arial" w:cs="Arial"/>
          <w:b/>
          <w:bCs/>
          <w:sz w:val="20"/>
          <w:szCs w:val="20"/>
        </w:rPr>
        <w:t xml:space="preserve"> </w:t>
      </w:r>
      <w:r w:rsidR="008C458D" w:rsidRPr="000F2079">
        <w:rPr>
          <w:rFonts w:ascii="Arial" w:hAnsi="Arial" w:cs="Arial"/>
          <w:b/>
          <w:bCs/>
          <w:sz w:val="20"/>
          <w:szCs w:val="20"/>
        </w:rPr>
        <w:t xml:space="preserve">zo súčasných 480 eur </w:t>
      </w:r>
      <w:r w:rsidR="00B2523B">
        <w:rPr>
          <w:rFonts w:ascii="Arial" w:hAnsi="Arial" w:cs="Arial"/>
          <w:b/>
          <w:bCs/>
          <w:sz w:val="20"/>
          <w:szCs w:val="20"/>
        </w:rPr>
        <w:t xml:space="preserve">na </w:t>
      </w:r>
      <w:r w:rsidR="008C458D" w:rsidRPr="000F2079">
        <w:rPr>
          <w:rFonts w:ascii="Arial" w:hAnsi="Arial" w:cs="Arial"/>
          <w:b/>
          <w:bCs/>
          <w:sz w:val="20"/>
          <w:szCs w:val="20"/>
        </w:rPr>
        <w:t>520 eur</w:t>
      </w:r>
    </w:p>
    <w:p w:rsidR="004601BA" w:rsidRPr="000F2079" w:rsidRDefault="004601BA" w:rsidP="004F0C18">
      <w:pPr>
        <w:pStyle w:val="Odsekzoznamu"/>
        <w:widowControl/>
        <w:shd w:val="clear" w:color="auto" w:fill="FFFFFF"/>
        <w:adjustRightInd/>
        <w:spacing w:after="0"/>
        <w:ind w:left="0"/>
        <w:jc w:val="both"/>
        <w:rPr>
          <w:rFonts w:ascii="Arial" w:hAnsi="Arial" w:cs="Arial"/>
          <w:b/>
          <w:bCs/>
          <w:sz w:val="20"/>
          <w:szCs w:val="20"/>
        </w:rPr>
      </w:pPr>
    </w:p>
    <w:p w:rsidR="004F0C18" w:rsidRPr="000F2079" w:rsidRDefault="00561C11" w:rsidP="004F0C18">
      <w:pPr>
        <w:pStyle w:val="Odsekzoznamu"/>
        <w:widowControl/>
        <w:shd w:val="clear" w:color="auto" w:fill="FFFFFF"/>
        <w:adjustRightInd/>
        <w:spacing w:after="0"/>
        <w:ind w:left="0"/>
        <w:jc w:val="both"/>
        <w:rPr>
          <w:rFonts w:ascii="Arial" w:hAnsi="Arial" w:cs="Arial"/>
          <w:b/>
          <w:bCs/>
          <w:sz w:val="20"/>
          <w:szCs w:val="20"/>
        </w:rPr>
      </w:pPr>
      <w:r w:rsidRPr="000F2079">
        <w:rPr>
          <w:rFonts w:ascii="Arial" w:hAnsi="Arial" w:cs="Arial"/>
          <w:b/>
          <w:bCs/>
          <w:sz w:val="20"/>
          <w:szCs w:val="20"/>
        </w:rPr>
        <w:t>Právna úprava a historický vývoj</w:t>
      </w:r>
    </w:p>
    <w:p w:rsidR="00673FD8" w:rsidRPr="000F2079" w:rsidRDefault="00673FD8" w:rsidP="004F0C18">
      <w:pPr>
        <w:pStyle w:val="Odsekzoznamu"/>
        <w:widowControl/>
        <w:shd w:val="clear" w:color="auto" w:fill="FFFFFF"/>
        <w:adjustRightInd/>
        <w:spacing w:after="0"/>
        <w:ind w:left="0"/>
        <w:jc w:val="both"/>
        <w:rPr>
          <w:rFonts w:ascii="Arial" w:hAnsi="Arial" w:cs="Arial"/>
          <w:b/>
          <w:bCs/>
          <w:sz w:val="20"/>
          <w:szCs w:val="20"/>
        </w:rPr>
      </w:pPr>
    </w:p>
    <w:p w:rsidR="00673FD8" w:rsidRPr="000F2079" w:rsidRDefault="00673FD8" w:rsidP="00673FD8">
      <w:pPr>
        <w:pStyle w:val="Odsekzoznamu"/>
        <w:widowControl/>
        <w:numPr>
          <w:ilvl w:val="0"/>
          <w:numId w:val="31"/>
        </w:numPr>
        <w:shd w:val="clear" w:color="auto" w:fill="FFFFFF"/>
        <w:adjustRightInd/>
        <w:spacing w:after="0"/>
        <w:jc w:val="both"/>
        <w:rPr>
          <w:rFonts w:ascii="Arial" w:hAnsi="Arial" w:cs="Arial"/>
          <w:b/>
          <w:bCs/>
          <w:i/>
          <w:sz w:val="20"/>
          <w:szCs w:val="20"/>
        </w:rPr>
      </w:pPr>
      <w:r w:rsidRPr="000F2079">
        <w:rPr>
          <w:rFonts w:ascii="Arial" w:hAnsi="Arial" w:cs="Arial"/>
          <w:b/>
          <w:bCs/>
          <w:i/>
          <w:sz w:val="20"/>
          <w:szCs w:val="20"/>
        </w:rPr>
        <w:t>právny základ pre minimálnu mzdu</w:t>
      </w:r>
    </w:p>
    <w:p w:rsidR="001856D0" w:rsidRPr="000F2079" w:rsidRDefault="001856D0" w:rsidP="004F0C18">
      <w:pPr>
        <w:pStyle w:val="Odsekzoznamu"/>
        <w:widowControl/>
        <w:shd w:val="clear" w:color="auto" w:fill="FFFFFF"/>
        <w:adjustRightInd/>
        <w:spacing w:after="0"/>
        <w:ind w:left="0"/>
        <w:jc w:val="both"/>
        <w:rPr>
          <w:rFonts w:ascii="Arial" w:hAnsi="Arial" w:cs="Arial"/>
          <w:b/>
          <w:bCs/>
          <w:sz w:val="20"/>
          <w:szCs w:val="20"/>
          <w:highlight w:val="yellow"/>
        </w:rPr>
      </w:pPr>
    </w:p>
    <w:p w:rsidR="006A7F37" w:rsidRPr="000F2079" w:rsidRDefault="001856D0" w:rsidP="006A7F37">
      <w:pPr>
        <w:pStyle w:val="Odsekzoznamu"/>
        <w:widowControl/>
        <w:shd w:val="clear" w:color="auto" w:fill="FFFFFF"/>
        <w:adjustRightInd/>
        <w:spacing w:after="0"/>
        <w:ind w:left="0"/>
        <w:jc w:val="both"/>
        <w:rPr>
          <w:rFonts w:ascii="Arial" w:hAnsi="Arial" w:cs="Arial"/>
          <w:bCs/>
          <w:sz w:val="20"/>
          <w:szCs w:val="20"/>
        </w:rPr>
      </w:pPr>
      <w:r w:rsidRPr="000F2079">
        <w:rPr>
          <w:rFonts w:ascii="Arial" w:hAnsi="Arial" w:cs="Arial"/>
          <w:b/>
          <w:bCs/>
          <w:sz w:val="20"/>
          <w:szCs w:val="20"/>
        </w:rPr>
        <w:tab/>
      </w:r>
      <w:r w:rsidRPr="000F2079">
        <w:rPr>
          <w:rFonts w:ascii="Arial" w:hAnsi="Arial" w:cs="Arial"/>
          <w:bCs/>
          <w:sz w:val="20"/>
          <w:szCs w:val="20"/>
        </w:rPr>
        <w:t>Problematika minimálnej mzdy je primárne upravená v </w:t>
      </w:r>
      <w:r w:rsidRPr="000F2079">
        <w:rPr>
          <w:rFonts w:ascii="Arial" w:hAnsi="Arial" w:cs="Arial"/>
          <w:b/>
          <w:bCs/>
          <w:sz w:val="20"/>
          <w:szCs w:val="20"/>
        </w:rPr>
        <w:t>zákone č. 663/2007 Z. z. o minimálnej mzde</w:t>
      </w:r>
      <w:r w:rsidRPr="000F2079">
        <w:rPr>
          <w:rFonts w:ascii="Arial" w:hAnsi="Arial" w:cs="Arial"/>
          <w:bCs/>
          <w:sz w:val="20"/>
          <w:szCs w:val="20"/>
        </w:rPr>
        <w:t xml:space="preserve">, ktorého vykonávacím právnym predpisom je podľa § 2 ods. 1 </w:t>
      </w:r>
      <w:r w:rsidRPr="000F2079">
        <w:rPr>
          <w:rFonts w:ascii="Arial" w:hAnsi="Arial" w:cs="Arial"/>
          <w:b/>
          <w:bCs/>
          <w:sz w:val="20"/>
          <w:szCs w:val="20"/>
        </w:rPr>
        <w:t xml:space="preserve">nariadenie vlády </w:t>
      </w:r>
      <w:r w:rsidRPr="000F2079">
        <w:rPr>
          <w:rFonts w:ascii="Arial" w:hAnsi="Arial" w:cs="Arial"/>
          <w:b/>
          <w:bCs/>
          <w:sz w:val="20"/>
          <w:szCs w:val="20"/>
        </w:rPr>
        <w:lastRenderedPageBreak/>
        <w:t>SR, ktorým sa ustanovuje suma minimálnej mzdy</w:t>
      </w:r>
      <w:r w:rsidRPr="000F2079">
        <w:rPr>
          <w:rFonts w:ascii="Arial" w:hAnsi="Arial" w:cs="Arial"/>
          <w:bCs/>
          <w:sz w:val="20"/>
          <w:szCs w:val="20"/>
        </w:rPr>
        <w:t xml:space="preserve">, ktoré je predmetom úpravy. </w:t>
      </w:r>
      <w:r w:rsidR="00673FD8" w:rsidRPr="000F2079">
        <w:rPr>
          <w:rFonts w:ascii="Arial" w:hAnsi="Arial" w:cs="Arial"/>
          <w:bCs/>
          <w:sz w:val="20"/>
          <w:szCs w:val="20"/>
        </w:rPr>
        <w:t xml:space="preserve">Nariadenie vlády určuje základnú </w:t>
      </w:r>
      <w:r w:rsidR="00673FD8" w:rsidRPr="000F2079">
        <w:rPr>
          <w:rFonts w:ascii="Arial" w:hAnsi="Arial" w:cs="Arial"/>
          <w:b/>
          <w:bCs/>
          <w:sz w:val="20"/>
          <w:szCs w:val="20"/>
        </w:rPr>
        <w:t>mesačnú minimálnu mzdu</w:t>
      </w:r>
      <w:r w:rsidR="00673FD8" w:rsidRPr="000F2079">
        <w:rPr>
          <w:rFonts w:ascii="Arial" w:hAnsi="Arial" w:cs="Arial"/>
          <w:bCs/>
          <w:sz w:val="20"/>
          <w:szCs w:val="20"/>
        </w:rPr>
        <w:t xml:space="preserve"> a základnú </w:t>
      </w:r>
      <w:r w:rsidR="00673FD8" w:rsidRPr="000F2079">
        <w:rPr>
          <w:rFonts w:ascii="Arial" w:hAnsi="Arial" w:cs="Arial"/>
          <w:b/>
          <w:bCs/>
          <w:sz w:val="20"/>
          <w:szCs w:val="20"/>
        </w:rPr>
        <w:t>hodinovú minimálnu mzdu.</w:t>
      </w:r>
    </w:p>
    <w:p w:rsidR="006A7F37" w:rsidRPr="000F2079" w:rsidRDefault="006A7F37" w:rsidP="006A7F37">
      <w:pPr>
        <w:pStyle w:val="Odsekzoznamu"/>
        <w:widowControl/>
        <w:shd w:val="clear" w:color="auto" w:fill="FFFFFF"/>
        <w:adjustRightInd/>
        <w:spacing w:after="0"/>
        <w:ind w:left="0"/>
        <w:jc w:val="both"/>
        <w:rPr>
          <w:rFonts w:ascii="Arial" w:hAnsi="Arial" w:cs="Arial"/>
          <w:b/>
          <w:bCs/>
          <w:i/>
          <w:sz w:val="20"/>
          <w:szCs w:val="20"/>
          <w:highlight w:val="yellow"/>
        </w:rPr>
      </w:pPr>
    </w:p>
    <w:p w:rsidR="00812435" w:rsidRDefault="00812435" w:rsidP="00812435">
      <w:pPr>
        <w:pStyle w:val="Odsekzoznamu"/>
        <w:widowControl/>
        <w:numPr>
          <w:ilvl w:val="0"/>
          <w:numId w:val="31"/>
        </w:numPr>
        <w:shd w:val="clear" w:color="auto" w:fill="FFFFFF"/>
        <w:adjustRightInd/>
        <w:spacing w:after="0"/>
        <w:jc w:val="both"/>
        <w:rPr>
          <w:rFonts w:ascii="Arial" w:hAnsi="Arial" w:cs="Arial"/>
          <w:b/>
          <w:bCs/>
          <w:i/>
          <w:sz w:val="20"/>
          <w:szCs w:val="20"/>
        </w:rPr>
      </w:pPr>
      <w:r>
        <w:rPr>
          <w:rFonts w:ascii="Arial" w:hAnsi="Arial" w:cs="Arial"/>
          <w:b/>
          <w:bCs/>
          <w:i/>
          <w:sz w:val="20"/>
          <w:szCs w:val="20"/>
        </w:rPr>
        <w:t>spôsob určenia sumy minimálnej mzd</w:t>
      </w:r>
      <w:r w:rsidRPr="00812435">
        <w:rPr>
          <w:rFonts w:ascii="Arial" w:hAnsi="Arial" w:cs="Arial"/>
          <w:b/>
          <w:bCs/>
          <w:i/>
          <w:sz w:val="20"/>
          <w:szCs w:val="20"/>
        </w:rPr>
        <w:t>y</w:t>
      </w:r>
    </w:p>
    <w:p w:rsidR="00812435" w:rsidRDefault="00812435" w:rsidP="00812435">
      <w:pPr>
        <w:pStyle w:val="Odsekzoznamu"/>
        <w:widowControl/>
        <w:shd w:val="clear" w:color="auto" w:fill="FFFFFF"/>
        <w:adjustRightInd/>
        <w:spacing w:after="0"/>
        <w:ind w:left="0"/>
        <w:jc w:val="both"/>
        <w:rPr>
          <w:rFonts w:ascii="Arial" w:hAnsi="Arial" w:cs="Arial"/>
          <w:b/>
          <w:bCs/>
          <w:i/>
          <w:sz w:val="20"/>
          <w:szCs w:val="20"/>
        </w:rPr>
      </w:pPr>
    </w:p>
    <w:p w:rsidR="00812435" w:rsidRDefault="00812435" w:rsidP="00812435">
      <w:pPr>
        <w:pStyle w:val="Odsekzoznamu"/>
        <w:widowControl/>
        <w:shd w:val="clear" w:color="auto" w:fill="FFFFFF"/>
        <w:adjustRightInd/>
        <w:spacing w:after="0"/>
        <w:ind w:left="0" w:firstLine="708"/>
        <w:jc w:val="both"/>
        <w:rPr>
          <w:rFonts w:ascii="Arial" w:hAnsi="Arial" w:cs="Arial"/>
          <w:bCs/>
          <w:sz w:val="20"/>
          <w:szCs w:val="20"/>
        </w:rPr>
      </w:pPr>
      <w:r w:rsidRPr="00812435">
        <w:rPr>
          <w:rFonts w:ascii="Arial" w:hAnsi="Arial" w:cs="Arial"/>
          <w:bCs/>
          <w:sz w:val="20"/>
          <w:szCs w:val="20"/>
        </w:rPr>
        <w:t>Suma mesačnej minimálnej mzdy na na</w:t>
      </w:r>
      <w:r>
        <w:rPr>
          <w:rFonts w:ascii="Arial" w:hAnsi="Arial" w:cs="Arial"/>
          <w:bCs/>
          <w:sz w:val="20"/>
          <w:szCs w:val="20"/>
        </w:rPr>
        <w:t>sledujúci kalendárny rok sa určuje</w:t>
      </w:r>
      <w:r w:rsidRPr="00812435">
        <w:rPr>
          <w:rFonts w:ascii="Arial" w:hAnsi="Arial" w:cs="Arial"/>
          <w:bCs/>
          <w:sz w:val="20"/>
          <w:szCs w:val="20"/>
        </w:rPr>
        <w:t xml:space="preserve"> </w:t>
      </w:r>
      <w:r w:rsidRPr="00812435">
        <w:rPr>
          <w:rFonts w:ascii="Arial" w:hAnsi="Arial" w:cs="Arial"/>
          <w:b/>
          <w:bCs/>
          <w:sz w:val="20"/>
          <w:szCs w:val="20"/>
        </w:rPr>
        <w:t>najmenej vo výške súčinu platnej mesačnej minimálnej mzdy a indexu medziročného rastu priemernej mesačnej nominálnej mzdy</w:t>
      </w:r>
      <w:r w:rsidRPr="00812435">
        <w:rPr>
          <w:rFonts w:ascii="Arial" w:hAnsi="Arial" w:cs="Arial"/>
          <w:bCs/>
          <w:sz w:val="20"/>
          <w:szCs w:val="20"/>
        </w:rPr>
        <w:t xml:space="preserve"> zamestnanca v hospodárstve Slovenskej republiky zverejneného Štatistickým úradom Slovenskej republiky za kalendárny rok, ktorý predchádza kalendárnemu roku, v ktorom sa predkladá návrh na úpravu sumy minimálnej mzdy. O sume minimálnej mzdy </w:t>
      </w:r>
      <w:r w:rsidRPr="00812435">
        <w:rPr>
          <w:rFonts w:ascii="Arial" w:hAnsi="Arial" w:cs="Arial"/>
          <w:b/>
          <w:bCs/>
          <w:sz w:val="20"/>
          <w:szCs w:val="20"/>
        </w:rPr>
        <w:t>rozhodne vláda najneskôr do 20. októbra s prihliadnutím na stanoviská sociálnych partnerov</w:t>
      </w:r>
      <w:r w:rsidRPr="00812435">
        <w:rPr>
          <w:rFonts w:ascii="Arial" w:hAnsi="Arial" w:cs="Arial"/>
          <w:bCs/>
          <w:sz w:val="20"/>
          <w:szCs w:val="20"/>
        </w:rPr>
        <w:t>, vývoj kritérií na úpravu sumy minimálnej mzdy podľa § 6, vývoj podielu čistej minimálnej mzdy z čistej priemernej mzdy najmenej za predchádzajúce dva kalendárne roky a s prihliadnutím na vývoj produktivity práce.</w:t>
      </w:r>
    </w:p>
    <w:p w:rsidR="00812435" w:rsidRPr="00812435" w:rsidRDefault="00812435" w:rsidP="00812435">
      <w:pPr>
        <w:pStyle w:val="Odsekzoznamu"/>
        <w:widowControl/>
        <w:shd w:val="clear" w:color="auto" w:fill="FFFFFF"/>
        <w:adjustRightInd/>
        <w:spacing w:after="0"/>
        <w:ind w:left="0" w:firstLine="708"/>
        <w:jc w:val="both"/>
        <w:rPr>
          <w:rFonts w:ascii="Arial" w:hAnsi="Arial" w:cs="Arial"/>
          <w:bCs/>
          <w:sz w:val="20"/>
          <w:szCs w:val="20"/>
        </w:rPr>
      </w:pPr>
    </w:p>
    <w:p w:rsidR="00673FD8" w:rsidRPr="000F2079" w:rsidRDefault="00673FD8" w:rsidP="00673FD8">
      <w:pPr>
        <w:pStyle w:val="Odsekzoznamu"/>
        <w:widowControl/>
        <w:numPr>
          <w:ilvl w:val="0"/>
          <w:numId w:val="31"/>
        </w:numPr>
        <w:shd w:val="clear" w:color="auto" w:fill="FFFFFF"/>
        <w:adjustRightInd/>
        <w:spacing w:after="0"/>
        <w:jc w:val="both"/>
        <w:rPr>
          <w:rFonts w:ascii="Arial" w:hAnsi="Arial" w:cs="Arial"/>
          <w:b/>
          <w:bCs/>
          <w:i/>
          <w:sz w:val="20"/>
          <w:szCs w:val="20"/>
        </w:rPr>
      </w:pPr>
      <w:r w:rsidRPr="000F2079">
        <w:rPr>
          <w:rFonts w:ascii="Arial" w:hAnsi="Arial" w:cs="Arial"/>
          <w:b/>
          <w:bCs/>
          <w:i/>
          <w:sz w:val="20"/>
          <w:szCs w:val="20"/>
        </w:rPr>
        <w:t xml:space="preserve">vymedzenie rozsahu pôsobnosti minimálnej mzdy </w:t>
      </w:r>
    </w:p>
    <w:p w:rsidR="00673FD8" w:rsidRPr="000F2079" w:rsidRDefault="00673FD8" w:rsidP="00673FD8">
      <w:pPr>
        <w:pStyle w:val="Odsekzoznamu"/>
        <w:widowControl/>
        <w:shd w:val="clear" w:color="auto" w:fill="FFFFFF"/>
        <w:adjustRightInd/>
        <w:spacing w:after="0"/>
        <w:jc w:val="both"/>
        <w:rPr>
          <w:rFonts w:ascii="Arial" w:hAnsi="Arial" w:cs="Arial"/>
          <w:b/>
          <w:bCs/>
          <w:i/>
          <w:sz w:val="20"/>
          <w:szCs w:val="20"/>
        </w:rPr>
      </w:pPr>
    </w:p>
    <w:p w:rsidR="00F635C4" w:rsidRPr="00787D4D" w:rsidRDefault="00F635C4" w:rsidP="00E67204">
      <w:pPr>
        <w:pStyle w:val="Odsekzoznamu"/>
        <w:widowControl/>
        <w:shd w:val="clear" w:color="auto" w:fill="FFFFFF"/>
        <w:adjustRightInd/>
        <w:spacing w:after="0"/>
        <w:ind w:left="0" w:firstLine="708"/>
        <w:jc w:val="both"/>
        <w:rPr>
          <w:rFonts w:ascii="Arial" w:hAnsi="Arial" w:cs="Arial"/>
          <w:bCs/>
          <w:sz w:val="20"/>
          <w:szCs w:val="20"/>
        </w:rPr>
      </w:pPr>
      <w:r w:rsidRPr="00787D4D">
        <w:rPr>
          <w:rFonts w:ascii="Arial" w:hAnsi="Arial" w:cs="Arial"/>
          <w:bCs/>
          <w:sz w:val="20"/>
          <w:szCs w:val="20"/>
        </w:rPr>
        <w:t xml:space="preserve">Zákon č. 663/2007 Z. z. o minimálnej mzde v znení neskorších predpisov je </w:t>
      </w:r>
      <w:r w:rsidRPr="00787D4D">
        <w:rPr>
          <w:rFonts w:ascii="Arial" w:hAnsi="Arial" w:cs="Arial"/>
          <w:b/>
          <w:bCs/>
          <w:sz w:val="20"/>
          <w:szCs w:val="20"/>
        </w:rPr>
        <w:t>generálnym zákonom</w:t>
      </w:r>
      <w:r w:rsidRPr="00787D4D">
        <w:rPr>
          <w:rFonts w:ascii="Arial" w:hAnsi="Arial" w:cs="Arial"/>
          <w:bCs/>
          <w:sz w:val="20"/>
          <w:szCs w:val="20"/>
        </w:rPr>
        <w:t xml:space="preserve">, ktorý sa vzťahuje na poskytovanie minimálnej mzdy všetkým zamestnancom v pracovnoprávnom vzťahu alebo v obdobnom pracovnom vzťahu. Za obdobný pracovný vzťah na účely zákona o minimálnej mzde sa okrem iného považuje aj štátnozamestnanecký vzťah založený služobnou zmluvou v zmysle zákona č. 55/2017 Z. z. o štátnej službe. </w:t>
      </w:r>
    </w:p>
    <w:p w:rsidR="001856D0" w:rsidRPr="000F2079" w:rsidRDefault="001856D0" w:rsidP="001856D0">
      <w:pPr>
        <w:pStyle w:val="Odsekzoznamu"/>
        <w:widowControl/>
        <w:shd w:val="clear" w:color="auto" w:fill="FFFFFF"/>
        <w:adjustRightInd/>
        <w:spacing w:after="0"/>
        <w:ind w:left="0"/>
        <w:jc w:val="both"/>
        <w:rPr>
          <w:rFonts w:ascii="Arial" w:hAnsi="Arial" w:cs="Arial"/>
          <w:bCs/>
          <w:sz w:val="20"/>
          <w:szCs w:val="20"/>
        </w:rPr>
      </w:pPr>
    </w:p>
    <w:p w:rsidR="00673FD8" w:rsidRPr="000F2079" w:rsidRDefault="00673FD8" w:rsidP="00673FD8">
      <w:pPr>
        <w:pStyle w:val="Odsekzoznamu"/>
        <w:widowControl/>
        <w:numPr>
          <w:ilvl w:val="0"/>
          <w:numId w:val="31"/>
        </w:numPr>
        <w:shd w:val="clear" w:color="auto" w:fill="FFFFFF"/>
        <w:adjustRightInd/>
        <w:spacing w:after="0"/>
        <w:jc w:val="both"/>
        <w:rPr>
          <w:rFonts w:ascii="Arial" w:hAnsi="Arial" w:cs="Arial"/>
          <w:b/>
          <w:bCs/>
          <w:i/>
          <w:sz w:val="20"/>
          <w:szCs w:val="20"/>
        </w:rPr>
      </w:pPr>
      <w:r w:rsidRPr="000F2079">
        <w:rPr>
          <w:rFonts w:ascii="Arial" w:hAnsi="Arial" w:cs="Arial"/>
          <w:b/>
          <w:bCs/>
          <w:i/>
          <w:sz w:val="20"/>
          <w:szCs w:val="20"/>
        </w:rPr>
        <w:t>stupne náročnosti práce</w:t>
      </w:r>
    </w:p>
    <w:p w:rsidR="00673FD8" w:rsidRPr="000F2079" w:rsidRDefault="00673FD8" w:rsidP="00673FD8">
      <w:pPr>
        <w:pStyle w:val="Odsekzoznamu"/>
        <w:widowControl/>
        <w:shd w:val="clear" w:color="auto" w:fill="FFFFFF"/>
        <w:adjustRightInd/>
        <w:spacing w:after="0"/>
        <w:jc w:val="both"/>
        <w:rPr>
          <w:rFonts w:ascii="Arial" w:hAnsi="Arial" w:cs="Arial"/>
          <w:b/>
          <w:bCs/>
          <w:i/>
          <w:sz w:val="20"/>
          <w:szCs w:val="20"/>
        </w:rPr>
      </w:pPr>
    </w:p>
    <w:p w:rsidR="0088702F" w:rsidRPr="00787D4D" w:rsidRDefault="0088702F" w:rsidP="0088702F">
      <w:pPr>
        <w:pStyle w:val="Odsekzoznamu"/>
        <w:ind w:left="0" w:firstLine="708"/>
        <w:jc w:val="both"/>
        <w:rPr>
          <w:rFonts w:ascii="Arial" w:hAnsi="Arial" w:cs="Arial"/>
          <w:bCs/>
          <w:sz w:val="20"/>
          <w:szCs w:val="20"/>
        </w:rPr>
      </w:pPr>
      <w:r w:rsidRPr="000F2079">
        <w:rPr>
          <w:rFonts w:ascii="Arial" w:hAnsi="Arial" w:cs="Arial"/>
          <w:bCs/>
          <w:sz w:val="20"/>
          <w:szCs w:val="20"/>
        </w:rPr>
        <w:t xml:space="preserve">Zákona č. 311/2001 Z. z. Zákonník práce v znení neskorších predpisov (ďalej len „Zákonník práce“) v § 120 ustanovuje, že zamestnávateľ, u ktorého nie je odmeňovanie zamestnancov dohodnuté v kolektívnej zmluve, je povinný zamestnancovi poskytnúť mzdu najmenej v sume minimálneho mzdového nároku určeného pre stupeň náročnosti práce príslušného pracovného miesta. Zákonník práce definuje </w:t>
      </w:r>
      <w:r w:rsidRPr="000F2079">
        <w:rPr>
          <w:rFonts w:ascii="Arial" w:hAnsi="Arial" w:cs="Arial"/>
          <w:b/>
          <w:bCs/>
          <w:sz w:val="20"/>
          <w:szCs w:val="20"/>
        </w:rPr>
        <w:t>6 stupňov náročnosti práce</w:t>
      </w:r>
      <w:r w:rsidRPr="000F2079">
        <w:rPr>
          <w:rFonts w:ascii="Arial" w:hAnsi="Arial" w:cs="Arial"/>
          <w:bCs/>
          <w:sz w:val="20"/>
          <w:szCs w:val="20"/>
        </w:rPr>
        <w:t>. Povinnosťou každého zamestnávateľa je priradiť každému pracovnému miestu stupeň náročnosti práce na základe prílohy č. 1 Zákonníka práce. Každý zamestnanec musí byť priradený k správnemu stupňu náročnosti práce, aby nedostával nižšiu minimá</w:t>
      </w:r>
      <w:r w:rsidR="00385E21">
        <w:rPr>
          <w:rFonts w:ascii="Arial" w:hAnsi="Arial" w:cs="Arial"/>
          <w:bCs/>
          <w:sz w:val="20"/>
          <w:szCs w:val="20"/>
        </w:rPr>
        <w:t xml:space="preserve">lnu mzdu ako dovoľuje zákon. </w:t>
      </w:r>
      <w:r w:rsidR="00385E21" w:rsidRPr="00787D4D">
        <w:rPr>
          <w:rFonts w:ascii="Arial" w:hAnsi="Arial" w:cs="Arial"/>
          <w:bCs/>
          <w:sz w:val="20"/>
          <w:szCs w:val="20"/>
        </w:rPr>
        <w:t xml:space="preserve">Sadzba minimálneho mzdového nároku je násobkom minimálnej mzdy a príslušného koeficientu uvádzaného v § 120 ods. 4 Zákonníka práce. Suma minimálneho mzdového nároku zodpovedajúca 1. stupňu náročnosti práce sa rovná sume ustanovenej minimálnej mzdy, nakoľko suma minimálnej mzdy pre príslušný koeficient sa násobí koeficientom 1,0. </w:t>
      </w:r>
      <w:r w:rsidR="009511A6" w:rsidRPr="00787D4D">
        <w:rPr>
          <w:rFonts w:ascii="Arial" w:hAnsi="Arial" w:cs="Arial"/>
          <w:bCs/>
          <w:sz w:val="20"/>
          <w:szCs w:val="20"/>
        </w:rPr>
        <w:t xml:space="preserve"> </w:t>
      </w:r>
    </w:p>
    <w:p w:rsidR="0088702F" w:rsidRPr="000F2079" w:rsidRDefault="0088702F" w:rsidP="0088702F">
      <w:pPr>
        <w:pStyle w:val="Odsekzoznamu"/>
        <w:ind w:left="0" w:firstLine="708"/>
        <w:jc w:val="both"/>
        <w:rPr>
          <w:rFonts w:ascii="Arial" w:hAnsi="Arial" w:cs="Arial"/>
          <w:bCs/>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1183"/>
        <w:gridCol w:w="3964"/>
      </w:tblGrid>
      <w:tr w:rsidR="00673FD8" w:rsidRPr="000F2079" w:rsidTr="00E15AA3">
        <w:tc>
          <w:tcPr>
            <w:tcW w:w="4355" w:type="dxa"/>
            <w:shd w:val="clear" w:color="auto" w:fill="BFBFBF"/>
          </w:tcPr>
          <w:p w:rsidR="00673FD8" w:rsidRPr="000F2079" w:rsidRDefault="00673FD8" w:rsidP="00E15AA3">
            <w:pPr>
              <w:pStyle w:val="Odsekzoznamu"/>
              <w:widowControl/>
              <w:adjustRightInd/>
              <w:spacing w:after="0"/>
              <w:ind w:left="0"/>
              <w:jc w:val="center"/>
              <w:rPr>
                <w:rFonts w:ascii="Arial" w:hAnsi="Arial" w:cs="Arial"/>
                <w:b/>
                <w:bCs/>
                <w:sz w:val="20"/>
                <w:szCs w:val="20"/>
              </w:rPr>
            </w:pPr>
            <w:r w:rsidRPr="000F2079">
              <w:rPr>
                <w:rFonts w:ascii="Arial" w:hAnsi="Arial" w:cs="Arial"/>
                <w:b/>
                <w:bCs/>
                <w:sz w:val="20"/>
                <w:szCs w:val="20"/>
              </w:rPr>
              <w:t>Stupeň náročnosti práce</w:t>
            </w:r>
          </w:p>
        </w:tc>
        <w:tc>
          <w:tcPr>
            <w:tcW w:w="1173" w:type="dxa"/>
            <w:shd w:val="clear" w:color="auto" w:fill="BFBFBF"/>
          </w:tcPr>
          <w:p w:rsidR="00673FD8" w:rsidRPr="000F2079" w:rsidRDefault="00673FD8" w:rsidP="00E15AA3">
            <w:pPr>
              <w:pStyle w:val="Odsekzoznamu"/>
              <w:widowControl/>
              <w:adjustRightInd/>
              <w:spacing w:after="0"/>
              <w:ind w:left="0"/>
              <w:jc w:val="center"/>
              <w:rPr>
                <w:rFonts w:ascii="Arial" w:hAnsi="Arial" w:cs="Arial"/>
                <w:b/>
                <w:bCs/>
                <w:sz w:val="20"/>
                <w:szCs w:val="20"/>
              </w:rPr>
            </w:pPr>
            <w:r w:rsidRPr="000F2079">
              <w:rPr>
                <w:rFonts w:ascii="Arial" w:hAnsi="Arial" w:cs="Arial"/>
                <w:b/>
                <w:bCs/>
                <w:sz w:val="20"/>
                <w:szCs w:val="20"/>
              </w:rPr>
              <w:t>Koeficient</w:t>
            </w:r>
          </w:p>
        </w:tc>
        <w:tc>
          <w:tcPr>
            <w:tcW w:w="3969" w:type="dxa"/>
            <w:shd w:val="clear" w:color="auto" w:fill="BFBFBF"/>
          </w:tcPr>
          <w:p w:rsidR="00673FD8" w:rsidRPr="000F2079" w:rsidRDefault="00673FD8" w:rsidP="00E15AA3">
            <w:pPr>
              <w:pStyle w:val="Odsekzoznamu"/>
              <w:widowControl/>
              <w:adjustRightInd/>
              <w:spacing w:after="0"/>
              <w:ind w:left="0"/>
              <w:jc w:val="center"/>
              <w:rPr>
                <w:rFonts w:ascii="Arial" w:hAnsi="Arial" w:cs="Arial"/>
                <w:b/>
                <w:bCs/>
                <w:sz w:val="20"/>
                <w:szCs w:val="20"/>
              </w:rPr>
            </w:pPr>
            <w:r w:rsidRPr="000F2079">
              <w:rPr>
                <w:rFonts w:ascii="Arial" w:hAnsi="Arial" w:cs="Arial"/>
                <w:b/>
                <w:bCs/>
                <w:sz w:val="20"/>
                <w:szCs w:val="20"/>
              </w:rPr>
              <w:t>Príklad povolania</w:t>
            </w:r>
          </w:p>
        </w:tc>
      </w:tr>
      <w:tr w:rsidR="00673FD8" w:rsidRPr="000F2079" w:rsidTr="00E15AA3">
        <w:tc>
          <w:tcPr>
            <w:tcW w:w="4355" w:type="dxa"/>
            <w:shd w:val="clear" w:color="auto" w:fill="auto"/>
          </w:tcPr>
          <w:p w:rsidR="00673FD8" w:rsidRPr="000F2079" w:rsidRDefault="00673FD8" w:rsidP="00E15AA3">
            <w:pPr>
              <w:pStyle w:val="Odsekzoznamu"/>
              <w:widowControl/>
              <w:adjustRightInd/>
              <w:spacing w:after="0"/>
              <w:ind w:left="0"/>
              <w:jc w:val="both"/>
              <w:rPr>
                <w:rFonts w:ascii="Arial" w:hAnsi="Arial" w:cs="Arial"/>
                <w:bCs/>
                <w:sz w:val="20"/>
                <w:szCs w:val="20"/>
              </w:rPr>
            </w:pPr>
            <w:r w:rsidRPr="000F2079">
              <w:rPr>
                <w:rFonts w:ascii="Arial" w:hAnsi="Arial" w:cs="Arial"/>
                <w:bCs/>
                <w:sz w:val="20"/>
                <w:szCs w:val="20"/>
              </w:rPr>
              <w:t>1</w:t>
            </w:r>
          </w:p>
        </w:tc>
        <w:tc>
          <w:tcPr>
            <w:tcW w:w="1173" w:type="dxa"/>
            <w:shd w:val="clear" w:color="auto" w:fill="auto"/>
          </w:tcPr>
          <w:p w:rsidR="00673FD8" w:rsidRPr="000F2079" w:rsidRDefault="00673FD8" w:rsidP="00E15AA3">
            <w:pPr>
              <w:pStyle w:val="Odsekzoznamu"/>
              <w:widowControl/>
              <w:adjustRightInd/>
              <w:spacing w:after="0"/>
              <w:ind w:left="0"/>
              <w:jc w:val="both"/>
              <w:rPr>
                <w:rFonts w:ascii="Arial" w:hAnsi="Arial" w:cs="Arial"/>
                <w:bCs/>
                <w:sz w:val="20"/>
                <w:szCs w:val="20"/>
              </w:rPr>
            </w:pPr>
            <w:r w:rsidRPr="000F2079">
              <w:rPr>
                <w:rFonts w:ascii="Arial" w:hAnsi="Arial" w:cs="Arial"/>
                <w:bCs/>
                <w:sz w:val="20"/>
                <w:szCs w:val="20"/>
              </w:rPr>
              <w:t>1</w:t>
            </w:r>
            <w:r w:rsidR="008A36BF">
              <w:rPr>
                <w:rFonts w:ascii="Arial" w:hAnsi="Arial" w:cs="Arial"/>
                <w:bCs/>
                <w:sz w:val="20"/>
                <w:szCs w:val="20"/>
              </w:rPr>
              <w:t>,0</w:t>
            </w:r>
          </w:p>
        </w:tc>
        <w:tc>
          <w:tcPr>
            <w:tcW w:w="3969" w:type="dxa"/>
            <w:shd w:val="clear" w:color="auto" w:fill="auto"/>
          </w:tcPr>
          <w:p w:rsidR="00673FD8" w:rsidRPr="000F2079" w:rsidRDefault="00673FD8" w:rsidP="00E15AA3">
            <w:pPr>
              <w:pStyle w:val="Odsekzoznamu"/>
              <w:widowControl/>
              <w:adjustRightInd/>
              <w:spacing w:after="0"/>
              <w:ind w:left="0"/>
              <w:jc w:val="both"/>
              <w:rPr>
                <w:rFonts w:ascii="Arial" w:hAnsi="Arial" w:cs="Arial"/>
                <w:bCs/>
                <w:sz w:val="20"/>
                <w:szCs w:val="20"/>
              </w:rPr>
            </w:pPr>
            <w:r w:rsidRPr="000F2079">
              <w:rPr>
                <w:rFonts w:ascii="Arial" w:hAnsi="Arial" w:cs="Arial"/>
                <w:bCs/>
                <w:sz w:val="20"/>
                <w:szCs w:val="20"/>
              </w:rPr>
              <w:t>upratovačka, chyžná, skladník</w:t>
            </w:r>
          </w:p>
        </w:tc>
      </w:tr>
      <w:tr w:rsidR="00673FD8" w:rsidRPr="000F2079" w:rsidTr="00E15AA3">
        <w:tc>
          <w:tcPr>
            <w:tcW w:w="4355" w:type="dxa"/>
            <w:shd w:val="clear" w:color="auto" w:fill="auto"/>
          </w:tcPr>
          <w:p w:rsidR="00673FD8" w:rsidRPr="000F2079" w:rsidRDefault="00673FD8" w:rsidP="00E15AA3">
            <w:pPr>
              <w:pStyle w:val="Odsekzoznamu"/>
              <w:widowControl/>
              <w:adjustRightInd/>
              <w:spacing w:after="0"/>
              <w:ind w:left="0"/>
              <w:jc w:val="both"/>
              <w:rPr>
                <w:rFonts w:ascii="Arial" w:hAnsi="Arial" w:cs="Arial"/>
                <w:bCs/>
                <w:sz w:val="20"/>
                <w:szCs w:val="20"/>
              </w:rPr>
            </w:pPr>
            <w:r w:rsidRPr="000F2079">
              <w:rPr>
                <w:rFonts w:ascii="Arial" w:hAnsi="Arial" w:cs="Arial"/>
                <w:bCs/>
                <w:sz w:val="20"/>
                <w:szCs w:val="20"/>
              </w:rPr>
              <w:t>2</w:t>
            </w:r>
          </w:p>
        </w:tc>
        <w:tc>
          <w:tcPr>
            <w:tcW w:w="1173" w:type="dxa"/>
            <w:shd w:val="clear" w:color="auto" w:fill="auto"/>
          </w:tcPr>
          <w:p w:rsidR="00673FD8" w:rsidRPr="000F2079" w:rsidRDefault="00673FD8" w:rsidP="00E15AA3">
            <w:pPr>
              <w:pStyle w:val="Odsekzoznamu"/>
              <w:widowControl/>
              <w:adjustRightInd/>
              <w:spacing w:after="0"/>
              <w:ind w:left="0"/>
              <w:jc w:val="both"/>
              <w:rPr>
                <w:rFonts w:ascii="Arial" w:hAnsi="Arial" w:cs="Arial"/>
                <w:bCs/>
                <w:sz w:val="20"/>
                <w:szCs w:val="20"/>
              </w:rPr>
            </w:pPr>
            <w:r w:rsidRPr="000F2079">
              <w:rPr>
                <w:rFonts w:ascii="Arial" w:hAnsi="Arial" w:cs="Arial"/>
                <w:bCs/>
                <w:sz w:val="20"/>
                <w:szCs w:val="20"/>
              </w:rPr>
              <w:t>1,2</w:t>
            </w:r>
          </w:p>
        </w:tc>
        <w:tc>
          <w:tcPr>
            <w:tcW w:w="3969" w:type="dxa"/>
            <w:shd w:val="clear" w:color="auto" w:fill="auto"/>
          </w:tcPr>
          <w:p w:rsidR="00673FD8" w:rsidRPr="000F2079" w:rsidRDefault="00673FD8" w:rsidP="00E15AA3">
            <w:pPr>
              <w:pStyle w:val="Odsekzoznamu"/>
              <w:widowControl/>
              <w:adjustRightInd/>
              <w:spacing w:after="0"/>
              <w:ind w:left="0"/>
              <w:jc w:val="both"/>
              <w:rPr>
                <w:rFonts w:ascii="Arial" w:hAnsi="Arial" w:cs="Arial"/>
                <w:bCs/>
                <w:sz w:val="20"/>
                <w:szCs w:val="20"/>
              </w:rPr>
            </w:pPr>
            <w:r w:rsidRPr="000F2079">
              <w:rPr>
                <w:rFonts w:ascii="Arial" w:hAnsi="Arial" w:cs="Arial"/>
                <w:bCs/>
                <w:sz w:val="20"/>
                <w:szCs w:val="20"/>
              </w:rPr>
              <w:t>pokladník, pomocná kuchárka</w:t>
            </w:r>
          </w:p>
        </w:tc>
      </w:tr>
      <w:tr w:rsidR="00673FD8" w:rsidRPr="000F2079" w:rsidTr="00E15AA3">
        <w:tc>
          <w:tcPr>
            <w:tcW w:w="4355" w:type="dxa"/>
            <w:shd w:val="clear" w:color="auto" w:fill="auto"/>
          </w:tcPr>
          <w:p w:rsidR="00673FD8" w:rsidRPr="000F2079" w:rsidRDefault="00673FD8" w:rsidP="00E15AA3">
            <w:pPr>
              <w:pStyle w:val="Odsekzoznamu"/>
              <w:widowControl/>
              <w:adjustRightInd/>
              <w:spacing w:after="0"/>
              <w:ind w:left="0"/>
              <w:jc w:val="both"/>
              <w:rPr>
                <w:rFonts w:ascii="Arial" w:hAnsi="Arial" w:cs="Arial"/>
                <w:bCs/>
                <w:sz w:val="20"/>
                <w:szCs w:val="20"/>
              </w:rPr>
            </w:pPr>
            <w:r w:rsidRPr="000F2079">
              <w:rPr>
                <w:rFonts w:ascii="Arial" w:hAnsi="Arial" w:cs="Arial"/>
                <w:bCs/>
                <w:sz w:val="20"/>
                <w:szCs w:val="20"/>
              </w:rPr>
              <w:t>3</w:t>
            </w:r>
          </w:p>
        </w:tc>
        <w:tc>
          <w:tcPr>
            <w:tcW w:w="1173" w:type="dxa"/>
            <w:shd w:val="clear" w:color="auto" w:fill="auto"/>
          </w:tcPr>
          <w:p w:rsidR="00673FD8" w:rsidRPr="000F2079" w:rsidRDefault="00673FD8" w:rsidP="00E15AA3">
            <w:pPr>
              <w:pStyle w:val="Odsekzoznamu"/>
              <w:widowControl/>
              <w:adjustRightInd/>
              <w:spacing w:after="0"/>
              <w:ind w:left="0"/>
              <w:jc w:val="both"/>
              <w:rPr>
                <w:rFonts w:ascii="Arial" w:hAnsi="Arial" w:cs="Arial"/>
                <w:bCs/>
                <w:sz w:val="20"/>
                <w:szCs w:val="20"/>
              </w:rPr>
            </w:pPr>
            <w:r w:rsidRPr="000F2079">
              <w:rPr>
                <w:rFonts w:ascii="Arial" w:hAnsi="Arial" w:cs="Arial"/>
                <w:bCs/>
                <w:sz w:val="20"/>
                <w:szCs w:val="20"/>
              </w:rPr>
              <w:t>1,4</w:t>
            </w:r>
          </w:p>
        </w:tc>
        <w:tc>
          <w:tcPr>
            <w:tcW w:w="3969" w:type="dxa"/>
            <w:shd w:val="clear" w:color="auto" w:fill="auto"/>
          </w:tcPr>
          <w:p w:rsidR="00673FD8" w:rsidRPr="000F2079" w:rsidRDefault="00673FD8" w:rsidP="00E15AA3">
            <w:pPr>
              <w:pStyle w:val="Odsekzoznamu"/>
              <w:widowControl/>
              <w:adjustRightInd/>
              <w:spacing w:after="0"/>
              <w:ind w:left="0"/>
              <w:jc w:val="both"/>
              <w:rPr>
                <w:rFonts w:ascii="Arial" w:hAnsi="Arial" w:cs="Arial"/>
                <w:bCs/>
                <w:sz w:val="20"/>
                <w:szCs w:val="20"/>
              </w:rPr>
            </w:pPr>
            <w:r w:rsidRPr="000F2079">
              <w:rPr>
                <w:rFonts w:ascii="Arial" w:hAnsi="Arial" w:cs="Arial"/>
                <w:bCs/>
                <w:sz w:val="20"/>
                <w:szCs w:val="20"/>
              </w:rPr>
              <w:t>zdravotná sestra, hlavný kuchár, účtovník</w:t>
            </w:r>
          </w:p>
        </w:tc>
      </w:tr>
      <w:tr w:rsidR="00673FD8" w:rsidRPr="000F2079" w:rsidTr="00E15AA3">
        <w:tc>
          <w:tcPr>
            <w:tcW w:w="4355" w:type="dxa"/>
            <w:shd w:val="clear" w:color="auto" w:fill="auto"/>
          </w:tcPr>
          <w:p w:rsidR="00673FD8" w:rsidRPr="000F2079" w:rsidRDefault="00673FD8" w:rsidP="00E15AA3">
            <w:pPr>
              <w:pStyle w:val="Odsekzoznamu"/>
              <w:widowControl/>
              <w:adjustRightInd/>
              <w:spacing w:after="0"/>
              <w:ind w:left="0"/>
              <w:jc w:val="both"/>
              <w:rPr>
                <w:rFonts w:ascii="Arial" w:hAnsi="Arial" w:cs="Arial"/>
                <w:bCs/>
                <w:sz w:val="20"/>
                <w:szCs w:val="20"/>
              </w:rPr>
            </w:pPr>
            <w:r w:rsidRPr="000F2079">
              <w:rPr>
                <w:rFonts w:ascii="Arial" w:hAnsi="Arial" w:cs="Arial"/>
                <w:bCs/>
                <w:sz w:val="20"/>
                <w:szCs w:val="20"/>
              </w:rPr>
              <w:t>4</w:t>
            </w:r>
          </w:p>
        </w:tc>
        <w:tc>
          <w:tcPr>
            <w:tcW w:w="1173" w:type="dxa"/>
            <w:shd w:val="clear" w:color="auto" w:fill="auto"/>
          </w:tcPr>
          <w:p w:rsidR="00673FD8" w:rsidRPr="000F2079" w:rsidRDefault="00673FD8" w:rsidP="00E15AA3">
            <w:pPr>
              <w:pStyle w:val="Odsekzoznamu"/>
              <w:widowControl/>
              <w:adjustRightInd/>
              <w:spacing w:after="0"/>
              <w:ind w:left="0"/>
              <w:jc w:val="both"/>
              <w:rPr>
                <w:rFonts w:ascii="Arial" w:hAnsi="Arial" w:cs="Arial"/>
                <w:bCs/>
                <w:sz w:val="20"/>
                <w:szCs w:val="20"/>
              </w:rPr>
            </w:pPr>
            <w:r w:rsidRPr="000F2079">
              <w:rPr>
                <w:rFonts w:ascii="Arial" w:hAnsi="Arial" w:cs="Arial"/>
                <w:bCs/>
                <w:sz w:val="20"/>
                <w:szCs w:val="20"/>
              </w:rPr>
              <w:t>1,6</w:t>
            </w:r>
          </w:p>
        </w:tc>
        <w:tc>
          <w:tcPr>
            <w:tcW w:w="3969" w:type="dxa"/>
            <w:shd w:val="clear" w:color="auto" w:fill="auto"/>
          </w:tcPr>
          <w:p w:rsidR="00673FD8" w:rsidRPr="000F2079" w:rsidRDefault="00673FD8" w:rsidP="00E15AA3">
            <w:pPr>
              <w:pStyle w:val="Odsekzoznamu"/>
              <w:widowControl/>
              <w:adjustRightInd/>
              <w:spacing w:after="0"/>
              <w:ind w:left="0"/>
              <w:jc w:val="both"/>
              <w:rPr>
                <w:rFonts w:ascii="Arial" w:hAnsi="Arial" w:cs="Arial"/>
                <w:bCs/>
                <w:sz w:val="20"/>
                <w:szCs w:val="20"/>
              </w:rPr>
            </w:pPr>
            <w:r w:rsidRPr="000F2079">
              <w:rPr>
                <w:rFonts w:ascii="Arial" w:hAnsi="Arial" w:cs="Arial"/>
                <w:bCs/>
                <w:sz w:val="20"/>
                <w:szCs w:val="20"/>
              </w:rPr>
              <w:t>hlavný účtovník, inštruktor autoškoly</w:t>
            </w:r>
          </w:p>
        </w:tc>
      </w:tr>
      <w:tr w:rsidR="00673FD8" w:rsidRPr="000F2079" w:rsidTr="00E15AA3">
        <w:tc>
          <w:tcPr>
            <w:tcW w:w="4355" w:type="dxa"/>
            <w:shd w:val="clear" w:color="auto" w:fill="auto"/>
          </w:tcPr>
          <w:p w:rsidR="00673FD8" w:rsidRPr="000F2079" w:rsidRDefault="00673FD8" w:rsidP="00E15AA3">
            <w:pPr>
              <w:pStyle w:val="Odsekzoznamu"/>
              <w:widowControl/>
              <w:adjustRightInd/>
              <w:spacing w:after="0"/>
              <w:ind w:left="0"/>
              <w:jc w:val="both"/>
              <w:rPr>
                <w:rFonts w:ascii="Arial" w:hAnsi="Arial" w:cs="Arial"/>
                <w:bCs/>
                <w:sz w:val="20"/>
                <w:szCs w:val="20"/>
              </w:rPr>
            </w:pPr>
            <w:r w:rsidRPr="000F2079">
              <w:rPr>
                <w:rFonts w:ascii="Arial" w:hAnsi="Arial" w:cs="Arial"/>
                <w:bCs/>
                <w:sz w:val="20"/>
                <w:szCs w:val="20"/>
              </w:rPr>
              <w:t>5</w:t>
            </w:r>
          </w:p>
        </w:tc>
        <w:tc>
          <w:tcPr>
            <w:tcW w:w="1173" w:type="dxa"/>
            <w:shd w:val="clear" w:color="auto" w:fill="auto"/>
          </w:tcPr>
          <w:p w:rsidR="00673FD8" w:rsidRPr="000F2079" w:rsidRDefault="00673FD8" w:rsidP="00E15AA3">
            <w:pPr>
              <w:pStyle w:val="Odsekzoznamu"/>
              <w:widowControl/>
              <w:adjustRightInd/>
              <w:spacing w:after="0"/>
              <w:ind w:left="0"/>
              <w:jc w:val="both"/>
              <w:rPr>
                <w:rFonts w:ascii="Arial" w:hAnsi="Arial" w:cs="Arial"/>
                <w:bCs/>
                <w:sz w:val="20"/>
                <w:szCs w:val="20"/>
              </w:rPr>
            </w:pPr>
            <w:r w:rsidRPr="000F2079">
              <w:rPr>
                <w:rFonts w:ascii="Arial" w:hAnsi="Arial" w:cs="Arial"/>
                <w:bCs/>
                <w:sz w:val="20"/>
                <w:szCs w:val="20"/>
              </w:rPr>
              <w:t>1,8</w:t>
            </w:r>
          </w:p>
        </w:tc>
        <w:tc>
          <w:tcPr>
            <w:tcW w:w="3969" w:type="dxa"/>
            <w:shd w:val="clear" w:color="auto" w:fill="auto"/>
          </w:tcPr>
          <w:p w:rsidR="00673FD8" w:rsidRPr="000F2079" w:rsidRDefault="00673FD8" w:rsidP="00E15AA3">
            <w:pPr>
              <w:pStyle w:val="Odsekzoznamu"/>
              <w:widowControl/>
              <w:adjustRightInd/>
              <w:spacing w:after="0"/>
              <w:ind w:left="0"/>
              <w:jc w:val="both"/>
              <w:rPr>
                <w:rFonts w:ascii="Arial" w:hAnsi="Arial" w:cs="Arial"/>
                <w:bCs/>
                <w:sz w:val="20"/>
                <w:szCs w:val="20"/>
              </w:rPr>
            </w:pPr>
            <w:r w:rsidRPr="000F2079">
              <w:rPr>
                <w:rFonts w:ascii="Arial" w:hAnsi="Arial" w:cs="Arial"/>
                <w:bCs/>
                <w:sz w:val="20"/>
                <w:szCs w:val="20"/>
              </w:rPr>
              <w:t>lekár, manažér výroby</w:t>
            </w:r>
          </w:p>
        </w:tc>
      </w:tr>
      <w:tr w:rsidR="00673FD8" w:rsidRPr="000F2079" w:rsidTr="00E15AA3">
        <w:tc>
          <w:tcPr>
            <w:tcW w:w="4355" w:type="dxa"/>
            <w:shd w:val="clear" w:color="auto" w:fill="auto"/>
          </w:tcPr>
          <w:p w:rsidR="00673FD8" w:rsidRPr="000F2079" w:rsidRDefault="00673FD8" w:rsidP="00E15AA3">
            <w:pPr>
              <w:pStyle w:val="Odsekzoznamu"/>
              <w:widowControl/>
              <w:adjustRightInd/>
              <w:spacing w:after="0"/>
              <w:ind w:left="0"/>
              <w:jc w:val="both"/>
              <w:rPr>
                <w:rFonts w:ascii="Arial" w:hAnsi="Arial" w:cs="Arial"/>
                <w:bCs/>
                <w:sz w:val="20"/>
                <w:szCs w:val="20"/>
              </w:rPr>
            </w:pPr>
            <w:r w:rsidRPr="000F2079">
              <w:rPr>
                <w:rFonts w:ascii="Arial" w:hAnsi="Arial" w:cs="Arial"/>
                <w:bCs/>
                <w:sz w:val="20"/>
                <w:szCs w:val="20"/>
              </w:rPr>
              <w:t>6</w:t>
            </w:r>
          </w:p>
        </w:tc>
        <w:tc>
          <w:tcPr>
            <w:tcW w:w="1173" w:type="dxa"/>
            <w:shd w:val="clear" w:color="auto" w:fill="auto"/>
          </w:tcPr>
          <w:p w:rsidR="00673FD8" w:rsidRPr="000F2079" w:rsidRDefault="00673FD8" w:rsidP="00E15AA3">
            <w:pPr>
              <w:pStyle w:val="Odsekzoznamu"/>
              <w:widowControl/>
              <w:adjustRightInd/>
              <w:spacing w:after="0"/>
              <w:ind w:left="0"/>
              <w:jc w:val="both"/>
              <w:rPr>
                <w:rFonts w:ascii="Arial" w:hAnsi="Arial" w:cs="Arial"/>
                <w:bCs/>
                <w:sz w:val="20"/>
                <w:szCs w:val="20"/>
              </w:rPr>
            </w:pPr>
            <w:r w:rsidRPr="000F2079">
              <w:rPr>
                <w:rFonts w:ascii="Arial" w:hAnsi="Arial" w:cs="Arial"/>
                <w:bCs/>
                <w:sz w:val="20"/>
                <w:szCs w:val="20"/>
              </w:rPr>
              <w:t>2</w:t>
            </w:r>
            <w:r w:rsidR="008A36BF">
              <w:rPr>
                <w:rFonts w:ascii="Arial" w:hAnsi="Arial" w:cs="Arial"/>
                <w:bCs/>
                <w:sz w:val="20"/>
                <w:szCs w:val="20"/>
              </w:rPr>
              <w:t>,0</w:t>
            </w:r>
          </w:p>
        </w:tc>
        <w:tc>
          <w:tcPr>
            <w:tcW w:w="3969" w:type="dxa"/>
            <w:shd w:val="clear" w:color="auto" w:fill="auto"/>
          </w:tcPr>
          <w:p w:rsidR="00673FD8" w:rsidRPr="000F2079" w:rsidRDefault="00673FD8" w:rsidP="00E15AA3">
            <w:pPr>
              <w:pStyle w:val="Odsekzoznamu"/>
              <w:widowControl/>
              <w:adjustRightInd/>
              <w:spacing w:after="0"/>
              <w:ind w:left="0"/>
              <w:jc w:val="both"/>
              <w:rPr>
                <w:rFonts w:ascii="Arial" w:hAnsi="Arial" w:cs="Arial"/>
                <w:bCs/>
                <w:sz w:val="20"/>
                <w:szCs w:val="20"/>
              </w:rPr>
            </w:pPr>
            <w:r w:rsidRPr="000F2079">
              <w:rPr>
                <w:rFonts w:ascii="Arial" w:hAnsi="Arial" w:cs="Arial"/>
                <w:bCs/>
                <w:sz w:val="20"/>
                <w:szCs w:val="20"/>
              </w:rPr>
              <w:t>generálny riaditeľ, primár</w:t>
            </w:r>
          </w:p>
        </w:tc>
      </w:tr>
    </w:tbl>
    <w:p w:rsidR="001856D0" w:rsidRPr="000F2079" w:rsidRDefault="001856D0" w:rsidP="004F0C18">
      <w:pPr>
        <w:pStyle w:val="Odsekzoznamu"/>
        <w:widowControl/>
        <w:shd w:val="clear" w:color="auto" w:fill="FFFFFF"/>
        <w:adjustRightInd/>
        <w:spacing w:after="0"/>
        <w:ind w:left="0"/>
        <w:jc w:val="both"/>
        <w:rPr>
          <w:rFonts w:ascii="Arial" w:hAnsi="Arial" w:cs="Arial"/>
          <w:bCs/>
          <w:sz w:val="20"/>
          <w:szCs w:val="20"/>
        </w:rPr>
      </w:pPr>
    </w:p>
    <w:p w:rsidR="00DA205D" w:rsidRPr="000F2079" w:rsidRDefault="003D63CF" w:rsidP="00DA205D">
      <w:pPr>
        <w:pStyle w:val="Odsekzoznamu"/>
        <w:widowControl/>
        <w:shd w:val="clear" w:color="auto" w:fill="FFFFFF"/>
        <w:adjustRightInd/>
        <w:spacing w:after="0"/>
        <w:ind w:left="0" w:firstLine="708"/>
        <w:jc w:val="both"/>
        <w:rPr>
          <w:rFonts w:ascii="Arial" w:hAnsi="Arial" w:cs="Arial"/>
          <w:bCs/>
          <w:sz w:val="20"/>
          <w:szCs w:val="20"/>
        </w:rPr>
      </w:pPr>
      <w:r w:rsidRPr="000F2079">
        <w:rPr>
          <w:rFonts w:ascii="Arial" w:hAnsi="Arial" w:cs="Arial"/>
          <w:bCs/>
          <w:sz w:val="20"/>
          <w:szCs w:val="20"/>
        </w:rPr>
        <w:t>Minimálne mzdové nároky podľa stupňov náročnosti</w:t>
      </w:r>
      <w:r w:rsidR="009511A6" w:rsidRPr="000F2079">
        <w:rPr>
          <w:rFonts w:ascii="Arial" w:hAnsi="Arial" w:cs="Arial"/>
          <w:bCs/>
          <w:sz w:val="20"/>
          <w:szCs w:val="20"/>
        </w:rPr>
        <w:t xml:space="preserve"> </w:t>
      </w:r>
      <w:r w:rsidR="009511A6" w:rsidRPr="000F2079">
        <w:rPr>
          <w:rFonts w:ascii="Arial" w:hAnsi="Arial" w:cs="Arial"/>
          <w:b/>
          <w:bCs/>
          <w:sz w:val="20"/>
          <w:szCs w:val="20"/>
        </w:rPr>
        <w:t>sa nevzťahujú na zamestnancov pracujúcich na základe niektorej z dohôd</w:t>
      </w:r>
      <w:r w:rsidR="009511A6" w:rsidRPr="000F2079">
        <w:rPr>
          <w:rFonts w:ascii="Arial" w:hAnsi="Arial" w:cs="Arial"/>
          <w:bCs/>
          <w:sz w:val="20"/>
          <w:szCs w:val="20"/>
        </w:rPr>
        <w:t xml:space="preserve"> o prácach vykonávaných mimo pracovného pomeru, teda na tzv. dohodárov. Na túto skupinu zamestnancov sa vzťahuje iba základná minimálna mzda.</w:t>
      </w:r>
    </w:p>
    <w:p w:rsidR="00DA205D" w:rsidRPr="000F2079" w:rsidRDefault="00DA205D" w:rsidP="00DA205D">
      <w:pPr>
        <w:pStyle w:val="Odsekzoznamu"/>
        <w:widowControl/>
        <w:shd w:val="clear" w:color="auto" w:fill="FFFFFF"/>
        <w:adjustRightInd/>
        <w:spacing w:after="0"/>
        <w:ind w:left="0"/>
        <w:jc w:val="both"/>
        <w:rPr>
          <w:rFonts w:ascii="Arial" w:hAnsi="Arial" w:cs="Arial"/>
          <w:b/>
          <w:bCs/>
          <w:i/>
          <w:sz w:val="20"/>
          <w:szCs w:val="20"/>
        </w:rPr>
      </w:pPr>
    </w:p>
    <w:p w:rsidR="00E67756" w:rsidRPr="000F2079" w:rsidRDefault="00E67756" w:rsidP="00022065">
      <w:pPr>
        <w:pStyle w:val="BodyTextIndent1"/>
        <w:spacing w:line="276" w:lineRule="auto"/>
        <w:ind w:left="0"/>
        <w:jc w:val="both"/>
        <w:rPr>
          <w:rFonts w:ascii="Arial" w:hAnsi="Arial" w:cs="Arial"/>
          <w:bCs/>
          <w:sz w:val="20"/>
          <w:szCs w:val="20"/>
        </w:rPr>
      </w:pPr>
    </w:p>
    <w:p w:rsidR="00E67756" w:rsidRPr="000F2079" w:rsidRDefault="00951C63" w:rsidP="00022065">
      <w:pPr>
        <w:pStyle w:val="Odsekzoznamu"/>
        <w:numPr>
          <w:ilvl w:val="0"/>
          <w:numId w:val="1"/>
        </w:numPr>
        <w:spacing w:after="0"/>
        <w:ind w:left="709" w:hanging="349"/>
        <w:jc w:val="both"/>
        <w:rPr>
          <w:rFonts w:ascii="Arial" w:hAnsi="Arial" w:cs="Arial"/>
          <w:b/>
          <w:color w:val="000000"/>
          <w:sz w:val="20"/>
          <w:szCs w:val="20"/>
        </w:rPr>
      </w:pPr>
      <w:r w:rsidRPr="000F2079">
        <w:rPr>
          <w:rFonts w:ascii="Arial" w:hAnsi="Arial" w:cs="Arial"/>
          <w:b/>
          <w:color w:val="000000"/>
          <w:sz w:val="20"/>
          <w:szCs w:val="20"/>
          <w:u w:val="single"/>
        </w:rPr>
        <w:t>č</w:t>
      </w:r>
      <w:r w:rsidR="00E67756" w:rsidRPr="000F2079">
        <w:rPr>
          <w:rFonts w:ascii="Arial" w:hAnsi="Arial" w:cs="Arial"/>
          <w:b/>
          <w:color w:val="000000"/>
          <w:sz w:val="20"/>
          <w:szCs w:val="20"/>
          <w:u w:val="single"/>
        </w:rPr>
        <w:t xml:space="preserve">asť: </w:t>
      </w:r>
      <w:r w:rsidR="00820523" w:rsidRPr="000F2079">
        <w:rPr>
          <w:rFonts w:ascii="Arial" w:hAnsi="Arial" w:cs="Arial"/>
          <w:b/>
          <w:color w:val="000000"/>
          <w:sz w:val="20"/>
          <w:szCs w:val="20"/>
          <w:u w:val="single"/>
        </w:rPr>
        <w:t xml:space="preserve"> Z</w:t>
      </w:r>
      <w:r w:rsidR="00E67756" w:rsidRPr="000F2079">
        <w:rPr>
          <w:rFonts w:ascii="Arial" w:hAnsi="Arial" w:cs="Arial"/>
          <w:b/>
          <w:color w:val="000000"/>
          <w:sz w:val="20"/>
          <w:szCs w:val="20"/>
          <w:u w:val="single"/>
        </w:rPr>
        <w:t>hrnutie výsledkov testu MSP</w:t>
      </w:r>
    </w:p>
    <w:p w:rsidR="00E67756" w:rsidRPr="000F2079" w:rsidRDefault="00E67756" w:rsidP="00022065">
      <w:pPr>
        <w:spacing w:after="0"/>
        <w:jc w:val="both"/>
        <w:rPr>
          <w:rFonts w:ascii="Arial" w:hAnsi="Arial" w:cs="Arial"/>
          <w:b/>
          <w:color w:val="000000"/>
          <w:sz w:val="20"/>
          <w:szCs w:val="20"/>
        </w:rPr>
      </w:pPr>
    </w:p>
    <w:p w:rsidR="00E67756" w:rsidRPr="000F2079" w:rsidRDefault="00E67756" w:rsidP="00FC7D11">
      <w:pPr>
        <w:spacing w:after="0"/>
        <w:jc w:val="both"/>
        <w:rPr>
          <w:rFonts w:ascii="Arial" w:hAnsi="Arial" w:cs="Arial"/>
          <w:b/>
          <w:color w:val="000000"/>
          <w:sz w:val="20"/>
          <w:szCs w:val="20"/>
        </w:rPr>
      </w:pPr>
    </w:p>
    <w:p w:rsidR="00E67756" w:rsidRPr="000F2079" w:rsidRDefault="009769E5" w:rsidP="00280ECD">
      <w:pPr>
        <w:numPr>
          <w:ilvl w:val="0"/>
          <w:numId w:val="3"/>
        </w:numPr>
        <w:jc w:val="both"/>
        <w:rPr>
          <w:rFonts w:ascii="Arial" w:hAnsi="Arial" w:cs="Arial"/>
          <w:b/>
          <w:sz w:val="20"/>
          <w:szCs w:val="20"/>
        </w:rPr>
      </w:pPr>
      <w:r w:rsidRPr="000F2079">
        <w:rPr>
          <w:rFonts w:ascii="Arial" w:hAnsi="Arial" w:cs="Arial"/>
          <w:b/>
          <w:sz w:val="20"/>
          <w:szCs w:val="20"/>
        </w:rPr>
        <w:t>Možnosť použitia</w:t>
      </w:r>
      <w:r w:rsidR="00736CE7" w:rsidRPr="000F2079">
        <w:rPr>
          <w:rFonts w:ascii="Arial" w:hAnsi="Arial" w:cs="Arial"/>
          <w:b/>
          <w:sz w:val="20"/>
          <w:szCs w:val="20"/>
        </w:rPr>
        <w:t xml:space="preserve"> </w:t>
      </w:r>
      <w:r w:rsidR="00B25754" w:rsidRPr="000F2079">
        <w:rPr>
          <w:rFonts w:ascii="Arial" w:hAnsi="Arial" w:cs="Arial"/>
          <w:b/>
          <w:sz w:val="20"/>
          <w:szCs w:val="20"/>
        </w:rPr>
        <w:t>alternatívn</w:t>
      </w:r>
      <w:r w:rsidRPr="000F2079">
        <w:rPr>
          <w:rFonts w:ascii="Arial" w:hAnsi="Arial" w:cs="Arial"/>
          <w:b/>
          <w:sz w:val="20"/>
          <w:szCs w:val="20"/>
        </w:rPr>
        <w:t>ych</w:t>
      </w:r>
      <w:r w:rsidR="00B25754" w:rsidRPr="000F2079">
        <w:rPr>
          <w:rFonts w:ascii="Arial" w:hAnsi="Arial" w:cs="Arial"/>
          <w:b/>
          <w:sz w:val="20"/>
          <w:szCs w:val="20"/>
        </w:rPr>
        <w:t xml:space="preserve"> alebo zmierňujúc</w:t>
      </w:r>
      <w:r w:rsidRPr="000F2079">
        <w:rPr>
          <w:rFonts w:ascii="Arial" w:hAnsi="Arial" w:cs="Arial"/>
          <w:b/>
          <w:sz w:val="20"/>
          <w:szCs w:val="20"/>
        </w:rPr>
        <w:t>ich opatrení</w:t>
      </w:r>
    </w:p>
    <w:p w:rsidR="00E67756" w:rsidRPr="000F2079" w:rsidRDefault="00736CE7" w:rsidP="00022065">
      <w:pPr>
        <w:jc w:val="both"/>
        <w:rPr>
          <w:rFonts w:ascii="Arial" w:hAnsi="Arial" w:cs="Arial"/>
          <w:sz w:val="20"/>
          <w:szCs w:val="20"/>
        </w:rPr>
      </w:pPr>
      <w:r w:rsidRPr="000F2079">
        <w:rPr>
          <w:rFonts w:ascii="Arial" w:hAnsi="Arial" w:cs="Arial"/>
          <w:sz w:val="20"/>
          <w:szCs w:val="20"/>
          <w:bdr w:val="single" w:sz="4" w:space="0" w:color="auto"/>
        </w:rPr>
        <w:t>ÁNO</w:t>
      </w:r>
      <w:r w:rsidRPr="000F2079">
        <w:rPr>
          <w:rFonts w:ascii="Arial" w:hAnsi="Arial" w:cs="Arial"/>
          <w:sz w:val="20"/>
          <w:szCs w:val="20"/>
        </w:rPr>
        <w:t xml:space="preserve"> / NIE</w:t>
      </w:r>
    </w:p>
    <w:p w:rsidR="006634AE" w:rsidRPr="000F2079" w:rsidRDefault="006634AE" w:rsidP="00022065">
      <w:pPr>
        <w:ind w:firstLine="708"/>
        <w:jc w:val="both"/>
        <w:rPr>
          <w:rFonts w:ascii="Arial" w:hAnsi="Arial" w:cs="Arial"/>
          <w:sz w:val="20"/>
          <w:szCs w:val="20"/>
        </w:rPr>
      </w:pPr>
      <w:r w:rsidRPr="000F2079">
        <w:rPr>
          <w:rFonts w:ascii="Arial" w:hAnsi="Arial" w:cs="Arial"/>
          <w:sz w:val="20"/>
          <w:szCs w:val="20"/>
        </w:rPr>
        <w:t xml:space="preserve">Konkrétne </w:t>
      </w:r>
      <w:r w:rsidRPr="000F2079">
        <w:rPr>
          <w:rFonts w:ascii="Arial" w:hAnsi="Arial" w:cs="Arial"/>
          <w:b/>
          <w:sz w:val="20"/>
          <w:szCs w:val="20"/>
        </w:rPr>
        <w:t xml:space="preserve">alternatívne návrhy </w:t>
      </w:r>
      <w:r w:rsidR="000F2079" w:rsidRPr="000F2079">
        <w:rPr>
          <w:rFonts w:ascii="Arial" w:hAnsi="Arial" w:cs="Arial"/>
          <w:b/>
          <w:sz w:val="20"/>
          <w:szCs w:val="20"/>
        </w:rPr>
        <w:t xml:space="preserve">zozbierané </w:t>
      </w:r>
      <w:r w:rsidR="00392B9A" w:rsidRPr="000F2079">
        <w:rPr>
          <w:rFonts w:ascii="Arial" w:hAnsi="Arial" w:cs="Arial"/>
          <w:b/>
          <w:sz w:val="20"/>
          <w:szCs w:val="20"/>
        </w:rPr>
        <w:t>Centr</w:t>
      </w:r>
      <w:r w:rsidR="000F2079" w:rsidRPr="000F2079">
        <w:rPr>
          <w:rFonts w:ascii="Arial" w:hAnsi="Arial" w:cs="Arial"/>
          <w:b/>
          <w:sz w:val="20"/>
          <w:szCs w:val="20"/>
        </w:rPr>
        <w:t>om</w:t>
      </w:r>
      <w:r w:rsidR="00392B9A" w:rsidRPr="000F2079">
        <w:rPr>
          <w:rFonts w:ascii="Arial" w:hAnsi="Arial" w:cs="Arial"/>
          <w:b/>
          <w:sz w:val="20"/>
          <w:szCs w:val="20"/>
        </w:rPr>
        <w:t xml:space="preserve"> lepšej regulácie</w:t>
      </w:r>
      <w:r w:rsidR="002B58BD" w:rsidRPr="000F2079">
        <w:rPr>
          <w:rFonts w:ascii="Arial" w:hAnsi="Arial" w:cs="Arial"/>
          <w:sz w:val="20"/>
          <w:szCs w:val="20"/>
        </w:rPr>
        <w:t xml:space="preserve"> sú uvedené v časti II. písm. </w:t>
      </w:r>
      <w:r w:rsidR="000E7ADC" w:rsidRPr="000F2079">
        <w:rPr>
          <w:rFonts w:ascii="Arial" w:hAnsi="Arial" w:cs="Arial"/>
          <w:sz w:val="20"/>
          <w:szCs w:val="20"/>
        </w:rPr>
        <w:t>b</w:t>
      </w:r>
      <w:r w:rsidR="002B58BD" w:rsidRPr="000F2079">
        <w:rPr>
          <w:rFonts w:ascii="Arial" w:hAnsi="Arial" w:cs="Arial"/>
          <w:sz w:val="20"/>
          <w:szCs w:val="20"/>
        </w:rPr>
        <w:t>)</w:t>
      </w:r>
      <w:r w:rsidR="00542C69" w:rsidRPr="000F2079">
        <w:rPr>
          <w:rFonts w:ascii="Arial" w:hAnsi="Arial" w:cs="Arial"/>
          <w:sz w:val="20"/>
          <w:szCs w:val="20"/>
        </w:rPr>
        <w:t xml:space="preserve"> testu MSP</w:t>
      </w:r>
      <w:r w:rsidR="002B58BD" w:rsidRPr="000F2079">
        <w:rPr>
          <w:rFonts w:ascii="Arial" w:hAnsi="Arial" w:cs="Arial"/>
          <w:sz w:val="20"/>
          <w:szCs w:val="20"/>
        </w:rPr>
        <w:t xml:space="preserve">, nakoľko však návrh </w:t>
      </w:r>
      <w:r w:rsidR="00B84F8F" w:rsidRPr="000F2079">
        <w:rPr>
          <w:rFonts w:ascii="Arial" w:hAnsi="Arial" w:cs="Arial"/>
          <w:sz w:val="20"/>
          <w:szCs w:val="20"/>
        </w:rPr>
        <w:t xml:space="preserve">pre úpravu režimu jeho prijímania právnym predpisom vyššej právnej sily </w:t>
      </w:r>
      <w:r w:rsidR="002B58BD" w:rsidRPr="000F2079">
        <w:rPr>
          <w:rFonts w:ascii="Arial" w:hAnsi="Arial" w:cs="Arial"/>
          <w:sz w:val="20"/>
          <w:szCs w:val="20"/>
        </w:rPr>
        <w:t>neprešiel prípravnou fázou legislatívneho procesu, t. j. absentovali konzultácie s podnikateľským prostredím podľa bodu 5. Jednotnej metodiky, iné oficiálne alternatívne návrhy neboli zvážené.</w:t>
      </w:r>
    </w:p>
    <w:p w:rsidR="003F4100" w:rsidRPr="000F2079" w:rsidRDefault="003F4100" w:rsidP="003F4100">
      <w:pPr>
        <w:numPr>
          <w:ilvl w:val="0"/>
          <w:numId w:val="3"/>
        </w:numPr>
        <w:jc w:val="both"/>
        <w:rPr>
          <w:rFonts w:ascii="Arial" w:hAnsi="Arial" w:cs="Arial"/>
          <w:b/>
          <w:sz w:val="20"/>
          <w:szCs w:val="20"/>
        </w:rPr>
      </w:pPr>
      <w:r w:rsidRPr="000F2079">
        <w:rPr>
          <w:rFonts w:ascii="Arial" w:hAnsi="Arial" w:cs="Arial"/>
          <w:b/>
          <w:sz w:val="20"/>
          <w:szCs w:val="20"/>
        </w:rPr>
        <w:t>Identifikácia nadmernej / nežiaducej transpozície práva Európskej únie – efekt gold-plating</w:t>
      </w:r>
    </w:p>
    <w:p w:rsidR="003F4100" w:rsidRPr="000F2079" w:rsidRDefault="003F4100" w:rsidP="003F4100">
      <w:pPr>
        <w:jc w:val="both"/>
        <w:rPr>
          <w:rFonts w:ascii="Arial" w:hAnsi="Arial" w:cs="Arial"/>
          <w:sz w:val="20"/>
          <w:szCs w:val="20"/>
        </w:rPr>
      </w:pPr>
      <w:r w:rsidRPr="000F2079">
        <w:rPr>
          <w:rFonts w:ascii="Arial" w:hAnsi="Arial" w:cs="Arial"/>
          <w:sz w:val="20"/>
          <w:szCs w:val="20"/>
        </w:rPr>
        <w:t xml:space="preserve">ÁNO / </w:t>
      </w:r>
      <w:r w:rsidRPr="000F2079">
        <w:rPr>
          <w:rFonts w:ascii="Arial" w:hAnsi="Arial" w:cs="Arial"/>
          <w:sz w:val="20"/>
          <w:szCs w:val="20"/>
          <w:bdr w:val="single" w:sz="4" w:space="0" w:color="auto"/>
        </w:rPr>
        <w:t>NIE</w:t>
      </w:r>
    </w:p>
    <w:p w:rsidR="003F4100" w:rsidRPr="000F2079" w:rsidRDefault="003F4100" w:rsidP="003F4100">
      <w:pPr>
        <w:ind w:firstLine="708"/>
        <w:jc w:val="both"/>
        <w:rPr>
          <w:rFonts w:ascii="Arial" w:hAnsi="Arial" w:cs="Arial"/>
          <w:b/>
          <w:sz w:val="20"/>
          <w:szCs w:val="20"/>
        </w:rPr>
      </w:pPr>
      <w:r w:rsidRPr="000F2079">
        <w:rPr>
          <w:rFonts w:ascii="Arial" w:hAnsi="Arial" w:cs="Arial"/>
          <w:sz w:val="20"/>
          <w:szCs w:val="20"/>
        </w:rPr>
        <w:t xml:space="preserve">Nakoľko Centrum lepšej regulácie </w:t>
      </w:r>
      <w:r w:rsidR="00D851ED" w:rsidRPr="000F2079">
        <w:rPr>
          <w:rFonts w:ascii="Arial" w:hAnsi="Arial" w:cs="Arial"/>
          <w:b/>
          <w:sz w:val="20"/>
          <w:szCs w:val="20"/>
        </w:rPr>
        <w:t>ne</w:t>
      </w:r>
      <w:r w:rsidRPr="000F2079">
        <w:rPr>
          <w:rFonts w:ascii="Arial" w:hAnsi="Arial" w:cs="Arial"/>
          <w:b/>
          <w:sz w:val="20"/>
          <w:szCs w:val="20"/>
        </w:rPr>
        <w:t xml:space="preserve">identifikovalo </w:t>
      </w:r>
      <w:r w:rsidR="00D851ED" w:rsidRPr="000F2079">
        <w:rPr>
          <w:rFonts w:ascii="Arial" w:hAnsi="Arial" w:cs="Arial"/>
          <w:b/>
          <w:sz w:val="20"/>
          <w:szCs w:val="20"/>
        </w:rPr>
        <w:t xml:space="preserve">právo EÚ, ktoré by bolo zdrojom možnej transpozície resp. akýkoľvek medzinárodný záväzok, </w:t>
      </w:r>
      <w:r w:rsidRPr="000F2079">
        <w:rPr>
          <w:rFonts w:ascii="Arial" w:hAnsi="Arial" w:cs="Arial"/>
          <w:sz w:val="20"/>
          <w:szCs w:val="20"/>
        </w:rPr>
        <w:t>efekt gold-platingu</w:t>
      </w:r>
      <w:r w:rsidR="00D851ED" w:rsidRPr="000F2079">
        <w:rPr>
          <w:rFonts w:ascii="Arial" w:hAnsi="Arial" w:cs="Arial"/>
          <w:sz w:val="20"/>
          <w:szCs w:val="20"/>
        </w:rPr>
        <w:t xml:space="preserve"> nebol predmetom analýzy.</w:t>
      </w:r>
    </w:p>
    <w:p w:rsidR="00B25754" w:rsidRPr="000F2079" w:rsidRDefault="003F4100" w:rsidP="00280ECD">
      <w:pPr>
        <w:numPr>
          <w:ilvl w:val="0"/>
          <w:numId w:val="3"/>
        </w:numPr>
        <w:jc w:val="both"/>
        <w:rPr>
          <w:rFonts w:ascii="Arial" w:hAnsi="Arial" w:cs="Arial"/>
          <w:b/>
          <w:sz w:val="20"/>
          <w:szCs w:val="20"/>
        </w:rPr>
      </w:pPr>
      <w:r w:rsidRPr="000F2079">
        <w:rPr>
          <w:rFonts w:ascii="Arial" w:hAnsi="Arial" w:cs="Arial"/>
          <w:b/>
          <w:sz w:val="20"/>
          <w:szCs w:val="20"/>
        </w:rPr>
        <w:t>Medzinárodné porovnanie</w:t>
      </w:r>
      <w:r w:rsidR="00F51924" w:rsidRPr="000F2079">
        <w:rPr>
          <w:rFonts w:ascii="Arial" w:hAnsi="Arial" w:cs="Arial"/>
          <w:b/>
          <w:sz w:val="20"/>
          <w:szCs w:val="20"/>
        </w:rPr>
        <w:t xml:space="preserve"> a best practices členských štátov EÚ</w:t>
      </w:r>
    </w:p>
    <w:p w:rsidR="003F4100" w:rsidRPr="000F2079" w:rsidRDefault="003F4100" w:rsidP="003F4100">
      <w:pPr>
        <w:jc w:val="both"/>
        <w:rPr>
          <w:rFonts w:ascii="Arial" w:hAnsi="Arial" w:cs="Arial"/>
          <w:sz w:val="20"/>
          <w:szCs w:val="20"/>
        </w:rPr>
      </w:pPr>
      <w:r w:rsidRPr="000F2079">
        <w:rPr>
          <w:rFonts w:ascii="Arial" w:hAnsi="Arial" w:cs="Arial"/>
          <w:sz w:val="20"/>
          <w:szCs w:val="20"/>
          <w:bdr w:val="single" w:sz="4" w:space="0" w:color="auto"/>
        </w:rPr>
        <w:t>ÁNO</w:t>
      </w:r>
      <w:r w:rsidRPr="000F2079">
        <w:rPr>
          <w:rFonts w:ascii="Arial" w:hAnsi="Arial" w:cs="Arial"/>
          <w:sz w:val="20"/>
          <w:szCs w:val="20"/>
        </w:rPr>
        <w:t xml:space="preserve"> / NIE</w:t>
      </w:r>
    </w:p>
    <w:p w:rsidR="003F4100" w:rsidRPr="000F2079" w:rsidRDefault="00B20AB5" w:rsidP="00542C69">
      <w:pPr>
        <w:jc w:val="both"/>
        <w:rPr>
          <w:rFonts w:ascii="Arial" w:hAnsi="Arial" w:cs="Arial"/>
          <w:sz w:val="20"/>
          <w:szCs w:val="20"/>
        </w:rPr>
      </w:pPr>
      <w:r w:rsidRPr="000F2079">
        <w:rPr>
          <w:rFonts w:ascii="Arial" w:hAnsi="Arial" w:cs="Arial"/>
          <w:sz w:val="20"/>
          <w:szCs w:val="20"/>
        </w:rPr>
        <w:tab/>
        <w:t xml:space="preserve">Centrum lepšej regulácie </w:t>
      </w:r>
      <w:r w:rsidR="00542C69" w:rsidRPr="000F2079">
        <w:rPr>
          <w:rFonts w:ascii="Arial" w:hAnsi="Arial" w:cs="Arial"/>
          <w:sz w:val="20"/>
          <w:szCs w:val="20"/>
        </w:rPr>
        <w:t xml:space="preserve">vykonalo </w:t>
      </w:r>
      <w:r w:rsidR="00542C69" w:rsidRPr="000F2079">
        <w:rPr>
          <w:rFonts w:ascii="Arial" w:hAnsi="Arial" w:cs="Arial"/>
          <w:b/>
          <w:sz w:val="20"/>
          <w:szCs w:val="20"/>
        </w:rPr>
        <w:t>medzinárodné porovnanie predmetnej regulácie vo vybraných členských štátoch EÚ</w:t>
      </w:r>
      <w:r w:rsidR="00542C69" w:rsidRPr="000F2079">
        <w:rPr>
          <w:rFonts w:ascii="Arial" w:hAnsi="Arial" w:cs="Arial"/>
          <w:sz w:val="20"/>
          <w:szCs w:val="20"/>
        </w:rPr>
        <w:t>, ktorej výsledok je uvedený v časti III</w:t>
      </w:r>
      <w:r w:rsidR="00951C63" w:rsidRPr="000F2079">
        <w:rPr>
          <w:rFonts w:ascii="Arial" w:hAnsi="Arial" w:cs="Arial"/>
          <w:sz w:val="20"/>
          <w:szCs w:val="20"/>
        </w:rPr>
        <w:t>.</w:t>
      </w:r>
      <w:r w:rsidR="00542C69" w:rsidRPr="000F2079">
        <w:rPr>
          <w:rFonts w:ascii="Arial" w:hAnsi="Arial" w:cs="Arial"/>
          <w:sz w:val="20"/>
          <w:szCs w:val="20"/>
        </w:rPr>
        <w:t xml:space="preserve"> testu MSP.  </w:t>
      </w:r>
    </w:p>
    <w:p w:rsidR="00542C69" w:rsidRPr="000F2079" w:rsidRDefault="00542C69" w:rsidP="00542C69">
      <w:pPr>
        <w:jc w:val="both"/>
        <w:rPr>
          <w:rFonts w:ascii="Arial" w:hAnsi="Arial" w:cs="Arial"/>
          <w:sz w:val="20"/>
          <w:szCs w:val="20"/>
          <w:highlight w:val="cyan"/>
        </w:rPr>
      </w:pPr>
    </w:p>
    <w:p w:rsidR="00E67756" w:rsidRPr="000F2079" w:rsidRDefault="00951C63" w:rsidP="00022065">
      <w:pPr>
        <w:pStyle w:val="Odsekzoznamu"/>
        <w:numPr>
          <w:ilvl w:val="0"/>
          <w:numId w:val="1"/>
        </w:numPr>
        <w:spacing w:after="0"/>
        <w:ind w:left="709" w:hanging="425"/>
        <w:jc w:val="both"/>
        <w:rPr>
          <w:rFonts w:ascii="Arial" w:hAnsi="Arial" w:cs="Arial"/>
          <w:b/>
          <w:color w:val="000000"/>
          <w:sz w:val="20"/>
          <w:szCs w:val="20"/>
          <w:u w:val="single"/>
        </w:rPr>
      </w:pPr>
      <w:r w:rsidRPr="000F2079">
        <w:rPr>
          <w:rFonts w:ascii="Arial" w:hAnsi="Arial" w:cs="Arial"/>
          <w:b/>
          <w:color w:val="000000"/>
          <w:sz w:val="20"/>
          <w:szCs w:val="20"/>
          <w:u w:val="single"/>
        </w:rPr>
        <w:t>č</w:t>
      </w:r>
      <w:r w:rsidR="00E67756" w:rsidRPr="000F2079">
        <w:rPr>
          <w:rFonts w:ascii="Arial" w:hAnsi="Arial" w:cs="Arial"/>
          <w:b/>
          <w:color w:val="000000"/>
          <w:sz w:val="20"/>
          <w:szCs w:val="20"/>
          <w:u w:val="single"/>
        </w:rPr>
        <w:t xml:space="preserve">asť: </w:t>
      </w:r>
      <w:r w:rsidR="00820523" w:rsidRPr="000F2079">
        <w:rPr>
          <w:rFonts w:ascii="Arial" w:hAnsi="Arial" w:cs="Arial"/>
          <w:b/>
          <w:color w:val="000000"/>
          <w:sz w:val="20"/>
          <w:szCs w:val="20"/>
          <w:u w:val="single"/>
        </w:rPr>
        <w:t xml:space="preserve"> P</w:t>
      </w:r>
      <w:r w:rsidR="00E67756" w:rsidRPr="000F2079">
        <w:rPr>
          <w:rFonts w:ascii="Arial" w:hAnsi="Arial" w:cs="Arial"/>
          <w:b/>
          <w:color w:val="000000"/>
          <w:sz w:val="20"/>
          <w:szCs w:val="20"/>
          <w:u w:val="single"/>
        </w:rPr>
        <w:t>opis jednotlivých krokov vykonaných v</w:t>
      </w:r>
      <w:r w:rsidR="004069F1" w:rsidRPr="000F2079">
        <w:rPr>
          <w:rFonts w:ascii="Arial" w:hAnsi="Arial" w:cs="Arial"/>
          <w:b/>
          <w:color w:val="000000"/>
          <w:sz w:val="20"/>
          <w:szCs w:val="20"/>
          <w:u w:val="single"/>
        </w:rPr>
        <w:t> </w:t>
      </w:r>
      <w:r w:rsidR="00E67756" w:rsidRPr="000F2079">
        <w:rPr>
          <w:rFonts w:ascii="Arial" w:hAnsi="Arial" w:cs="Arial"/>
          <w:b/>
          <w:color w:val="000000"/>
          <w:sz w:val="20"/>
          <w:szCs w:val="20"/>
          <w:u w:val="single"/>
        </w:rPr>
        <w:t>rámci testu MSP</w:t>
      </w:r>
    </w:p>
    <w:p w:rsidR="00BD34B9" w:rsidRPr="000F2079" w:rsidRDefault="00BD34B9" w:rsidP="00BD34B9">
      <w:pPr>
        <w:pStyle w:val="Odsekzoznamu"/>
        <w:spacing w:after="0"/>
        <w:ind w:left="0"/>
        <w:jc w:val="both"/>
        <w:rPr>
          <w:rFonts w:ascii="Arial" w:hAnsi="Arial" w:cs="Arial"/>
          <w:b/>
          <w:color w:val="000000"/>
          <w:sz w:val="20"/>
          <w:szCs w:val="20"/>
          <w:u w:val="single"/>
        </w:rPr>
      </w:pPr>
    </w:p>
    <w:p w:rsidR="00BD34B9" w:rsidRPr="000F2079" w:rsidRDefault="00BD34B9" w:rsidP="00BD34B9">
      <w:pPr>
        <w:pStyle w:val="Odsekzoznamu"/>
        <w:numPr>
          <w:ilvl w:val="0"/>
          <w:numId w:val="30"/>
        </w:numPr>
        <w:spacing w:after="0"/>
        <w:jc w:val="both"/>
        <w:rPr>
          <w:rFonts w:ascii="Arial" w:hAnsi="Arial" w:cs="Arial"/>
          <w:b/>
          <w:color w:val="000000"/>
          <w:sz w:val="20"/>
          <w:szCs w:val="20"/>
        </w:rPr>
      </w:pPr>
      <w:r w:rsidRPr="000F2079">
        <w:rPr>
          <w:rFonts w:ascii="Arial" w:hAnsi="Arial" w:cs="Arial"/>
          <w:b/>
          <w:color w:val="000000"/>
          <w:sz w:val="20"/>
          <w:szCs w:val="20"/>
        </w:rPr>
        <w:t xml:space="preserve">Procesný postup predkladateľa regulácie </w:t>
      </w:r>
    </w:p>
    <w:p w:rsidR="00BD34B9" w:rsidRPr="000F2079" w:rsidRDefault="00BD34B9" w:rsidP="00BD34B9">
      <w:pPr>
        <w:pStyle w:val="Odsekzoznamu"/>
        <w:spacing w:after="0"/>
        <w:jc w:val="both"/>
        <w:rPr>
          <w:rFonts w:ascii="Arial" w:hAnsi="Arial" w:cs="Arial"/>
          <w:b/>
          <w:color w:val="000000"/>
          <w:sz w:val="20"/>
          <w:szCs w:val="20"/>
          <w:highlight w:val="yellow"/>
          <w:u w:val="single"/>
        </w:rPr>
      </w:pPr>
    </w:p>
    <w:p w:rsidR="004601BA" w:rsidRPr="000F2079" w:rsidRDefault="004601BA" w:rsidP="004601BA">
      <w:pPr>
        <w:widowControl/>
        <w:adjustRightInd/>
        <w:spacing w:after="0" w:line="240" w:lineRule="auto"/>
        <w:ind w:firstLine="708"/>
        <w:jc w:val="both"/>
        <w:rPr>
          <w:rFonts w:ascii="Arial" w:hAnsi="Arial" w:cs="Arial"/>
          <w:bCs/>
          <w:sz w:val="20"/>
          <w:szCs w:val="20"/>
          <w:lang w:eastAsia="sk-SK"/>
        </w:rPr>
      </w:pPr>
      <w:r w:rsidRPr="000F2079">
        <w:rPr>
          <w:rFonts w:ascii="Arial" w:hAnsi="Arial" w:cs="Arial"/>
          <w:bCs/>
          <w:sz w:val="20"/>
          <w:szCs w:val="20"/>
          <w:lang w:eastAsia="sk-SK"/>
        </w:rPr>
        <w:t xml:space="preserve">Ministerstvo práce po prvýkrát od účinnosti Jednotnej metodiky </w:t>
      </w:r>
      <w:r w:rsidRPr="000F2079">
        <w:rPr>
          <w:rFonts w:ascii="Arial" w:hAnsi="Arial" w:cs="Arial"/>
          <w:b/>
          <w:bCs/>
          <w:sz w:val="20"/>
          <w:szCs w:val="20"/>
          <w:lang w:eastAsia="sk-SK"/>
        </w:rPr>
        <w:t>nepožiadalo o udelenie výnimky</w:t>
      </w:r>
      <w:r w:rsidRPr="000F2079">
        <w:rPr>
          <w:rFonts w:ascii="Arial" w:hAnsi="Arial" w:cs="Arial"/>
          <w:bCs/>
          <w:sz w:val="20"/>
          <w:szCs w:val="20"/>
          <w:lang w:eastAsia="sk-SK"/>
        </w:rPr>
        <w:t xml:space="preserve"> podľa </w:t>
      </w:r>
      <w:r w:rsidRPr="000F2079">
        <w:rPr>
          <w:rFonts w:ascii="Arial" w:hAnsi="Arial" w:cs="Arial"/>
          <w:sz w:val="20"/>
          <w:szCs w:val="20"/>
          <w:lang w:eastAsia="sk-SK"/>
        </w:rPr>
        <w:t xml:space="preserve">bodu 2.6. Jednotnej metodiky, pričom dva predchádzajúce roky túto možnosť využilo </w:t>
      </w:r>
      <w:r w:rsidRPr="000F2079">
        <w:rPr>
          <w:rFonts w:ascii="Arial" w:hAnsi="Arial" w:cs="Arial"/>
          <w:bCs/>
          <w:sz w:val="20"/>
          <w:szCs w:val="20"/>
          <w:lang w:eastAsia="sk-SK"/>
        </w:rPr>
        <w:t xml:space="preserve">s odôvodnením, že v prípade potreby bude zvažovať možnosť využiť pri procese tvorby návrhu nariadenia vlády inštitút skráteného legislatívneho konania. Podľa bodu 2.6. Jednotnej metodiky v prípade návrhu legislatívneho materiálu a nelegislatívneho materiálu, ktorý má byť predmetom skráteného MPK, predkladateľ môže požiadať Stálu pracovnú komisiu Legislatívnej rady vlády Slovenskej republiky na posudzovanie vybraných vplyvov pri Ministerstve hospodárstva Slovenskej republiky (ďalej len „komisia“) o udelenie výnimky pri uplatňovaní postupu podľa Jednotnej metodiky spolu s odôvodnením. V odôvodnenej žiadosti Ministerstvo práce rovnako uviedlo, že </w:t>
      </w:r>
      <w:r w:rsidRPr="000F2079">
        <w:rPr>
          <w:rFonts w:ascii="Arial" w:hAnsi="Arial" w:cs="Arial"/>
          <w:b/>
          <w:bCs/>
          <w:sz w:val="20"/>
          <w:szCs w:val="20"/>
          <w:lang w:eastAsia="sk-SK"/>
        </w:rPr>
        <w:t>konzultácie, ktoré sa k návrhu nariadenia povinne uskutočňujú</w:t>
      </w:r>
      <w:r w:rsidRPr="000F2079">
        <w:rPr>
          <w:rFonts w:ascii="Arial" w:hAnsi="Arial" w:cs="Arial"/>
          <w:bCs/>
          <w:sz w:val="20"/>
          <w:szCs w:val="20"/>
          <w:lang w:eastAsia="sk-SK"/>
        </w:rPr>
        <w:t xml:space="preserve"> podľa zákona č. 103/2007 Z. z. o trojstranných konzultáciách na celoštátnej úrovni a o zmene a doplnení niektorých zákonov (ďalej len „zákon o tripartite“) </w:t>
      </w:r>
      <w:r w:rsidRPr="000F2079">
        <w:rPr>
          <w:rFonts w:ascii="Arial" w:hAnsi="Arial" w:cs="Arial"/>
          <w:b/>
          <w:bCs/>
          <w:sz w:val="20"/>
          <w:szCs w:val="20"/>
          <w:lang w:eastAsia="sk-SK"/>
        </w:rPr>
        <w:t>napĺňajú charakter konzultácií s podnikateľským prostredím podľa bodu 5.8. Jednotnej metodiky</w:t>
      </w:r>
      <w:r w:rsidRPr="000F2079">
        <w:rPr>
          <w:rFonts w:ascii="Arial" w:hAnsi="Arial" w:cs="Arial"/>
          <w:bCs/>
          <w:sz w:val="20"/>
          <w:szCs w:val="20"/>
          <w:lang w:eastAsia="sk-SK"/>
        </w:rPr>
        <w:t xml:space="preserve">. Podľa bodu 5.8. Jednotnej metodiky sa za konzultácie považuje aj pravidelné zasadanie pracovnej skupiny alebo iného zoskupenia s účasťou zástupcov podnikateľského prostredia, zriadeného za účelom prípravy návrhu materiálu. Z horeuvedeného vyplýva, že </w:t>
      </w:r>
      <w:r w:rsidRPr="000F2079">
        <w:rPr>
          <w:rFonts w:ascii="Arial" w:hAnsi="Arial" w:cs="Arial"/>
          <w:b/>
          <w:bCs/>
          <w:sz w:val="20"/>
          <w:szCs w:val="20"/>
          <w:lang w:eastAsia="sk-SK"/>
        </w:rPr>
        <w:t>špecifický postup trojstranných konzultácií</w:t>
      </w:r>
      <w:r w:rsidRPr="000F2079">
        <w:rPr>
          <w:rFonts w:ascii="Arial" w:hAnsi="Arial" w:cs="Arial"/>
          <w:bCs/>
          <w:sz w:val="20"/>
          <w:szCs w:val="20"/>
          <w:lang w:eastAsia="sk-SK"/>
        </w:rPr>
        <w:t xml:space="preserve"> (štát, zástupcovia zamestnávateľov, zástupcovia zamestnancov), </w:t>
      </w:r>
      <w:r w:rsidRPr="000F2079">
        <w:rPr>
          <w:rFonts w:ascii="Arial" w:hAnsi="Arial" w:cs="Arial"/>
          <w:b/>
          <w:bCs/>
          <w:sz w:val="20"/>
          <w:szCs w:val="20"/>
          <w:lang w:eastAsia="sk-SK"/>
        </w:rPr>
        <w:t>ktorý zákon o tripartite ustanovuje</w:t>
      </w:r>
      <w:r w:rsidRPr="000F2079">
        <w:rPr>
          <w:rFonts w:ascii="Arial" w:hAnsi="Arial" w:cs="Arial"/>
          <w:bCs/>
          <w:sz w:val="20"/>
          <w:szCs w:val="20"/>
          <w:lang w:eastAsia="sk-SK"/>
        </w:rPr>
        <w:t xml:space="preserve"> za účelom dosiahnutia dohody v otázkach, ktoré upravuje predmetný materiál, </w:t>
      </w:r>
      <w:r w:rsidRPr="000F2079">
        <w:rPr>
          <w:rFonts w:ascii="Arial" w:hAnsi="Arial" w:cs="Arial"/>
          <w:b/>
          <w:bCs/>
          <w:sz w:val="20"/>
          <w:szCs w:val="20"/>
          <w:lang w:eastAsia="sk-SK"/>
        </w:rPr>
        <w:t>nie je kompatibilný s postupom podľa Jednotnej metodiky</w:t>
      </w:r>
      <w:r w:rsidRPr="000F2079">
        <w:rPr>
          <w:rFonts w:ascii="Arial" w:hAnsi="Arial" w:cs="Arial"/>
          <w:bCs/>
          <w:sz w:val="20"/>
          <w:szCs w:val="20"/>
          <w:lang w:eastAsia="sk-SK"/>
        </w:rPr>
        <w:t xml:space="preserve">, nakoľko napr. aj pri uznaní konzultácií podľa zákona o tripartite je podľa Jednotnej metodiky potrebné následne zákon predložiť do PPK už v kompletnom znení, kedy členovia komisie z hľadiska dopadov na vybrané oblasti pripomienkujú jednotlivé analýzy vplyvov, ktoré však nemožno vypracovať, kým nie je sfinalizovaný vlastný materiál daného návrhu. Z tohto dôvodu je </w:t>
      </w:r>
      <w:r w:rsidRPr="000F2079">
        <w:rPr>
          <w:rFonts w:ascii="Arial" w:hAnsi="Arial" w:cs="Arial"/>
          <w:b/>
          <w:bCs/>
          <w:sz w:val="20"/>
          <w:szCs w:val="20"/>
          <w:lang w:eastAsia="sk-SK"/>
        </w:rPr>
        <w:t>test MSP vypracovaný v súlade s predbežnými informáciami o novej výške minimálnej mzdy</w:t>
      </w:r>
      <w:r w:rsidR="00B84F8F" w:rsidRPr="000F2079">
        <w:rPr>
          <w:rFonts w:ascii="Arial" w:hAnsi="Arial" w:cs="Arial"/>
          <w:b/>
          <w:bCs/>
          <w:sz w:val="20"/>
          <w:szCs w:val="20"/>
          <w:lang w:eastAsia="sk-SK"/>
        </w:rPr>
        <w:t xml:space="preserve"> a jej prislúchajúcimi dátami poskytnutými Ministerstvom práce</w:t>
      </w:r>
      <w:r w:rsidRPr="000F2079">
        <w:rPr>
          <w:rFonts w:ascii="Arial" w:hAnsi="Arial" w:cs="Arial"/>
          <w:b/>
          <w:bCs/>
          <w:sz w:val="20"/>
          <w:szCs w:val="20"/>
          <w:lang w:eastAsia="sk-SK"/>
        </w:rPr>
        <w:t>,  ktorá sa však ešte môže meniť</w:t>
      </w:r>
      <w:r w:rsidRPr="000F2079">
        <w:rPr>
          <w:rFonts w:ascii="Arial" w:hAnsi="Arial" w:cs="Arial"/>
          <w:bCs/>
          <w:sz w:val="20"/>
          <w:szCs w:val="20"/>
          <w:lang w:eastAsia="sk-SK"/>
        </w:rPr>
        <w:t xml:space="preserve">, nakoľko testovanie vplyvov na MSP predchádza finálnym rokovaniam tripartity, ako aj konečnému rozhodnutiu, ktoré je </w:t>
      </w:r>
      <w:r w:rsidRPr="000F2079">
        <w:rPr>
          <w:rFonts w:ascii="Arial" w:hAnsi="Arial" w:cs="Arial"/>
          <w:bCs/>
          <w:sz w:val="20"/>
          <w:szCs w:val="20"/>
          <w:lang w:eastAsia="sk-SK"/>
        </w:rPr>
        <w:lastRenderedPageBreak/>
        <w:t xml:space="preserve">v právomoci vlády SR. </w:t>
      </w:r>
      <w:r w:rsidR="00561C11" w:rsidRPr="000F2079">
        <w:rPr>
          <w:rFonts w:ascii="Arial" w:hAnsi="Arial" w:cs="Arial"/>
          <w:bCs/>
          <w:sz w:val="20"/>
          <w:szCs w:val="20"/>
          <w:lang w:eastAsia="sk-SK"/>
        </w:rPr>
        <w:t xml:space="preserve">Centrum lepšej regulácie napriek tomu vysoko oceňuje prístup zástupcov Ministerstva práce, ich ochotu sprostredkovať za účelom testovania vplyvov zvýšenia minimálnej mzdy na MSP relevantné dáta a otvorenosť spolupracovať pri ich následnej aktualizácii, ak sa navrhovaná výška minimálnej mzdy v priebehu nadchádzajúcej fázy legislatívneho procesu zmení. </w:t>
      </w:r>
    </w:p>
    <w:p w:rsidR="004601BA" w:rsidRPr="000F2079" w:rsidRDefault="004601BA" w:rsidP="00022065">
      <w:pPr>
        <w:spacing w:after="0"/>
        <w:jc w:val="both"/>
        <w:rPr>
          <w:rFonts w:ascii="Arial" w:hAnsi="Arial" w:cs="Arial"/>
          <w:color w:val="000000"/>
          <w:sz w:val="20"/>
          <w:szCs w:val="20"/>
          <w:highlight w:val="cyan"/>
        </w:rPr>
      </w:pPr>
    </w:p>
    <w:p w:rsidR="004601BA" w:rsidRPr="000F2079" w:rsidRDefault="004601BA" w:rsidP="00022065">
      <w:pPr>
        <w:spacing w:after="0"/>
        <w:jc w:val="both"/>
        <w:rPr>
          <w:rFonts w:ascii="Arial" w:hAnsi="Arial" w:cs="Arial"/>
          <w:color w:val="000000"/>
          <w:sz w:val="20"/>
          <w:szCs w:val="20"/>
          <w:highlight w:val="cyan"/>
        </w:rPr>
      </w:pPr>
    </w:p>
    <w:p w:rsidR="00AF5EE7" w:rsidRPr="000F2079" w:rsidRDefault="00BD34B9" w:rsidP="00BD34B9">
      <w:pPr>
        <w:numPr>
          <w:ilvl w:val="0"/>
          <w:numId w:val="30"/>
        </w:numPr>
        <w:jc w:val="both"/>
        <w:rPr>
          <w:rFonts w:ascii="Arial" w:hAnsi="Arial" w:cs="Arial"/>
          <w:b/>
          <w:sz w:val="20"/>
          <w:szCs w:val="20"/>
        </w:rPr>
      </w:pPr>
      <w:r w:rsidRPr="000F2079">
        <w:rPr>
          <w:rFonts w:ascii="Arial" w:hAnsi="Arial" w:cs="Arial"/>
          <w:b/>
          <w:sz w:val="20"/>
          <w:szCs w:val="20"/>
        </w:rPr>
        <w:t>Meranie vplyvu regulácie</w:t>
      </w:r>
    </w:p>
    <w:p w:rsidR="00410FB0" w:rsidRPr="000F2079" w:rsidRDefault="00410FB0" w:rsidP="00410FB0">
      <w:pPr>
        <w:ind w:firstLine="708"/>
        <w:jc w:val="both"/>
        <w:rPr>
          <w:rFonts w:ascii="Arial" w:hAnsi="Arial" w:cs="Arial"/>
          <w:sz w:val="20"/>
          <w:szCs w:val="20"/>
        </w:rPr>
      </w:pPr>
      <w:r w:rsidRPr="000F2079">
        <w:rPr>
          <w:rFonts w:ascii="Arial" w:hAnsi="Arial" w:cs="Arial"/>
          <w:sz w:val="20"/>
          <w:szCs w:val="20"/>
        </w:rPr>
        <w:t xml:space="preserve">Cieľom nasledujúcej kapitoly je poukázať na </w:t>
      </w:r>
      <w:r w:rsidRPr="000F2079">
        <w:rPr>
          <w:rFonts w:ascii="Arial" w:hAnsi="Arial" w:cs="Arial"/>
          <w:b/>
          <w:sz w:val="20"/>
          <w:szCs w:val="20"/>
        </w:rPr>
        <w:t>náklady, ktoré na strane MSP vzniknú v súvislosti so zvýšením sumy minimálnej mzdy</w:t>
      </w:r>
      <w:r w:rsidRPr="000F2079">
        <w:rPr>
          <w:rFonts w:ascii="Arial" w:hAnsi="Arial" w:cs="Arial"/>
          <w:sz w:val="20"/>
          <w:szCs w:val="20"/>
        </w:rPr>
        <w:t xml:space="preserve">. Tieto náklady Centrum lepšej regulácie prehľadne uvádza na </w:t>
      </w:r>
      <w:r w:rsidRPr="000F2079">
        <w:rPr>
          <w:rFonts w:ascii="Arial" w:hAnsi="Arial" w:cs="Arial"/>
          <w:b/>
          <w:i/>
          <w:sz w:val="20"/>
          <w:szCs w:val="20"/>
        </w:rPr>
        <w:t xml:space="preserve">príklade jedného zamestnanca s minimálnou mzdou </w:t>
      </w:r>
      <w:r w:rsidRPr="000F2079">
        <w:rPr>
          <w:rFonts w:ascii="Arial" w:hAnsi="Arial" w:cs="Arial"/>
          <w:sz w:val="20"/>
          <w:szCs w:val="20"/>
        </w:rPr>
        <w:t xml:space="preserve">(štruktúra nákladov), </w:t>
      </w:r>
      <w:r w:rsidRPr="000F2079">
        <w:rPr>
          <w:rFonts w:ascii="Arial" w:hAnsi="Arial" w:cs="Arial"/>
          <w:b/>
          <w:i/>
          <w:sz w:val="20"/>
          <w:szCs w:val="20"/>
        </w:rPr>
        <w:t>na príklade konkrétneho malého podniku,</w:t>
      </w:r>
      <w:r w:rsidRPr="000F2079">
        <w:rPr>
          <w:rFonts w:ascii="Arial" w:hAnsi="Arial" w:cs="Arial"/>
          <w:sz w:val="20"/>
          <w:szCs w:val="20"/>
        </w:rPr>
        <w:t xml:space="preserve"> ale tiež </w:t>
      </w:r>
      <w:r w:rsidR="00754EE9" w:rsidRPr="000F2079">
        <w:rPr>
          <w:rFonts w:ascii="Arial" w:hAnsi="Arial" w:cs="Arial"/>
          <w:sz w:val="20"/>
          <w:szCs w:val="20"/>
        </w:rPr>
        <w:t xml:space="preserve">na </w:t>
      </w:r>
      <w:r w:rsidR="00754EE9" w:rsidRPr="000F2079">
        <w:rPr>
          <w:rFonts w:ascii="Arial" w:hAnsi="Arial" w:cs="Arial"/>
          <w:b/>
          <w:i/>
          <w:sz w:val="20"/>
          <w:szCs w:val="20"/>
        </w:rPr>
        <w:t>celé prostredie MSP</w:t>
      </w:r>
      <w:r w:rsidR="00754EE9" w:rsidRPr="000F2079">
        <w:rPr>
          <w:rFonts w:ascii="Arial" w:hAnsi="Arial" w:cs="Arial"/>
          <w:sz w:val="20"/>
          <w:szCs w:val="20"/>
        </w:rPr>
        <w:t>. Zároveň poukazuje na</w:t>
      </w:r>
      <w:r w:rsidR="00754EE9" w:rsidRPr="000F2079">
        <w:rPr>
          <w:rFonts w:ascii="Arial" w:hAnsi="Arial" w:cs="Arial"/>
          <w:b/>
          <w:sz w:val="20"/>
          <w:szCs w:val="20"/>
        </w:rPr>
        <w:t xml:space="preserve"> vzťah vývoja sumy minimálnej mzdy na Slovensku </w:t>
      </w:r>
      <w:r w:rsidR="0070366C">
        <w:rPr>
          <w:rFonts w:ascii="Arial" w:hAnsi="Arial" w:cs="Arial"/>
          <w:b/>
          <w:sz w:val="20"/>
          <w:szCs w:val="20"/>
        </w:rPr>
        <w:t>ku kľúčovým hospodárskym ukazovateľom</w:t>
      </w:r>
      <w:r w:rsidR="0070366C" w:rsidRPr="0070366C">
        <w:rPr>
          <w:rFonts w:ascii="Arial" w:hAnsi="Arial" w:cs="Arial"/>
          <w:b/>
          <w:sz w:val="20"/>
          <w:szCs w:val="20"/>
        </w:rPr>
        <w:t xml:space="preserve">, ako aj </w:t>
      </w:r>
      <w:r w:rsidR="0070366C">
        <w:rPr>
          <w:rFonts w:ascii="Arial" w:hAnsi="Arial" w:cs="Arial"/>
          <w:b/>
          <w:sz w:val="20"/>
          <w:szCs w:val="20"/>
        </w:rPr>
        <w:t xml:space="preserve">vo vzťahu k vývoju totožného inštitútu v zahraničí </w:t>
      </w:r>
      <w:r w:rsidR="0070366C" w:rsidRPr="0070366C">
        <w:rPr>
          <w:rFonts w:ascii="Arial" w:hAnsi="Arial" w:cs="Arial"/>
          <w:sz w:val="20"/>
          <w:szCs w:val="20"/>
        </w:rPr>
        <w:t xml:space="preserve">prostredníctvom grafického zobrazenia. </w:t>
      </w:r>
    </w:p>
    <w:p w:rsidR="00754EE9" w:rsidRPr="000F2079" w:rsidRDefault="00DA205D" w:rsidP="00754EE9">
      <w:pPr>
        <w:pStyle w:val="Odsekzoznamu"/>
        <w:widowControl/>
        <w:shd w:val="clear" w:color="auto" w:fill="FFFFFF"/>
        <w:adjustRightInd/>
        <w:spacing w:after="0"/>
        <w:ind w:left="0"/>
        <w:jc w:val="both"/>
        <w:rPr>
          <w:rFonts w:ascii="Arial" w:hAnsi="Arial" w:cs="Arial"/>
          <w:b/>
          <w:bCs/>
          <w:i/>
          <w:sz w:val="20"/>
          <w:szCs w:val="20"/>
        </w:rPr>
      </w:pPr>
      <w:r w:rsidRPr="000F2079">
        <w:rPr>
          <w:rFonts w:ascii="Arial" w:hAnsi="Arial" w:cs="Arial"/>
          <w:b/>
          <w:bCs/>
          <w:i/>
          <w:sz w:val="20"/>
          <w:szCs w:val="20"/>
        </w:rPr>
        <w:t xml:space="preserve">b1) </w:t>
      </w:r>
      <w:r w:rsidR="00754EE9" w:rsidRPr="000F2079">
        <w:rPr>
          <w:rFonts w:ascii="Arial" w:hAnsi="Arial" w:cs="Arial"/>
          <w:b/>
          <w:bCs/>
          <w:i/>
          <w:sz w:val="20"/>
          <w:szCs w:val="20"/>
        </w:rPr>
        <w:t xml:space="preserve">štruktúra nákladov na úhradu </w:t>
      </w:r>
      <w:r w:rsidR="000F2079" w:rsidRPr="000F2079">
        <w:rPr>
          <w:rFonts w:ascii="Arial" w:hAnsi="Arial" w:cs="Arial"/>
          <w:b/>
          <w:bCs/>
          <w:i/>
          <w:sz w:val="20"/>
          <w:szCs w:val="20"/>
        </w:rPr>
        <w:t>základnej minimálnej mzdy jednému</w:t>
      </w:r>
      <w:r w:rsidR="00754EE9" w:rsidRPr="000F2079">
        <w:rPr>
          <w:rFonts w:ascii="Arial" w:hAnsi="Arial" w:cs="Arial"/>
          <w:b/>
          <w:bCs/>
          <w:i/>
          <w:sz w:val="20"/>
          <w:szCs w:val="20"/>
        </w:rPr>
        <w:t xml:space="preserve"> zamestnancovi v r. 2018 vs. 2019</w:t>
      </w:r>
    </w:p>
    <w:p w:rsidR="00754EE9" w:rsidRPr="000F2079" w:rsidRDefault="00754EE9" w:rsidP="00754EE9">
      <w:pPr>
        <w:pStyle w:val="Odsekzoznamu"/>
        <w:widowControl/>
        <w:shd w:val="clear" w:color="auto" w:fill="FFFFFF"/>
        <w:adjustRightInd/>
        <w:spacing w:after="0"/>
        <w:ind w:left="0"/>
        <w:jc w:val="both"/>
        <w:rPr>
          <w:rFonts w:ascii="Arial" w:hAnsi="Arial" w:cs="Arial"/>
          <w:b/>
          <w:bCs/>
          <w:i/>
          <w:sz w:val="20"/>
          <w:szCs w:val="20"/>
          <w:highlight w:val="yellow"/>
        </w:rPr>
      </w:pPr>
    </w:p>
    <w:p w:rsidR="00DA205D" w:rsidRPr="000F2079" w:rsidRDefault="00410FB0" w:rsidP="00754EE9">
      <w:pPr>
        <w:ind w:firstLine="708"/>
        <w:jc w:val="both"/>
        <w:rPr>
          <w:rFonts w:ascii="Arial" w:hAnsi="Arial" w:cs="Arial"/>
          <w:sz w:val="20"/>
          <w:szCs w:val="20"/>
          <w:highlight w:val="cyan"/>
        </w:rPr>
      </w:pPr>
      <w:r w:rsidRPr="000F2079">
        <w:rPr>
          <w:rFonts w:ascii="Arial" w:hAnsi="Arial" w:cs="Arial"/>
          <w:sz w:val="20"/>
          <w:szCs w:val="20"/>
        </w:rPr>
        <w:t>Zvýšenie minimálnej mzdy spôsobuje nielen zvýšenie čistého príjmu, ale aj zvýšenie odvodov a ceny práce.</w:t>
      </w:r>
      <w:r w:rsidR="00754EE9" w:rsidRPr="000F2079">
        <w:rPr>
          <w:rFonts w:ascii="Arial" w:hAnsi="Arial" w:cs="Arial"/>
          <w:sz w:val="20"/>
          <w:szCs w:val="20"/>
        </w:rPr>
        <w:t xml:space="preserve"> V nasledujúcej tabuľke porovnávame tieto údaje za rok 2018 a nadchádzajúci rok 2019.  </w:t>
      </w:r>
    </w:p>
    <w:tbl>
      <w:tblPr>
        <w:tblW w:w="9067" w:type="dxa"/>
        <w:tblInd w:w="75" w:type="dxa"/>
        <w:shd w:val="clear" w:color="auto" w:fill="BDD6EE"/>
        <w:tblCellMar>
          <w:left w:w="70" w:type="dxa"/>
          <w:right w:w="70" w:type="dxa"/>
        </w:tblCellMar>
        <w:tblLook w:val="04A0" w:firstRow="1" w:lastRow="0" w:firstColumn="1" w:lastColumn="0" w:noHBand="0" w:noVBand="1"/>
      </w:tblPr>
      <w:tblGrid>
        <w:gridCol w:w="3964"/>
        <w:gridCol w:w="1701"/>
        <w:gridCol w:w="1701"/>
        <w:gridCol w:w="1701"/>
      </w:tblGrid>
      <w:tr w:rsidR="00C03A7C" w:rsidRPr="000F2079" w:rsidTr="00B6131A">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rsidR="00BF0F02" w:rsidRPr="000F2079" w:rsidRDefault="00BF0F02" w:rsidP="00BF0F02">
            <w:pPr>
              <w:widowControl/>
              <w:adjustRightInd/>
              <w:spacing w:after="0" w:line="240" w:lineRule="auto"/>
              <w:rPr>
                <w:rFonts w:ascii="Arial" w:hAnsi="Arial" w:cs="Arial"/>
                <w:b/>
                <w:bCs/>
                <w:color w:val="000000"/>
                <w:sz w:val="20"/>
                <w:szCs w:val="20"/>
                <w:lang w:eastAsia="sk-SK"/>
              </w:rPr>
            </w:pPr>
            <w:r w:rsidRPr="000F2079">
              <w:rPr>
                <w:rFonts w:ascii="Arial" w:hAnsi="Arial" w:cs="Arial"/>
                <w:b/>
                <w:bCs/>
                <w:color w:val="000000"/>
                <w:sz w:val="20"/>
                <w:szCs w:val="20"/>
                <w:lang w:eastAsia="sk-SK"/>
              </w:rPr>
              <w:t> </w:t>
            </w:r>
          </w:p>
        </w:tc>
        <w:tc>
          <w:tcPr>
            <w:tcW w:w="1701" w:type="dxa"/>
            <w:tcBorders>
              <w:top w:val="single" w:sz="4" w:space="0" w:color="auto"/>
              <w:left w:val="nil"/>
              <w:bottom w:val="single" w:sz="4" w:space="0" w:color="auto"/>
              <w:right w:val="single" w:sz="4" w:space="0" w:color="auto"/>
            </w:tcBorders>
            <w:shd w:val="clear" w:color="auto" w:fill="BDD6EE"/>
            <w:noWrap/>
            <w:vAlign w:val="center"/>
            <w:hideMark/>
          </w:tcPr>
          <w:p w:rsidR="00BF0F02" w:rsidRPr="000F2079" w:rsidRDefault="00BF0F02" w:rsidP="00BF0F02">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2018</w:t>
            </w:r>
          </w:p>
        </w:tc>
        <w:tc>
          <w:tcPr>
            <w:tcW w:w="1701" w:type="dxa"/>
            <w:tcBorders>
              <w:top w:val="single" w:sz="4" w:space="0" w:color="auto"/>
              <w:left w:val="nil"/>
              <w:bottom w:val="single" w:sz="4" w:space="0" w:color="auto"/>
              <w:right w:val="single" w:sz="4" w:space="0" w:color="auto"/>
            </w:tcBorders>
            <w:shd w:val="clear" w:color="auto" w:fill="BDD6EE"/>
            <w:noWrap/>
            <w:vAlign w:val="center"/>
            <w:hideMark/>
          </w:tcPr>
          <w:p w:rsidR="00BF0F02" w:rsidRPr="000F2079" w:rsidRDefault="00BF0F02" w:rsidP="00BF0F02">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2019</w:t>
            </w:r>
          </w:p>
        </w:tc>
        <w:tc>
          <w:tcPr>
            <w:tcW w:w="1701" w:type="dxa"/>
            <w:tcBorders>
              <w:top w:val="single" w:sz="4" w:space="0" w:color="auto"/>
              <w:left w:val="nil"/>
              <w:bottom w:val="single" w:sz="4" w:space="0" w:color="auto"/>
              <w:right w:val="single" w:sz="4" w:space="0" w:color="auto"/>
            </w:tcBorders>
            <w:shd w:val="clear" w:color="auto" w:fill="BDD6EE"/>
            <w:noWrap/>
            <w:vAlign w:val="bottom"/>
            <w:hideMark/>
          </w:tcPr>
          <w:p w:rsidR="00BF0F02" w:rsidRPr="000F2079" w:rsidRDefault="00BF0F02" w:rsidP="00BF0F02">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Nárast</w:t>
            </w:r>
          </w:p>
        </w:tc>
      </w:tr>
      <w:tr w:rsidR="00C03A7C" w:rsidRPr="000F2079" w:rsidTr="00B6131A">
        <w:trPr>
          <w:trHeight w:val="300"/>
        </w:trPr>
        <w:tc>
          <w:tcPr>
            <w:tcW w:w="3964" w:type="dxa"/>
            <w:tcBorders>
              <w:top w:val="nil"/>
              <w:left w:val="single" w:sz="4" w:space="0" w:color="auto"/>
              <w:bottom w:val="single" w:sz="4" w:space="0" w:color="auto"/>
              <w:right w:val="single" w:sz="4" w:space="0" w:color="auto"/>
            </w:tcBorders>
            <w:shd w:val="clear" w:color="auto" w:fill="DEEAF6"/>
            <w:noWrap/>
            <w:vAlign w:val="bottom"/>
            <w:hideMark/>
          </w:tcPr>
          <w:p w:rsidR="00BF0F02" w:rsidRPr="000F2079" w:rsidRDefault="00BF0F02" w:rsidP="00BF0F02">
            <w:pPr>
              <w:widowControl/>
              <w:adjustRightInd/>
              <w:spacing w:after="0" w:line="240" w:lineRule="auto"/>
              <w:rPr>
                <w:rFonts w:ascii="Arial" w:hAnsi="Arial" w:cs="Arial"/>
                <w:b/>
                <w:bCs/>
                <w:color w:val="000000"/>
                <w:sz w:val="20"/>
                <w:szCs w:val="20"/>
                <w:lang w:eastAsia="sk-SK"/>
              </w:rPr>
            </w:pPr>
            <w:r w:rsidRPr="000F2079">
              <w:rPr>
                <w:rFonts w:ascii="Arial" w:hAnsi="Arial" w:cs="Arial"/>
                <w:b/>
                <w:bCs/>
                <w:color w:val="000000"/>
                <w:sz w:val="20"/>
                <w:szCs w:val="20"/>
                <w:lang w:eastAsia="sk-SK"/>
              </w:rPr>
              <w:t>Minimálna mesačná mzda pre 1. stupeň náročnosti práce</w:t>
            </w:r>
          </w:p>
        </w:tc>
        <w:tc>
          <w:tcPr>
            <w:tcW w:w="1701" w:type="dxa"/>
            <w:tcBorders>
              <w:top w:val="nil"/>
              <w:left w:val="nil"/>
              <w:bottom w:val="single" w:sz="4" w:space="0" w:color="auto"/>
              <w:right w:val="single" w:sz="4" w:space="0" w:color="auto"/>
            </w:tcBorders>
            <w:shd w:val="clear" w:color="auto" w:fill="DEEAF6"/>
            <w:noWrap/>
            <w:vAlign w:val="center"/>
            <w:hideMark/>
          </w:tcPr>
          <w:p w:rsidR="00BF0F02" w:rsidRPr="000F2079" w:rsidRDefault="00BF0F02" w:rsidP="00BF0F02">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480,00 €</w:t>
            </w:r>
          </w:p>
        </w:tc>
        <w:tc>
          <w:tcPr>
            <w:tcW w:w="1701" w:type="dxa"/>
            <w:tcBorders>
              <w:top w:val="nil"/>
              <w:left w:val="nil"/>
              <w:bottom w:val="single" w:sz="4" w:space="0" w:color="auto"/>
              <w:right w:val="single" w:sz="4" w:space="0" w:color="auto"/>
            </w:tcBorders>
            <w:shd w:val="clear" w:color="auto" w:fill="DEEAF6"/>
            <w:noWrap/>
            <w:vAlign w:val="center"/>
            <w:hideMark/>
          </w:tcPr>
          <w:p w:rsidR="00BF0F02" w:rsidRPr="000F2079" w:rsidRDefault="00BF0F02" w:rsidP="00BF0F02">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520,00 €</w:t>
            </w:r>
          </w:p>
        </w:tc>
        <w:tc>
          <w:tcPr>
            <w:tcW w:w="1701" w:type="dxa"/>
            <w:tcBorders>
              <w:top w:val="nil"/>
              <w:left w:val="nil"/>
              <w:bottom w:val="single" w:sz="4" w:space="0" w:color="auto"/>
              <w:right w:val="single" w:sz="4" w:space="0" w:color="auto"/>
            </w:tcBorders>
            <w:shd w:val="clear" w:color="auto" w:fill="DEEAF6"/>
            <w:noWrap/>
            <w:vAlign w:val="bottom"/>
            <w:hideMark/>
          </w:tcPr>
          <w:p w:rsidR="00BF0F02" w:rsidRPr="000F2079" w:rsidRDefault="00BF0F02" w:rsidP="00BF0F02">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+40 €</w:t>
            </w:r>
          </w:p>
        </w:tc>
      </w:tr>
      <w:tr w:rsidR="00C03A7C" w:rsidRPr="000F2079" w:rsidTr="00B6131A">
        <w:trPr>
          <w:trHeight w:val="300"/>
        </w:trPr>
        <w:tc>
          <w:tcPr>
            <w:tcW w:w="3964" w:type="dxa"/>
            <w:tcBorders>
              <w:top w:val="nil"/>
              <w:left w:val="single" w:sz="4" w:space="0" w:color="auto"/>
              <w:bottom w:val="single" w:sz="4" w:space="0" w:color="auto"/>
              <w:right w:val="single" w:sz="4" w:space="0" w:color="auto"/>
            </w:tcBorders>
            <w:shd w:val="clear" w:color="auto" w:fill="DEEAF6"/>
            <w:noWrap/>
            <w:vAlign w:val="bottom"/>
            <w:hideMark/>
          </w:tcPr>
          <w:p w:rsidR="00BF0F02" w:rsidRPr="000F2079" w:rsidRDefault="00BF0F02" w:rsidP="00BF0F02">
            <w:pPr>
              <w:widowControl/>
              <w:adjustRightInd/>
              <w:spacing w:after="0" w:line="240" w:lineRule="auto"/>
              <w:rPr>
                <w:rFonts w:ascii="Arial" w:hAnsi="Arial" w:cs="Arial"/>
                <w:b/>
                <w:bCs/>
                <w:color w:val="000000"/>
                <w:sz w:val="20"/>
                <w:szCs w:val="20"/>
                <w:lang w:eastAsia="sk-SK"/>
              </w:rPr>
            </w:pPr>
            <w:r w:rsidRPr="000F2079">
              <w:rPr>
                <w:rFonts w:ascii="Arial" w:hAnsi="Arial" w:cs="Arial"/>
                <w:b/>
                <w:bCs/>
                <w:color w:val="000000"/>
                <w:sz w:val="20"/>
                <w:szCs w:val="20"/>
                <w:lang w:eastAsia="sk-SK"/>
              </w:rPr>
              <w:t>Odvody platené zamestnávateľom</w:t>
            </w:r>
          </w:p>
        </w:tc>
        <w:tc>
          <w:tcPr>
            <w:tcW w:w="1701" w:type="dxa"/>
            <w:tcBorders>
              <w:top w:val="nil"/>
              <w:left w:val="nil"/>
              <w:bottom w:val="single" w:sz="4" w:space="0" w:color="auto"/>
              <w:right w:val="single" w:sz="4" w:space="0" w:color="auto"/>
            </w:tcBorders>
            <w:shd w:val="clear" w:color="auto" w:fill="DEEAF6"/>
            <w:noWrap/>
            <w:vAlign w:val="center"/>
            <w:hideMark/>
          </w:tcPr>
          <w:p w:rsidR="00BF0F02" w:rsidRPr="000F2079" w:rsidRDefault="00BF0F02" w:rsidP="00BF0F02">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168,96 €</w:t>
            </w:r>
          </w:p>
        </w:tc>
        <w:tc>
          <w:tcPr>
            <w:tcW w:w="1701" w:type="dxa"/>
            <w:tcBorders>
              <w:top w:val="nil"/>
              <w:left w:val="nil"/>
              <w:bottom w:val="single" w:sz="4" w:space="0" w:color="auto"/>
              <w:right w:val="single" w:sz="4" w:space="0" w:color="auto"/>
            </w:tcBorders>
            <w:shd w:val="clear" w:color="auto" w:fill="DEEAF6"/>
            <w:noWrap/>
            <w:vAlign w:val="center"/>
            <w:hideMark/>
          </w:tcPr>
          <w:p w:rsidR="00BF0F02" w:rsidRPr="000F2079" w:rsidRDefault="00BF0F02" w:rsidP="00BF0F02">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183,04 €</w:t>
            </w:r>
          </w:p>
        </w:tc>
        <w:tc>
          <w:tcPr>
            <w:tcW w:w="1701" w:type="dxa"/>
            <w:tcBorders>
              <w:top w:val="nil"/>
              <w:left w:val="nil"/>
              <w:bottom w:val="single" w:sz="4" w:space="0" w:color="auto"/>
              <w:right w:val="single" w:sz="4" w:space="0" w:color="auto"/>
            </w:tcBorders>
            <w:shd w:val="clear" w:color="auto" w:fill="DEEAF6"/>
            <w:noWrap/>
            <w:vAlign w:val="bottom"/>
            <w:hideMark/>
          </w:tcPr>
          <w:p w:rsidR="00BF0F02" w:rsidRPr="000F2079" w:rsidRDefault="00BF0F02" w:rsidP="00BF0F02">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+14,08 €</w:t>
            </w:r>
          </w:p>
        </w:tc>
      </w:tr>
      <w:tr w:rsidR="00C03A7C" w:rsidRPr="000F2079" w:rsidTr="00B6131A">
        <w:trPr>
          <w:trHeight w:val="300"/>
        </w:trPr>
        <w:tc>
          <w:tcPr>
            <w:tcW w:w="3964" w:type="dxa"/>
            <w:tcBorders>
              <w:top w:val="nil"/>
              <w:left w:val="single" w:sz="4" w:space="0" w:color="auto"/>
              <w:bottom w:val="single" w:sz="4" w:space="0" w:color="auto"/>
              <w:right w:val="single" w:sz="4" w:space="0" w:color="auto"/>
            </w:tcBorders>
            <w:shd w:val="clear" w:color="auto" w:fill="DEEAF6"/>
            <w:noWrap/>
            <w:vAlign w:val="bottom"/>
            <w:hideMark/>
          </w:tcPr>
          <w:p w:rsidR="00BF0F02" w:rsidRPr="000F2079" w:rsidRDefault="00BF0F02" w:rsidP="00BF0F02">
            <w:pPr>
              <w:widowControl/>
              <w:adjustRightInd/>
              <w:spacing w:after="0" w:line="240" w:lineRule="auto"/>
              <w:rPr>
                <w:rFonts w:ascii="Arial" w:hAnsi="Arial" w:cs="Arial"/>
                <w:b/>
                <w:bCs/>
                <w:color w:val="000000"/>
                <w:sz w:val="20"/>
                <w:szCs w:val="20"/>
                <w:lang w:eastAsia="sk-SK"/>
              </w:rPr>
            </w:pPr>
            <w:r w:rsidRPr="000F2079">
              <w:rPr>
                <w:rFonts w:ascii="Arial" w:hAnsi="Arial" w:cs="Arial"/>
                <w:b/>
                <w:bCs/>
                <w:color w:val="000000"/>
                <w:sz w:val="20"/>
                <w:szCs w:val="20"/>
                <w:lang w:eastAsia="sk-SK"/>
              </w:rPr>
              <w:t>Čistý príjem zamestnanca</w:t>
            </w:r>
            <w:r w:rsidR="00D25974">
              <w:rPr>
                <w:rStyle w:val="Odkaznapoznmkupodiarou"/>
                <w:rFonts w:ascii="Arial" w:hAnsi="Arial" w:cs="Arial"/>
                <w:b/>
                <w:bCs/>
                <w:color w:val="000000"/>
                <w:sz w:val="20"/>
                <w:szCs w:val="20"/>
                <w:lang w:eastAsia="sk-SK"/>
              </w:rPr>
              <w:footnoteReference w:id="1"/>
            </w:r>
          </w:p>
        </w:tc>
        <w:tc>
          <w:tcPr>
            <w:tcW w:w="1701" w:type="dxa"/>
            <w:tcBorders>
              <w:top w:val="nil"/>
              <w:left w:val="nil"/>
              <w:bottom w:val="single" w:sz="4" w:space="0" w:color="auto"/>
              <w:right w:val="single" w:sz="4" w:space="0" w:color="auto"/>
            </w:tcBorders>
            <w:shd w:val="clear" w:color="auto" w:fill="DEEAF6"/>
            <w:noWrap/>
            <w:vAlign w:val="center"/>
            <w:hideMark/>
          </w:tcPr>
          <w:p w:rsidR="00BF0F02" w:rsidRPr="00787D4D" w:rsidRDefault="00955F95" w:rsidP="00BF0F02">
            <w:pPr>
              <w:widowControl/>
              <w:adjustRightInd/>
              <w:spacing w:after="0" w:line="240" w:lineRule="auto"/>
              <w:jc w:val="center"/>
              <w:rPr>
                <w:rFonts w:ascii="Arial" w:hAnsi="Arial" w:cs="Arial"/>
                <w:sz w:val="20"/>
                <w:szCs w:val="20"/>
                <w:lang w:eastAsia="sk-SK"/>
              </w:rPr>
            </w:pPr>
            <w:r w:rsidRPr="00787D4D">
              <w:rPr>
                <w:rFonts w:ascii="Arial" w:hAnsi="Arial" w:cs="Arial"/>
                <w:sz w:val="20"/>
                <w:szCs w:val="20"/>
                <w:lang w:eastAsia="sk-SK"/>
              </w:rPr>
              <w:t>403,18</w:t>
            </w:r>
            <w:r w:rsidR="00BF0F02" w:rsidRPr="00787D4D">
              <w:rPr>
                <w:rFonts w:ascii="Arial" w:hAnsi="Arial" w:cs="Arial"/>
                <w:sz w:val="20"/>
                <w:szCs w:val="20"/>
                <w:lang w:eastAsia="sk-SK"/>
              </w:rPr>
              <w:t xml:space="preserve"> €</w:t>
            </w:r>
          </w:p>
        </w:tc>
        <w:tc>
          <w:tcPr>
            <w:tcW w:w="1701" w:type="dxa"/>
            <w:tcBorders>
              <w:top w:val="nil"/>
              <w:left w:val="nil"/>
              <w:bottom w:val="single" w:sz="4" w:space="0" w:color="auto"/>
              <w:right w:val="single" w:sz="4" w:space="0" w:color="auto"/>
            </w:tcBorders>
            <w:shd w:val="clear" w:color="auto" w:fill="DEEAF6"/>
            <w:noWrap/>
            <w:vAlign w:val="center"/>
            <w:hideMark/>
          </w:tcPr>
          <w:p w:rsidR="00BF0F02" w:rsidRPr="00787D4D" w:rsidRDefault="002B22D5" w:rsidP="00BF0F02">
            <w:pPr>
              <w:widowControl/>
              <w:adjustRightInd/>
              <w:spacing w:after="0" w:line="240" w:lineRule="auto"/>
              <w:jc w:val="center"/>
              <w:rPr>
                <w:rFonts w:ascii="Arial" w:hAnsi="Arial" w:cs="Arial"/>
                <w:sz w:val="20"/>
                <w:szCs w:val="20"/>
                <w:lang w:eastAsia="sk-SK"/>
              </w:rPr>
            </w:pPr>
            <w:r w:rsidRPr="00787D4D">
              <w:rPr>
                <w:rFonts w:ascii="Arial" w:hAnsi="Arial" w:cs="Arial"/>
                <w:sz w:val="20"/>
                <w:szCs w:val="20"/>
                <w:lang w:eastAsia="sk-SK"/>
              </w:rPr>
              <w:t>430,35</w:t>
            </w:r>
            <w:r w:rsidR="00BF0F02" w:rsidRPr="00787D4D">
              <w:rPr>
                <w:rFonts w:ascii="Arial" w:hAnsi="Arial" w:cs="Arial"/>
                <w:sz w:val="20"/>
                <w:szCs w:val="20"/>
                <w:lang w:eastAsia="sk-SK"/>
              </w:rPr>
              <w:t xml:space="preserve"> €</w:t>
            </w:r>
          </w:p>
        </w:tc>
        <w:tc>
          <w:tcPr>
            <w:tcW w:w="1701" w:type="dxa"/>
            <w:tcBorders>
              <w:top w:val="nil"/>
              <w:left w:val="nil"/>
              <w:bottom w:val="single" w:sz="4" w:space="0" w:color="auto"/>
              <w:right w:val="single" w:sz="4" w:space="0" w:color="auto"/>
            </w:tcBorders>
            <w:shd w:val="clear" w:color="auto" w:fill="DEEAF6"/>
            <w:noWrap/>
            <w:vAlign w:val="bottom"/>
            <w:hideMark/>
          </w:tcPr>
          <w:p w:rsidR="00BF0F02" w:rsidRPr="00787D4D" w:rsidRDefault="002B22D5" w:rsidP="00BF0F02">
            <w:pPr>
              <w:widowControl/>
              <w:adjustRightInd/>
              <w:spacing w:after="0" w:line="240" w:lineRule="auto"/>
              <w:jc w:val="center"/>
              <w:rPr>
                <w:rFonts w:ascii="Arial" w:hAnsi="Arial" w:cs="Arial"/>
                <w:b/>
                <w:bCs/>
                <w:sz w:val="20"/>
                <w:szCs w:val="20"/>
                <w:lang w:eastAsia="sk-SK"/>
              </w:rPr>
            </w:pPr>
            <w:r w:rsidRPr="00787D4D">
              <w:rPr>
                <w:rFonts w:ascii="Arial" w:hAnsi="Arial" w:cs="Arial"/>
                <w:b/>
                <w:bCs/>
                <w:sz w:val="20"/>
                <w:szCs w:val="20"/>
                <w:lang w:eastAsia="sk-SK"/>
              </w:rPr>
              <w:t>+27,17</w:t>
            </w:r>
            <w:r w:rsidR="00BF0F02" w:rsidRPr="00787D4D">
              <w:rPr>
                <w:rFonts w:ascii="Arial" w:hAnsi="Arial" w:cs="Arial"/>
                <w:b/>
                <w:bCs/>
                <w:sz w:val="20"/>
                <w:szCs w:val="20"/>
                <w:lang w:eastAsia="sk-SK"/>
              </w:rPr>
              <w:t xml:space="preserve"> €</w:t>
            </w:r>
          </w:p>
        </w:tc>
      </w:tr>
      <w:tr w:rsidR="00C03A7C" w:rsidRPr="000F2079" w:rsidTr="00B6131A">
        <w:trPr>
          <w:trHeight w:val="300"/>
        </w:trPr>
        <w:tc>
          <w:tcPr>
            <w:tcW w:w="3964" w:type="dxa"/>
            <w:tcBorders>
              <w:top w:val="nil"/>
              <w:left w:val="single" w:sz="4" w:space="0" w:color="auto"/>
              <w:bottom w:val="single" w:sz="4" w:space="0" w:color="auto"/>
              <w:right w:val="single" w:sz="4" w:space="0" w:color="auto"/>
            </w:tcBorders>
            <w:shd w:val="clear" w:color="auto" w:fill="DEEAF6"/>
            <w:noWrap/>
            <w:vAlign w:val="bottom"/>
            <w:hideMark/>
          </w:tcPr>
          <w:p w:rsidR="00BF0F02" w:rsidRPr="000F2079" w:rsidRDefault="00BF0F02" w:rsidP="00BF0F02">
            <w:pPr>
              <w:widowControl/>
              <w:adjustRightInd/>
              <w:spacing w:after="0" w:line="240" w:lineRule="auto"/>
              <w:rPr>
                <w:rFonts w:ascii="Arial" w:hAnsi="Arial" w:cs="Arial"/>
                <w:b/>
                <w:bCs/>
                <w:color w:val="000000"/>
                <w:sz w:val="20"/>
                <w:szCs w:val="20"/>
                <w:lang w:eastAsia="sk-SK"/>
              </w:rPr>
            </w:pPr>
            <w:r w:rsidRPr="000F2079">
              <w:rPr>
                <w:rFonts w:ascii="Arial" w:hAnsi="Arial" w:cs="Arial"/>
                <w:b/>
                <w:bCs/>
                <w:color w:val="000000"/>
                <w:sz w:val="20"/>
                <w:szCs w:val="20"/>
                <w:lang w:eastAsia="sk-SK"/>
              </w:rPr>
              <w:t>Cena práce (hrubá mzda + odvody)</w:t>
            </w:r>
          </w:p>
        </w:tc>
        <w:tc>
          <w:tcPr>
            <w:tcW w:w="1701" w:type="dxa"/>
            <w:tcBorders>
              <w:top w:val="nil"/>
              <w:left w:val="nil"/>
              <w:bottom w:val="single" w:sz="4" w:space="0" w:color="auto"/>
              <w:right w:val="single" w:sz="4" w:space="0" w:color="auto"/>
            </w:tcBorders>
            <w:shd w:val="clear" w:color="auto" w:fill="DEEAF6"/>
            <w:noWrap/>
            <w:vAlign w:val="center"/>
            <w:hideMark/>
          </w:tcPr>
          <w:p w:rsidR="00BF0F02" w:rsidRPr="000F2079" w:rsidRDefault="00BF0F02" w:rsidP="00BF0F02">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648,96 €</w:t>
            </w:r>
          </w:p>
        </w:tc>
        <w:tc>
          <w:tcPr>
            <w:tcW w:w="1701" w:type="dxa"/>
            <w:tcBorders>
              <w:top w:val="nil"/>
              <w:left w:val="nil"/>
              <w:bottom w:val="single" w:sz="4" w:space="0" w:color="auto"/>
              <w:right w:val="single" w:sz="4" w:space="0" w:color="auto"/>
            </w:tcBorders>
            <w:shd w:val="clear" w:color="auto" w:fill="DEEAF6"/>
            <w:noWrap/>
            <w:vAlign w:val="center"/>
            <w:hideMark/>
          </w:tcPr>
          <w:p w:rsidR="00BF0F02" w:rsidRPr="000F2079" w:rsidRDefault="00BF0F02" w:rsidP="00BF0F02">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703,04 €</w:t>
            </w:r>
          </w:p>
        </w:tc>
        <w:tc>
          <w:tcPr>
            <w:tcW w:w="1701" w:type="dxa"/>
            <w:tcBorders>
              <w:top w:val="nil"/>
              <w:left w:val="nil"/>
              <w:bottom w:val="single" w:sz="4" w:space="0" w:color="auto"/>
              <w:right w:val="single" w:sz="4" w:space="0" w:color="auto"/>
            </w:tcBorders>
            <w:shd w:val="clear" w:color="auto" w:fill="DEEAF6"/>
            <w:noWrap/>
            <w:vAlign w:val="bottom"/>
            <w:hideMark/>
          </w:tcPr>
          <w:p w:rsidR="00BF0F02" w:rsidRPr="000F2079" w:rsidRDefault="00BF0F02" w:rsidP="00BF0F02">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+54,08 €</w:t>
            </w:r>
          </w:p>
        </w:tc>
      </w:tr>
      <w:tr w:rsidR="00C03A7C" w:rsidRPr="000F2079" w:rsidTr="00B6131A">
        <w:trPr>
          <w:trHeight w:val="300"/>
        </w:trPr>
        <w:tc>
          <w:tcPr>
            <w:tcW w:w="3964" w:type="dxa"/>
            <w:tcBorders>
              <w:top w:val="nil"/>
              <w:left w:val="single" w:sz="4" w:space="0" w:color="auto"/>
              <w:bottom w:val="single" w:sz="4" w:space="0" w:color="auto"/>
              <w:right w:val="single" w:sz="4" w:space="0" w:color="auto"/>
            </w:tcBorders>
            <w:shd w:val="clear" w:color="auto" w:fill="DEEAF6"/>
            <w:noWrap/>
            <w:vAlign w:val="bottom"/>
            <w:hideMark/>
          </w:tcPr>
          <w:p w:rsidR="00BF0F02" w:rsidRPr="000F2079" w:rsidRDefault="00BF0F02" w:rsidP="00BF0F02">
            <w:pPr>
              <w:widowControl/>
              <w:adjustRightInd/>
              <w:spacing w:after="0" w:line="240" w:lineRule="auto"/>
              <w:rPr>
                <w:rFonts w:ascii="Arial" w:hAnsi="Arial" w:cs="Arial"/>
                <w:b/>
                <w:bCs/>
                <w:color w:val="000000"/>
                <w:sz w:val="20"/>
                <w:szCs w:val="20"/>
                <w:lang w:eastAsia="sk-SK"/>
              </w:rPr>
            </w:pPr>
            <w:r w:rsidRPr="000F2079">
              <w:rPr>
                <w:rFonts w:ascii="Arial" w:hAnsi="Arial" w:cs="Arial"/>
                <w:b/>
                <w:bCs/>
                <w:color w:val="000000"/>
                <w:sz w:val="20"/>
                <w:szCs w:val="20"/>
                <w:lang w:eastAsia="sk-SK"/>
              </w:rPr>
              <w:t>Celkové platby štátu (odvody do SP, ZP a daňovému úradu)</w:t>
            </w:r>
          </w:p>
        </w:tc>
        <w:tc>
          <w:tcPr>
            <w:tcW w:w="1701" w:type="dxa"/>
            <w:tcBorders>
              <w:top w:val="nil"/>
              <w:left w:val="nil"/>
              <w:bottom w:val="single" w:sz="4" w:space="0" w:color="auto"/>
              <w:right w:val="single" w:sz="4" w:space="0" w:color="auto"/>
            </w:tcBorders>
            <w:shd w:val="clear" w:color="auto" w:fill="DEEAF6"/>
            <w:noWrap/>
            <w:vAlign w:val="center"/>
            <w:hideMark/>
          </w:tcPr>
          <w:p w:rsidR="00BF0F02" w:rsidRPr="00787D4D" w:rsidRDefault="00F6408A" w:rsidP="00BF0F02">
            <w:pPr>
              <w:widowControl/>
              <w:adjustRightInd/>
              <w:spacing w:after="0" w:line="240" w:lineRule="auto"/>
              <w:jc w:val="center"/>
              <w:rPr>
                <w:rFonts w:ascii="Arial" w:hAnsi="Arial" w:cs="Arial"/>
                <w:sz w:val="20"/>
                <w:szCs w:val="20"/>
                <w:lang w:eastAsia="sk-SK"/>
              </w:rPr>
            </w:pPr>
            <w:r w:rsidRPr="00787D4D">
              <w:rPr>
                <w:rFonts w:ascii="Arial" w:hAnsi="Arial" w:cs="Arial"/>
                <w:sz w:val="20"/>
                <w:szCs w:val="20"/>
                <w:lang w:eastAsia="sk-SK"/>
              </w:rPr>
              <w:t>245,78</w:t>
            </w:r>
            <w:r w:rsidR="00BF0F02" w:rsidRPr="00787D4D">
              <w:rPr>
                <w:rFonts w:ascii="Arial" w:hAnsi="Arial" w:cs="Arial"/>
                <w:sz w:val="20"/>
                <w:szCs w:val="20"/>
                <w:lang w:eastAsia="sk-SK"/>
              </w:rPr>
              <w:t xml:space="preserve"> €</w:t>
            </w:r>
          </w:p>
        </w:tc>
        <w:tc>
          <w:tcPr>
            <w:tcW w:w="1701" w:type="dxa"/>
            <w:tcBorders>
              <w:top w:val="nil"/>
              <w:left w:val="nil"/>
              <w:bottom w:val="single" w:sz="4" w:space="0" w:color="auto"/>
              <w:right w:val="single" w:sz="4" w:space="0" w:color="auto"/>
            </w:tcBorders>
            <w:shd w:val="clear" w:color="auto" w:fill="DEEAF6"/>
            <w:noWrap/>
            <w:vAlign w:val="center"/>
            <w:hideMark/>
          </w:tcPr>
          <w:p w:rsidR="00BF0F02" w:rsidRPr="00787D4D" w:rsidRDefault="002B22D5" w:rsidP="00BF0F02">
            <w:pPr>
              <w:widowControl/>
              <w:adjustRightInd/>
              <w:spacing w:after="0" w:line="240" w:lineRule="auto"/>
              <w:jc w:val="center"/>
              <w:rPr>
                <w:rFonts w:ascii="Arial" w:hAnsi="Arial" w:cs="Arial"/>
                <w:sz w:val="20"/>
                <w:szCs w:val="20"/>
                <w:lang w:eastAsia="sk-SK"/>
              </w:rPr>
            </w:pPr>
            <w:r w:rsidRPr="00787D4D">
              <w:rPr>
                <w:rFonts w:ascii="Arial" w:hAnsi="Arial" w:cs="Arial"/>
                <w:sz w:val="20"/>
                <w:szCs w:val="20"/>
                <w:lang w:eastAsia="sk-SK"/>
              </w:rPr>
              <w:t>272,69</w:t>
            </w:r>
            <w:r w:rsidR="00BF0F02" w:rsidRPr="00787D4D">
              <w:rPr>
                <w:rFonts w:ascii="Arial" w:hAnsi="Arial" w:cs="Arial"/>
                <w:sz w:val="20"/>
                <w:szCs w:val="20"/>
                <w:lang w:eastAsia="sk-SK"/>
              </w:rPr>
              <w:t xml:space="preserve"> €</w:t>
            </w:r>
          </w:p>
        </w:tc>
        <w:tc>
          <w:tcPr>
            <w:tcW w:w="1701" w:type="dxa"/>
            <w:tcBorders>
              <w:top w:val="nil"/>
              <w:left w:val="nil"/>
              <w:bottom w:val="single" w:sz="4" w:space="0" w:color="auto"/>
              <w:right w:val="single" w:sz="4" w:space="0" w:color="auto"/>
            </w:tcBorders>
            <w:shd w:val="clear" w:color="auto" w:fill="DEEAF6"/>
            <w:noWrap/>
            <w:vAlign w:val="bottom"/>
            <w:hideMark/>
          </w:tcPr>
          <w:p w:rsidR="00BF0F02" w:rsidRPr="00787D4D" w:rsidRDefault="002B22D5" w:rsidP="00BF0F02">
            <w:pPr>
              <w:widowControl/>
              <w:adjustRightInd/>
              <w:spacing w:after="0" w:line="240" w:lineRule="auto"/>
              <w:jc w:val="center"/>
              <w:rPr>
                <w:rFonts w:ascii="Arial" w:hAnsi="Arial" w:cs="Arial"/>
                <w:b/>
                <w:bCs/>
                <w:sz w:val="20"/>
                <w:szCs w:val="20"/>
                <w:lang w:eastAsia="sk-SK"/>
              </w:rPr>
            </w:pPr>
            <w:r w:rsidRPr="00787D4D">
              <w:rPr>
                <w:rFonts w:ascii="Arial" w:hAnsi="Arial" w:cs="Arial"/>
                <w:b/>
                <w:bCs/>
                <w:sz w:val="20"/>
                <w:szCs w:val="20"/>
                <w:lang w:eastAsia="sk-SK"/>
              </w:rPr>
              <w:t>+26,91</w:t>
            </w:r>
            <w:r w:rsidR="00BF0F02" w:rsidRPr="00787D4D">
              <w:rPr>
                <w:rFonts w:ascii="Arial" w:hAnsi="Arial" w:cs="Arial"/>
                <w:b/>
                <w:bCs/>
                <w:sz w:val="20"/>
                <w:szCs w:val="20"/>
                <w:lang w:eastAsia="sk-SK"/>
              </w:rPr>
              <w:t xml:space="preserve"> €</w:t>
            </w:r>
          </w:p>
        </w:tc>
      </w:tr>
    </w:tbl>
    <w:p w:rsidR="00DA205D" w:rsidRDefault="00DB4E78" w:rsidP="008D5F61">
      <w:pPr>
        <w:ind w:firstLine="360"/>
        <w:jc w:val="both"/>
        <w:rPr>
          <w:rFonts w:ascii="Arial" w:hAnsi="Arial" w:cs="Arial"/>
          <w:sz w:val="20"/>
          <w:szCs w:val="20"/>
        </w:rPr>
      </w:pPr>
      <w:r w:rsidRPr="000F2079">
        <w:rPr>
          <w:rFonts w:ascii="Arial" w:hAnsi="Arial" w:cs="Arial"/>
          <w:sz w:val="20"/>
          <w:szCs w:val="20"/>
        </w:rPr>
        <w:t>Tabuľka č. 1: Porovnanie štruktúry nákladov na úhradu minimálnej mzdy 1 zamestnancovi</w:t>
      </w:r>
    </w:p>
    <w:p w:rsidR="000F2079" w:rsidRPr="000F2079" w:rsidRDefault="000F2079" w:rsidP="000F2079">
      <w:pPr>
        <w:jc w:val="both"/>
        <w:rPr>
          <w:rFonts w:ascii="Arial" w:hAnsi="Arial" w:cs="Arial"/>
          <w:b/>
          <w:i/>
          <w:sz w:val="20"/>
          <w:szCs w:val="20"/>
        </w:rPr>
      </w:pPr>
      <w:r w:rsidRPr="000F2079">
        <w:rPr>
          <w:rFonts w:ascii="Arial" w:hAnsi="Arial" w:cs="Arial"/>
          <w:b/>
          <w:i/>
          <w:sz w:val="20"/>
          <w:szCs w:val="20"/>
        </w:rPr>
        <w:t xml:space="preserve">b2) </w:t>
      </w:r>
      <w:r>
        <w:rPr>
          <w:rFonts w:ascii="Arial" w:hAnsi="Arial" w:cs="Arial"/>
          <w:b/>
          <w:i/>
          <w:sz w:val="20"/>
          <w:szCs w:val="20"/>
        </w:rPr>
        <w:t xml:space="preserve">celkové </w:t>
      </w:r>
      <w:r w:rsidRPr="000F2079">
        <w:rPr>
          <w:rFonts w:ascii="Arial" w:hAnsi="Arial" w:cs="Arial"/>
          <w:b/>
          <w:i/>
          <w:sz w:val="20"/>
          <w:szCs w:val="20"/>
        </w:rPr>
        <w:t xml:space="preserve">náklady </w:t>
      </w:r>
      <w:r w:rsidR="002F1D44">
        <w:rPr>
          <w:rFonts w:ascii="Arial" w:hAnsi="Arial" w:cs="Arial"/>
          <w:b/>
          <w:i/>
          <w:sz w:val="20"/>
          <w:szCs w:val="20"/>
        </w:rPr>
        <w:t xml:space="preserve">slovenských MSP na vyplácanie minimálnej mzdy za rok 2019 </w:t>
      </w:r>
    </w:p>
    <w:p w:rsidR="006F0AC2" w:rsidRDefault="00E61035" w:rsidP="000F2079">
      <w:pPr>
        <w:ind w:firstLine="708"/>
        <w:jc w:val="both"/>
        <w:rPr>
          <w:rFonts w:ascii="Arial" w:hAnsi="Arial" w:cs="Arial"/>
          <w:sz w:val="20"/>
          <w:szCs w:val="20"/>
        </w:rPr>
      </w:pPr>
      <w:r w:rsidRPr="000F2079">
        <w:rPr>
          <w:rFonts w:ascii="Arial" w:hAnsi="Arial" w:cs="Arial"/>
          <w:sz w:val="20"/>
          <w:szCs w:val="20"/>
        </w:rPr>
        <w:t>Pri vyčísľovaní celkového vplyvu zvýšenia minimálnej mzdy vychádzalo Ministerstvo práce</w:t>
      </w:r>
      <w:r w:rsidR="000F2079" w:rsidRPr="000F2079">
        <w:rPr>
          <w:rFonts w:ascii="Arial" w:hAnsi="Arial" w:cs="Arial"/>
          <w:sz w:val="20"/>
          <w:szCs w:val="20"/>
        </w:rPr>
        <w:t xml:space="preserve"> </w:t>
      </w:r>
      <w:r w:rsidRPr="000F2079">
        <w:rPr>
          <w:rFonts w:ascii="Arial" w:hAnsi="Arial" w:cs="Arial"/>
          <w:sz w:val="20"/>
          <w:szCs w:val="20"/>
        </w:rPr>
        <w:t>z najrealistickejšieho predpokladu, a to konkrétne, že minimálna mzda pr</w:t>
      </w:r>
      <w:r w:rsidR="000F2079" w:rsidRPr="000F2079">
        <w:rPr>
          <w:rFonts w:ascii="Arial" w:hAnsi="Arial" w:cs="Arial"/>
          <w:sz w:val="20"/>
          <w:szCs w:val="20"/>
        </w:rPr>
        <w:t>e rok 2019 bude po rokovaniach t</w:t>
      </w:r>
      <w:r w:rsidRPr="000F2079">
        <w:rPr>
          <w:rFonts w:ascii="Arial" w:hAnsi="Arial" w:cs="Arial"/>
          <w:sz w:val="20"/>
          <w:szCs w:val="20"/>
        </w:rPr>
        <w:t xml:space="preserve">ripartity ustanovená na úrovni 520 €. </w:t>
      </w:r>
    </w:p>
    <w:p w:rsidR="00E61035" w:rsidRPr="000F2079" w:rsidRDefault="009236AB" w:rsidP="00721F5A">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0"/>
          <w:szCs w:val="20"/>
        </w:rPr>
      </w:pPr>
      <w:r>
        <w:rPr>
          <w:rFonts w:ascii="Arial" w:hAnsi="Arial" w:cs="Arial"/>
          <w:sz w:val="20"/>
          <w:szCs w:val="20"/>
        </w:rPr>
        <w:t>Na základe tohto predpokladu Ministerstvo práce</w:t>
      </w:r>
      <w:r w:rsidR="00E61035" w:rsidRPr="000F2079">
        <w:rPr>
          <w:rFonts w:ascii="Arial" w:hAnsi="Arial" w:cs="Arial"/>
          <w:sz w:val="20"/>
          <w:szCs w:val="20"/>
        </w:rPr>
        <w:t xml:space="preserve"> vypočítalo, že zvýšenie minimálnej mzdy do výšky 520 € sa bude týkať celkovo </w:t>
      </w:r>
      <w:r w:rsidR="00E61035" w:rsidRPr="000F2079">
        <w:rPr>
          <w:rFonts w:ascii="Arial" w:hAnsi="Arial" w:cs="Arial"/>
          <w:b/>
          <w:sz w:val="20"/>
          <w:szCs w:val="20"/>
        </w:rPr>
        <w:t>28 792 zamestnávateľov – fyzických osôb a 15 836 zamestnávateľov – právnických osôb klasifikovaných ako mikro, malé a stredné podniky.</w:t>
      </w:r>
    </w:p>
    <w:p w:rsidR="00E61035" w:rsidRDefault="00E61035" w:rsidP="00E61035">
      <w:pPr>
        <w:jc w:val="both"/>
        <w:rPr>
          <w:rFonts w:ascii="Arial" w:hAnsi="Arial" w:cs="Arial"/>
          <w:sz w:val="20"/>
          <w:szCs w:val="20"/>
        </w:rPr>
      </w:pPr>
      <w:r w:rsidRPr="000F2079">
        <w:rPr>
          <w:rFonts w:ascii="Arial" w:hAnsi="Arial" w:cs="Arial"/>
          <w:sz w:val="20"/>
          <w:szCs w:val="20"/>
        </w:rPr>
        <w:t xml:space="preserve">V prípade zamestnávateľov – právnických osôb </w:t>
      </w:r>
      <w:r w:rsidR="000F2079" w:rsidRPr="000F2079">
        <w:rPr>
          <w:rFonts w:ascii="Arial" w:hAnsi="Arial" w:cs="Arial"/>
          <w:sz w:val="20"/>
          <w:szCs w:val="20"/>
        </w:rPr>
        <w:t>Ministerstvo práce</w:t>
      </w:r>
      <w:r w:rsidRPr="000F2079">
        <w:rPr>
          <w:rFonts w:ascii="Arial" w:hAnsi="Arial" w:cs="Arial"/>
          <w:sz w:val="20"/>
          <w:szCs w:val="20"/>
        </w:rPr>
        <w:t xml:space="preserve"> čerpalo údaje z výberového štatistického zisťovania - štvrťročn</w:t>
      </w:r>
      <w:r w:rsidR="009236AB">
        <w:rPr>
          <w:rFonts w:ascii="Arial" w:hAnsi="Arial" w:cs="Arial"/>
          <w:sz w:val="20"/>
          <w:szCs w:val="20"/>
        </w:rPr>
        <w:t>ý výkaz o cene práce ISCP (Ministerstvo práce</w:t>
      </w:r>
      <w:r w:rsidRPr="000F2079">
        <w:rPr>
          <w:rFonts w:ascii="Arial" w:hAnsi="Arial" w:cs="Arial"/>
          <w:sz w:val="20"/>
          <w:szCs w:val="20"/>
        </w:rPr>
        <w:t xml:space="preserve">) 1-04. Nakoľko v prípade zamestnancov SZČO sa dáta o cene práce nezbierajú, </w:t>
      </w:r>
      <w:r w:rsidR="000F2079" w:rsidRPr="000F2079">
        <w:rPr>
          <w:rFonts w:ascii="Arial" w:hAnsi="Arial" w:cs="Arial"/>
          <w:sz w:val="20"/>
          <w:szCs w:val="20"/>
        </w:rPr>
        <w:t>Ministerstvo práce</w:t>
      </w:r>
      <w:r w:rsidRPr="000F2079">
        <w:rPr>
          <w:rFonts w:ascii="Arial" w:hAnsi="Arial" w:cs="Arial"/>
          <w:sz w:val="20"/>
          <w:szCs w:val="20"/>
        </w:rPr>
        <w:t xml:space="preserve"> vychádzalo z predpokladu, že vymeriavacie základy získané z informačného systému sociálnej poisťovne o zamestnancoch u SZČO predstavujú analógiu mzdy týchto zamestnancov. Nasledujúci popis metodológie výpočtov čerpá z popisu obsiahnutom v Analýze vplyvov na podnikateľské prostredie, ktorú vypracovalo </w:t>
      </w:r>
      <w:r w:rsidR="000F2079" w:rsidRPr="000F2079">
        <w:rPr>
          <w:rFonts w:ascii="Arial" w:hAnsi="Arial" w:cs="Arial"/>
          <w:sz w:val="20"/>
          <w:szCs w:val="20"/>
        </w:rPr>
        <w:t>Ministerstvo práce</w:t>
      </w:r>
      <w:r w:rsidRPr="000F2079">
        <w:rPr>
          <w:rFonts w:ascii="Arial" w:hAnsi="Arial" w:cs="Arial"/>
          <w:sz w:val="20"/>
          <w:szCs w:val="20"/>
        </w:rPr>
        <w:t xml:space="preserve">, a v prípade potreby podrobnejšieho popisu odkazujeme čitateľa na vyššie spomenutý dokument.  </w:t>
      </w:r>
    </w:p>
    <w:p w:rsidR="008D5514" w:rsidRPr="000F2079" w:rsidRDefault="008D5514" w:rsidP="00E61035">
      <w:pPr>
        <w:jc w:val="both"/>
        <w:rPr>
          <w:rFonts w:ascii="Arial" w:hAnsi="Arial" w:cs="Arial"/>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3"/>
        <w:gridCol w:w="1696"/>
        <w:gridCol w:w="1701"/>
        <w:gridCol w:w="1853"/>
        <w:gridCol w:w="1761"/>
      </w:tblGrid>
      <w:tr w:rsidR="00E61035" w:rsidRPr="000F2079" w:rsidTr="00420BB3">
        <w:trPr>
          <w:trHeight w:val="300"/>
        </w:trPr>
        <w:tc>
          <w:tcPr>
            <w:tcW w:w="2273" w:type="dxa"/>
            <w:vMerge w:val="restart"/>
            <w:shd w:val="clear" w:color="auto" w:fill="9CC2E5"/>
            <w:noWrap/>
            <w:vAlign w:val="center"/>
          </w:tcPr>
          <w:p w:rsidR="00E61035" w:rsidRPr="000F2079" w:rsidRDefault="00E61035" w:rsidP="00E61035">
            <w:pPr>
              <w:widowControl/>
              <w:adjustRightInd/>
              <w:spacing w:after="0" w:line="240" w:lineRule="auto"/>
              <w:outlineLvl w:val="0"/>
              <w:rPr>
                <w:rFonts w:ascii="Arial" w:hAnsi="Arial" w:cs="Arial"/>
                <w:bCs/>
                <w:sz w:val="20"/>
                <w:szCs w:val="20"/>
                <w:lang w:eastAsia="sk-SK"/>
              </w:rPr>
            </w:pPr>
            <w:r w:rsidRPr="000F2079">
              <w:rPr>
                <w:rFonts w:ascii="Arial" w:hAnsi="Arial" w:cs="Arial"/>
                <w:bCs/>
                <w:sz w:val="20"/>
                <w:szCs w:val="20"/>
                <w:lang w:eastAsia="sk-SK"/>
              </w:rPr>
              <w:t>Mzdové pásmo</w:t>
            </w:r>
          </w:p>
          <w:p w:rsidR="00E61035" w:rsidRPr="000F2079" w:rsidRDefault="00E61035" w:rsidP="00E61035">
            <w:pPr>
              <w:widowControl/>
              <w:adjustRightInd/>
              <w:spacing w:after="0" w:line="240" w:lineRule="auto"/>
              <w:outlineLvl w:val="0"/>
              <w:rPr>
                <w:rFonts w:ascii="Arial" w:hAnsi="Arial" w:cs="Arial"/>
                <w:bCs/>
                <w:sz w:val="20"/>
                <w:szCs w:val="20"/>
                <w:lang w:eastAsia="sk-SK"/>
              </w:rPr>
            </w:pPr>
            <w:r w:rsidRPr="000F2079">
              <w:rPr>
                <w:rFonts w:ascii="Arial" w:hAnsi="Arial" w:cs="Arial"/>
                <w:bCs/>
                <w:sz w:val="20"/>
                <w:szCs w:val="20"/>
                <w:lang w:eastAsia="sk-SK"/>
              </w:rPr>
              <w:lastRenderedPageBreak/>
              <w:t>hrubej priemernej</w:t>
            </w:r>
          </w:p>
          <w:p w:rsidR="00E61035" w:rsidRPr="000F2079" w:rsidRDefault="00E61035" w:rsidP="00E61035">
            <w:pPr>
              <w:widowControl/>
              <w:adjustRightInd/>
              <w:spacing w:after="0" w:line="240" w:lineRule="auto"/>
              <w:outlineLvl w:val="0"/>
              <w:rPr>
                <w:rFonts w:ascii="Arial" w:hAnsi="Arial" w:cs="Arial"/>
                <w:bCs/>
                <w:sz w:val="20"/>
                <w:szCs w:val="20"/>
                <w:lang w:eastAsia="sk-SK"/>
              </w:rPr>
            </w:pPr>
            <w:r w:rsidRPr="000F2079">
              <w:rPr>
                <w:rFonts w:ascii="Arial" w:hAnsi="Arial" w:cs="Arial"/>
                <w:bCs/>
                <w:sz w:val="20"/>
                <w:szCs w:val="20"/>
                <w:lang w:eastAsia="sk-SK"/>
              </w:rPr>
              <w:t>mesačnej mzdy</w:t>
            </w:r>
          </w:p>
        </w:tc>
        <w:tc>
          <w:tcPr>
            <w:tcW w:w="7011" w:type="dxa"/>
            <w:gridSpan w:val="4"/>
            <w:shd w:val="clear" w:color="auto" w:fill="9CC2E5"/>
          </w:tcPr>
          <w:p w:rsidR="00E61035" w:rsidRPr="000F2079" w:rsidRDefault="00E61035" w:rsidP="00E61035">
            <w:pPr>
              <w:widowControl/>
              <w:adjustRightInd/>
              <w:spacing w:after="0" w:line="240" w:lineRule="auto"/>
              <w:jc w:val="center"/>
              <w:outlineLvl w:val="0"/>
              <w:rPr>
                <w:rFonts w:ascii="Arial" w:hAnsi="Arial" w:cs="Arial"/>
                <w:b/>
                <w:bCs/>
                <w:sz w:val="20"/>
                <w:szCs w:val="20"/>
                <w:lang w:eastAsia="sk-SK"/>
              </w:rPr>
            </w:pPr>
            <w:r w:rsidRPr="000F2079">
              <w:rPr>
                <w:rFonts w:ascii="Arial" w:hAnsi="Arial" w:cs="Arial"/>
                <w:b/>
                <w:bCs/>
                <w:sz w:val="20"/>
                <w:szCs w:val="20"/>
                <w:lang w:eastAsia="sk-SK"/>
              </w:rPr>
              <w:lastRenderedPageBreak/>
              <w:t xml:space="preserve">Podnikateľská sféra </w:t>
            </w:r>
            <w:r w:rsidR="006F0AC2">
              <w:rPr>
                <w:rFonts w:ascii="Arial" w:hAnsi="Arial" w:cs="Arial"/>
                <w:b/>
                <w:bCs/>
                <w:sz w:val="20"/>
                <w:szCs w:val="20"/>
                <w:lang w:eastAsia="sk-SK"/>
              </w:rPr>
              <w:t xml:space="preserve">– mimo SZČO – </w:t>
            </w:r>
            <w:r w:rsidRPr="000F2079">
              <w:rPr>
                <w:rFonts w:ascii="Arial" w:hAnsi="Arial" w:cs="Arial"/>
                <w:b/>
                <w:bCs/>
                <w:sz w:val="20"/>
                <w:szCs w:val="20"/>
                <w:lang w:eastAsia="sk-SK"/>
              </w:rPr>
              <w:t xml:space="preserve">malé a stredné podniky (&lt; 250 </w:t>
            </w:r>
            <w:r w:rsidRPr="000F2079">
              <w:rPr>
                <w:rFonts w:ascii="Arial" w:hAnsi="Arial" w:cs="Arial"/>
                <w:b/>
                <w:bCs/>
                <w:sz w:val="20"/>
                <w:szCs w:val="20"/>
                <w:lang w:eastAsia="sk-SK"/>
              </w:rPr>
              <w:lastRenderedPageBreak/>
              <w:t>zamestnancov)</w:t>
            </w:r>
          </w:p>
        </w:tc>
      </w:tr>
      <w:tr w:rsidR="00E61035" w:rsidRPr="000F2079" w:rsidTr="00420BB3">
        <w:trPr>
          <w:trHeight w:val="300"/>
        </w:trPr>
        <w:tc>
          <w:tcPr>
            <w:tcW w:w="2273" w:type="dxa"/>
            <w:vMerge/>
            <w:shd w:val="clear" w:color="auto" w:fill="9CC2E5"/>
            <w:noWrap/>
            <w:vAlign w:val="bottom"/>
          </w:tcPr>
          <w:p w:rsidR="00E61035" w:rsidRPr="000F2079" w:rsidRDefault="00E61035" w:rsidP="00E61035">
            <w:pPr>
              <w:widowControl/>
              <w:adjustRightInd/>
              <w:spacing w:after="0" w:line="240" w:lineRule="auto"/>
              <w:jc w:val="both"/>
              <w:outlineLvl w:val="0"/>
              <w:rPr>
                <w:rFonts w:ascii="Arial" w:hAnsi="Arial" w:cs="Arial"/>
                <w:bCs/>
                <w:sz w:val="20"/>
                <w:szCs w:val="20"/>
                <w:lang w:eastAsia="sk-SK"/>
              </w:rPr>
            </w:pPr>
          </w:p>
        </w:tc>
        <w:tc>
          <w:tcPr>
            <w:tcW w:w="1696" w:type="dxa"/>
            <w:shd w:val="clear" w:color="auto" w:fill="9CC2E5"/>
            <w:noWrap/>
            <w:vAlign w:val="center"/>
          </w:tcPr>
          <w:p w:rsidR="00E61035" w:rsidRPr="000F2079" w:rsidRDefault="00E61035" w:rsidP="00E61035">
            <w:pPr>
              <w:widowControl/>
              <w:adjustRightInd/>
              <w:spacing w:after="0" w:line="240" w:lineRule="auto"/>
              <w:jc w:val="center"/>
              <w:outlineLvl w:val="0"/>
              <w:rPr>
                <w:rFonts w:ascii="Arial" w:hAnsi="Arial" w:cs="Arial"/>
                <w:bCs/>
                <w:sz w:val="20"/>
                <w:szCs w:val="20"/>
                <w:lang w:eastAsia="sk-SK"/>
              </w:rPr>
            </w:pPr>
            <w:r w:rsidRPr="000F2079">
              <w:rPr>
                <w:rFonts w:ascii="Arial" w:hAnsi="Arial" w:cs="Arial"/>
                <w:bCs/>
                <w:sz w:val="20"/>
                <w:szCs w:val="20"/>
                <w:lang w:eastAsia="sk-SK"/>
              </w:rPr>
              <w:t>počet zamestnancov</w:t>
            </w:r>
          </w:p>
        </w:tc>
        <w:tc>
          <w:tcPr>
            <w:tcW w:w="1701" w:type="dxa"/>
            <w:shd w:val="clear" w:color="auto" w:fill="9CC2E5"/>
            <w:vAlign w:val="center"/>
          </w:tcPr>
          <w:p w:rsidR="00E61035" w:rsidRPr="000F2079" w:rsidRDefault="00E61035" w:rsidP="00E61035">
            <w:pPr>
              <w:widowControl/>
              <w:adjustRightInd/>
              <w:spacing w:after="0" w:line="240" w:lineRule="auto"/>
              <w:jc w:val="center"/>
              <w:outlineLvl w:val="0"/>
              <w:rPr>
                <w:rFonts w:ascii="Arial" w:hAnsi="Arial" w:cs="Arial"/>
                <w:bCs/>
                <w:sz w:val="20"/>
                <w:szCs w:val="20"/>
                <w:lang w:eastAsia="sk-SK"/>
              </w:rPr>
            </w:pPr>
            <w:r w:rsidRPr="000F2079">
              <w:rPr>
                <w:rFonts w:ascii="Arial" w:hAnsi="Arial" w:cs="Arial"/>
                <w:bCs/>
                <w:sz w:val="20"/>
                <w:szCs w:val="20"/>
                <w:lang w:eastAsia="sk-SK"/>
              </w:rPr>
              <w:t>doplatok na 1 zamestnanca</w:t>
            </w:r>
          </w:p>
        </w:tc>
        <w:tc>
          <w:tcPr>
            <w:tcW w:w="1853" w:type="dxa"/>
            <w:shd w:val="clear" w:color="auto" w:fill="9CC2E5"/>
            <w:noWrap/>
            <w:vAlign w:val="center"/>
          </w:tcPr>
          <w:p w:rsidR="00E61035" w:rsidRPr="000F2079" w:rsidRDefault="00E61035" w:rsidP="00E61035">
            <w:pPr>
              <w:widowControl/>
              <w:adjustRightInd/>
              <w:spacing w:after="0" w:line="240" w:lineRule="auto"/>
              <w:jc w:val="center"/>
              <w:outlineLvl w:val="0"/>
              <w:rPr>
                <w:rFonts w:ascii="Arial" w:hAnsi="Arial" w:cs="Arial"/>
                <w:bCs/>
                <w:sz w:val="20"/>
                <w:szCs w:val="20"/>
                <w:lang w:eastAsia="sk-SK"/>
              </w:rPr>
            </w:pPr>
            <w:r w:rsidRPr="000F2079">
              <w:rPr>
                <w:rFonts w:ascii="Arial" w:hAnsi="Arial" w:cs="Arial"/>
                <w:bCs/>
                <w:sz w:val="20"/>
                <w:szCs w:val="20"/>
                <w:lang w:eastAsia="sk-SK"/>
              </w:rPr>
              <w:t>celkový objem dopl. do 520 eur mesačne</w:t>
            </w:r>
          </w:p>
        </w:tc>
        <w:tc>
          <w:tcPr>
            <w:tcW w:w="1761" w:type="dxa"/>
            <w:shd w:val="clear" w:color="auto" w:fill="9CC2E5"/>
            <w:vAlign w:val="center"/>
          </w:tcPr>
          <w:p w:rsidR="00E61035" w:rsidRPr="000F2079" w:rsidRDefault="00E61035" w:rsidP="00E61035">
            <w:pPr>
              <w:widowControl/>
              <w:adjustRightInd/>
              <w:spacing w:after="0" w:line="240" w:lineRule="auto"/>
              <w:jc w:val="center"/>
              <w:outlineLvl w:val="0"/>
              <w:rPr>
                <w:rFonts w:ascii="Arial" w:hAnsi="Arial" w:cs="Arial"/>
                <w:bCs/>
                <w:sz w:val="20"/>
                <w:szCs w:val="20"/>
                <w:lang w:eastAsia="sk-SK"/>
              </w:rPr>
            </w:pPr>
            <w:r w:rsidRPr="000F2079">
              <w:rPr>
                <w:rFonts w:ascii="Arial" w:hAnsi="Arial" w:cs="Arial"/>
                <w:bCs/>
                <w:sz w:val="20"/>
                <w:szCs w:val="20"/>
                <w:lang w:eastAsia="sk-SK"/>
              </w:rPr>
              <w:t>Počet dotknutých zamestnávateľov</w:t>
            </w:r>
          </w:p>
        </w:tc>
      </w:tr>
      <w:tr w:rsidR="00E61035" w:rsidRPr="000F2079" w:rsidTr="00420BB3">
        <w:tblPrEx>
          <w:tblCellMar>
            <w:left w:w="108" w:type="dxa"/>
            <w:right w:w="108" w:type="dxa"/>
          </w:tblCellMar>
        </w:tblPrEx>
        <w:trPr>
          <w:trHeight w:val="270"/>
        </w:trPr>
        <w:tc>
          <w:tcPr>
            <w:tcW w:w="2273" w:type="dxa"/>
            <w:shd w:val="clear" w:color="auto" w:fill="DEEAF6"/>
            <w:noWrap/>
          </w:tcPr>
          <w:p w:rsidR="00E61035" w:rsidRPr="000F2079" w:rsidRDefault="00E61035" w:rsidP="00E61035">
            <w:pPr>
              <w:widowControl/>
              <w:adjustRightInd/>
              <w:spacing w:after="0" w:line="240" w:lineRule="auto"/>
              <w:jc w:val="both"/>
              <w:outlineLvl w:val="0"/>
              <w:rPr>
                <w:rFonts w:ascii="Arial" w:hAnsi="Arial" w:cs="Arial"/>
                <w:b/>
                <w:bCs/>
                <w:sz w:val="20"/>
                <w:szCs w:val="20"/>
                <w:lang w:eastAsia="sk-SK"/>
              </w:rPr>
            </w:pPr>
            <w:r w:rsidRPr="000F2079">
              <w:rPr>
                <w:rFonts w:ascii="Arial" w:hAnsi="Arial" w:cs="Arial"/>
                <w:b/>
                <w:sz w:val="20"/>
                <w:szCs w:val="20"/>
                <w:lang w:eastAsia="sk-SK"/>
              </w:rPr>
              <w:t>do 480 eur</w:t>
            </w:r>
          </w:p>
        </w:tc>
        <w:tc>
          <w:tcPr>
            <w:tcW w:w="1696" w:type="dxa"/>
            <w:shd w:val="clear" w:color="auto" w:fill="DEEAF6"/>
            <w:vAlign w:val="center"/>
          </w:tcPr>
          <w:p w:rsidR="00E61035" w:rsidRPr="000F2079" w:rsidRDefault="00E61035" w:rsidP="00E61035">
            <w:pPr>
              <w:widowControl/>
              <w:adjustRightInd/>
              <w:spacing w:after="0" w:line="240" w:lineRule="auto"/>
              <w:jc w:val="center"/>
              <w:outlineLvl w:val="0"/>
              <w:rPr>
                <w:rFonts w:ascii="Arial" w:hAnsi="Arial" w:cs="Arial"/>
                <w:sz w:val="20"/>
                <w:szCs w:val="20"/>
                <w:lang w:eastAsia="sk-SK"/>
              </w:rPr>
            </w:pPr>
            <w:r w:rsidRPr="000F2079">
              <w:rPr>
                <w:rFonts w:ascii="Arial" w:hAnsi="Arial" w:cs="Arial"/>
                <w:sz w:val="20"/>
                <w:szCs w:val="20"/>
                <w:lang w:eastAsia="sk-SK"/>
              </w:rPr>
              <w:t>19 604</w:t>
            </w:r>
          </w:p>
        </w:tc>
        <w:tc>
          <w:tcPr>
            <w:tcW w:w="1701" w:type="dxa"/>
            <w:shd w:val="clear" w:color="auto" w:fill="DEEAF6"/>
          </w:tcPr>
          <w:p w:rsidR="00E61035" w:rsidRPr="000F2079" w:rsidRDefault="00E61035" w:rsidP="00E61035">
            <w:pPr>
              <w:widowControl/>
              <w:adjustRightInd/>
              <w:spacing w:after="0" w:line="240" w:lineRule="auto"/>
              <w:jc w:val="center"/>
              <w:outlineLvl w:val="0"/>
              <w:rPr>
                <w:rFonts w:ascii="Arial" w:hAnsi="Arial" w:cs="Arial"/>
                <w:sz w:val="20"/>
                <w:szCs w:val="20"/>
                <w:lang w:eastAsia="sk-SK"/>
              </w:rPr>
            </w:pPr>
            <w:r w:rsidRPr="000F2079">
              <w:rPr>
                <w:rFonts w:ascii="Arial" w:hAnsi="Arial" w:cs="Arial"/>
                <w:sz w:val="20"/>
                <w:szCs w:val="20"/>
                <w:lang w:eastAsia="sk-SK"/>
              </w:rPr>
              <w:t>40,00</w:t>
            </w:r>
          </w:p>
        </w:tc>
        <w:tc>
          <w:tcPr>
            <w:tcW w:w="1853" w:type="dxa"/>
            <w:shd w:val="clear" w:color="auto" w:fill="DEEAF6"/>
            <w:vAlign w:val="center"/>
          </w:tcPr>
          <w:p w:rsidR="00E61035" w:rsidRPr="000F2079" w:rsidRDefault="00E61035" w:rsidP="00E61035">
            <w:pPr>
              <w:widowControl/>
              <w:adjustRightInd/>
              <w:spacing w:after="0" w:line="240" w:lineRule="auto"/>
              <w:jc w:val="center"/>
              <w:outlineLvl w:val="0"/>
              <w:rPr>
                <w:rFonts w:ascii="Arial" w:hAnsi="Arial" w:cs="Arial"/>
                <w:sz w:val="20"/>
                <w:szCs w:val="20"/>
                <w:lang w:eastAsia="sk-SK"/>
              </w:rPr>
            </w:pPr>
            <w:r w:rsidRPr="000F2079">
              <w:rPr>
                <w:rFonts w:ascii="Arial" w:hAnsi="Arial" w:cs="Arial"/>
                <w:sz w:val="20"/>
                <w:szCs w:val="20"/>
                <w:lang w:eastAsia="sk-SK"/>
              </w:rPr>
              <w:t>784 140,17</w:t>
            </w:r>
          </w:p>
        </w:tc>
        <w:tc>
          <w:tcPr>
            <w:tcW w:w="1761" w:type="dxa"/>
            <w:shd w:val="clear" w:color="auto" w:fill="DEEAF6"/>
            <w:vAlign w:val="center"/>
          </w:tcPr>
          <w:p w:rsidR="00E61035" w:rsidRPr="000F2079" w:rsidRDefault="00E61035" w:rsidP="00E61035">
            <w:pPr>
              <w:widowControl/>
              <w:adjustRightInd/>
              <w:spacing w:after="0" w:line="240" w:lineRule="auto"/>
              <w:jc w:val="center"/>
              <w:outlineLvl w:val="0"/>
              <w:rPr>
                <w:rFonts w:ascii="Arial" w:hAnsi="Arial" w:cs="Arial"/>
                <w:bCs/>
                <w:sz w:val="20"/>
                <w:szCs w:val="20"/>
                <w:lang w:eastAsia="sk-SK"/>
              </w:rPr>
            </w:pPr>
            <w:r w:rsidRPr="000F2079">
              <w:rPr>
                <w:rFonts w:ascii="Arial" w:hAnsi="Arial" w:cs="Arial"/>
                <w:bCs/>
                <w:sz w:val="20"/>
                <w:szCs w:val="20"/>
                <w:lang w:eastAsia="sk-SK"/>
              </w:rPr>
              <w:t>8 294</w:t>
            </w:r>
          </w:p>
        </w:tc>
      </w:tr>
      <w:tr w:rsidR="00E61035" w:rsidRPr="000F2079" w:rsidTr="00420BB3">
        <w:tblPrEx>
          <w:tblCellMar>
            <w:left w:w="108" w:type="dxa"/>
            <w:right w:w="108" w:type="dxa"/>
          </w:tblCellMar>
        </w:tblPrEx>
        <w:trPr>
          <w:trHeight w:val="270"/>
        </w:trPr>
        <w:tc>
          <w:tcPr>
            <w:tcW w:w="2273" w:type="dxa"/>
            <w:shd w:val="clear" w:color="auto" w:fill="DEEAF6"/>
            <w:noWrap/>
          </w:tcPr>
          <w:p w:rsidR="00E61035" w:rsidRPr="000F2079" w:rsidRDefault="00E61035" w:rsidP="00E61035">
            <w:pPr>
              <w:widowControl/>
              <w:adjustRightInd/>
              <w:spacing w:after="0" w:line="240" w:lineRule="auto"/>
              <w:outlineLvl w:val="0"/>
              <w:rPr>
                <w:rFonts w:ascii="Arial" w:hAnsi="Arial" w:cs="Arial"/>
                <w:b/>
                <w:bCs/>
                <w:sz w:val="20"/>
                <w:szCs w:val="20"/>
                <w:lang w:eastAsia="sk-SK"/>
              </w:rPr>
            </w:pPr>
            <w:r w:rsidRPr="000F2079">
              <w:rPr>
                <w:rFonts w:ascii="Arial" w:hAnsi="Arial" w:cs="Arial"/>
                <w:b/>
                <w:sz w:val="20"/>
                <w:szCs w:val="20"/>
                <w:lang w:eastAsia="sk-SK"/>
              </w:rPr>
              <w:t>nad 480 eur do 520 eur</w:t>
            </w:r>
          </w:p>
        </w:tc>
        <w:tc>
          <w:tcPr>
            <w:tcW w:w="1696" w:type="dxa"/>
            <w:shd w:val="clear" w:color="auto" w:fill="DEEAF6"/>
            <w:vAlign w:val="center"/>
          </w:tcPr>
          <w:p w:rsidR="00E61035" w:rsidRPr="000F2079" w:rsidRDefault="00E61035" w:rsidP="00E61035">
            <w:pPr>
              <w:widowControl/>
              <w:adjustRightInd/>
              <w:spacing w:after="0" w:line="240" w:lineRule="auto"/>
              <w:jc w:val="center"/>
              <w:outlineLvl w:val="0"/>
              <w:rPr>
                <w:rFonts w:ascii="Arial" w:hAnsi="Arial" w:cs="Arial"/>
                <w:sz w:val="20"/>
                <w:szCs w:val="20"/>
                <w:lang w:eastAsia="sk-SK"/>
              </w:rPr>
            </w:pPr>
            <w:r w:rsidRPr="000F2079">
              <w:rPr>
                <w:rFonts w:ascii="Arial" w:hAnsi="Arial" w:cs="Arial"/>
                <w:sz w:val="20"/>
                <w:szCs w:val="20"/>
                <w:lang w:eastAsia="sk-SK"/>
              </w:rPr>
              <w:t>31 652</w:t>
            </w:r>
          </w:p>
        </w:tc>
        <w:tc>
          <w:tcPr>
            <w:tcW w:w="1701" w:type="dxa"/>
            <w:shd w:val="clear" w:color="auto" w:fill="DEEAF6"/>
            <w:vAlign w:val="center"/>
          </w:tcPr>
          <w:p w:rsidR="00E61035" w:rsidRPr="000F2079" w:rsidRDefault="00E61035" w:rsidP="00E61035">
            <w:pPr>
              <w:widowControl/>
              <w:adjustRightInd/>
              <w:spacing w:after="0" w:line="240" w:lineRule="auto"/>
              <w:jc w:val="center"/>
              <w:outlineLvl w:val="0"/>
              <w:rPr>
                <w:rFonts w:ascii="Arial" w:hAnsi="Arial" w:cs="Arial"/>
                <w:sz w:val="20"/>
                <w:szCs w:val="20"/>
                <w:lang w:eastAsia="sk-SK"/>
              </w:rPr>
            </w:pPr>
            <w:r w:rsidRPr="000F2079">
              <w:rPr>
                <w:rFonts w:ascii="Arial" w:hAnsi="Arial" w:cs="Arial"/>
                <w:sz w:val="20"/>
                <w:szCs w:val="20"/>
                <w:lang w:eastAsia="sk-SK"/>
              </w:rPr>
              <w:t>28,72</w:t>
            </w:r>
          </w:p>
        </w:tc>
        <w:tc>
          <w:tcPr>
            <w:tcW w:w="1853" w:type="dxa"/>
            <w:shd w:val="clear" w:color="auto" w:fill="DEEAF6"/>
            <w:vAlign w:val="center"/>
          </w:tcPr>
          <w:p w:rsidR="00E61035" w:rsidRPr="000F2079" w:rsidRDefault="00E61035" w:rsidP="00E61035">
            <w:pPr>
              <w:widowControl/>
              <w:adjustRightInd/>
              <w:spacing w:after="0" w:line="240" w:lineRule="auto"/>
              <w:jc w:val="center"/>
              <w:outlineLvl w:val="0"/>
              <w:rPr>
                <w:rFonts w:ascii="Arial" w:hAnsi="Arial" w:cs="Arial"/>
                <w:sz w:val="20"/>
                <w:szCs w:val="20"/>
                <w:lang w:eastAsia="sk-SK"/>
              </w:rPr>
            </w:pPr>
            <w:r w:rsidRPr="000F2079">
              <w:rPr>
                <w:rFonts w:ascii="Arial" w:hAnsi="Arial" w:cs="Arial"/>
                <w:sz w:val="20"/>
                <w:szCs w:val="20"/>
                <w:lang w:eastAsia="sk-SK"/>
              </w:rPr>
              <w:t>909 071,80</w:t>
            </w:r>
          </w:p>
        </w:tc>
        <w:tc>
          <w:tcPr>
            <w:tcW w:w="1761" w:type="dxa"/>
            <w:shd w:val="clear" w:color="auto" w:fill="DEEAF6"/>
            <w:vAlign w:val="center"/>
          </w:tcPr>
          <w:p w:rsidR="00E61035" w:rsidRPr="000F2079" w:rsidRDefault="00E61035" w:rsidP="00E61035">
            <w:pPr>
              <w:widowControl/>
              <w:adjustRightInd/>
              <w:spacing w:after="0" w:line="240" w:lineRule="auto"/>
              <w:jc w:val="center"/>
              <w:outlineLvl w:val="0"/>
              <w:rPr>
                <w:rFonts w:ascii="Arial" w:hAnsi="Arial" w:cs="Arial"/>
                <w:bCs/>
                <w:sz w:val="20"/>
                <w:szCs w:val="20"/>
                <w:lang w:eastAsia="sk-SK"/>
              </w:rPr>
            </w:pPr>
            <w:r w:rsidRPr="000F2079">
              <w:rPr>
                <w:rFonts w:ascii="Arial" w:hAnsi="Arial" w:cs="Arial"/>
                <w:bCs/>
                <w:sz w:val="20"/>
                <w:szCs w:val="20"/>
                <w:lang w:eastAsia="sk-SK"/>
              </w:rPr>
              <w:t>11 446</w:t>
            </w:r>
          </w:p>
        </w:tc>
      </w:tr>
      <w:tr w:rsidR="00E61035" w:rsidRPr="000F2079" w:rsidTr="00420BB3">
        <w:trPr>
          <w:trHeight w:val="270"/>
        </w:trPr>
        <w:tc>
          <w:tcPr>
            <w:tcW w:w="2273" w:type="dxa"/>
            <w:shd w:val="clear" w:color="auto" w:fill="9CC2E5"/>
            <w:noWrap/>
            <w:vAlign w:val="bottom"/>
          </w:tcPr>
          <w:p w:rsidR="00E61035" w:rsidRPr="000F2079" w:rsidRDefault="00E61035" w:rsidP="00E61035">
            <w:pPr>
              <w:widowControl/>
              <w:adjustRightInd/>
              <w:spacing w:after="0" w:line="240" w:lineRule="auto"/>
              <w:outlineLvl w:val="0"/>
              <w:rPr>
                <w:rFonts w:ascii="Arial" w:hAnsi="Arial" w:cs="Arial"/>
                <w:b/>
                <w:bCs/>
                <w:sz w:val="20"/>
                <w:szCs w:val="20"/>
                <w:lang w:eastAsia="sk-SK"/>
              </w:rPr>
            </w:pPr>
            <w:r w:rsidRPr="000F2079">
              <w:rPr>
                <w:rFonts w:ascii="Arial" w:hAnsi="Arial" w:cs="Arial"/>
                <w:b/>
                <w:bCs/>
                <w:sz w:val="20"/>
                <w:szCs w:val="20"/>
                <w:lang w:eastAsia="sk-SK"/>
              </w:rPr>
              <w:t>Počet zamestnancov s doplatkom, počet zamestnávateľov a zvýšenie doplatkov v eurách mesačne:</w:t>
            </w:r>
          </w:p>
        </w:tc>
        <w:tc>
          <w:tcPr>
            <w:tcW w:w="1696" w:type="dxa"/>
            <w:shd w:val="clear" w:color="auto" w:fill="9CC2E5"/>
            <w:noWrap/>
            <w:vAlign w:val="center"/>
          </w:tcPr>
          <w:p w:rsidR="00E61035" w:rsidRPr="000F2079" w:rsidRDefault="00E61035" w:rsidP="00E61035">
            <w:pPr>
              <w:widowControl/>
              <w:adjustRightInd/>
              <w:spacing w:after="0" w:line="240" w:lineRule="auto"/>
              <w:jc w:val="center"/>
              <w:rPr>
                <w:rFonts w:ascii="Arial" w:hAnsi="Arial" w:cs="Arial"/>
                <w:b/>
                <w:bCs/>
                <w:sz w:val="20"/>
                <w:szCs w:val="20"/>
                <w:lang w:eastAsia="sk-SK"/>
              </w:rPr>
            </w:pPr>
            <w:r w:rsidRPr="000F2079">
              <w:rPr>
                <w:rFonts w:ascii="Arial" w:hAnsi="Arial" w:cs="Arial"/>
                <w:b/>
                <w:bCs/>
                <w:sz w:val="20"/>
                <w:szCs w:val="20"/>
                <w:lang w:eastAsia="sk-SK"/>
              </w:rPr>
              <w:t>51 256</w:t>
            </w:r>
          </w:p>
        </w:tc>
        <w:tc>
          <w:tcPr>
            <w:tcW w:w="1701" w:type="dxa"/>
            <w:shd w:val="clear" w:color="auto" w:fill="9CC2E5"/>
          </w:tcPr>
          <w:p w:rsidR="00E61035" w:rsidRPr="000F2079" w:rsidRDefault="00E61035" w:rsidP="00E61035">
            <w:pPr>
              <w:widowControl/>
              <w:adjustRightInd/>
              <w:spacing w:after="0" w:line="240" w:lineRule="auto"/>
              <w:jc w:val="center"/>
              <w:rPr>
                <w:rFonts w:ascii="Arial" w:hAnsi="Arial" w:cs="Arial"/>
                <w:b/>
                <w:bCs/>
                <w:sz w:val="20"/>
                <w:szCs w:val="20"/>
                <w:lang w:eastAsia="sk-SK"/>
              </w:rPr>
            </w:pPr>
          </w:p>
        </w:tc>
        <w:tc>
          <w:tcPr>
            <w:tcW w:w="1853" w:type="dxa"/>
            <w:shd w:val="clear" w:color="auto" w:fill="9CC2E5"/>
            <w:noWrap/>
            <w:vAlign w:val="center"/>
          </w:tcPr>
          <w:p w:rsidR="00E61035" w:rsidRPr="000F2079" w:rsidRDefault="00E61035" w:rsidP="00E61035">
            <w:pPr>
              <w:widowControl/>
              <w:adjustRightInd/>
              <w:spacing w:after="0" w:line="240" w:lineRule="auto"/>
              <w:jc w:val="center"/>
              <w:rPr>
                <w:rFonts w:ascii="Arial" w:hAnsi="Arial" w:cs="Arial"/>
                <w:b/>
                <w:bCs/>
                <w:sz w:val="20"/>
                <w:szCs w:val="20"/>
                <w:lang w:eastAsia="sk-SK"/>
              </w:rPr>
            </w:pPr>
            <w:r w:rsidRPr="000F2079">
              <w:rPr>
                <w:rFonts w:ascii="Arial" w:hAnsi="Arial" w:cs="Arial"/>
                <w:b/>
                <w:bCs/>
                <w:sz w:val="20"/>
                <w:szCs w:val="20"/>
                <w:lang w:eastAsia="sk-SK"/>
              </w:rPr>
              <w:t>1 693 211,97</w:t>
            </w:r>
          </w:p>
        </w:tc>
        <w:tc>
          <w:tcPr>
            <w:tcW w:w="1761" w:type="dxa"/>
            <w:shd w:val="clear" w:color="auto" w:fill="9CC2E5"/>
            <w:vAlign w:val="center"/>
          </w:tcPr>
          <w:p w:rsidR="00E61035" w:rsidRPr="000F2079" w:rsidRDefault="00E61035" w:rsidP="00E61035">
            <w:pPr>
              <w:widowControl/>
              <w:adjustRightInd/>
              <w:spacing w:after="0" w:line="240" w:lineRule="auto"/>
              <w:jc w:val="center"/>
              <w:rPr>
                <w:rFonts w:ascii="Arial" w:hAnsi="Arial" w:cs="Arial"/>
                <w:b/>
                <w:bCs/>
                <w:sz w:val="20"/>
                <w:szCs w:val="20"/>
                <w:lang w:eastAsia="sk-SK"/>
              </w:rPr>
            </w:pPr>
            <w:r w:rsidRPr="000F2079">
              <w:rPr>
                <w:rFonts w:ascii="Arial" w:hAnsi="Arial" w:cs="Arial"/>
                <w:b/>
                <w:bCs/>
                <w:sz w:val="20"/>
                <w:szCs w:val="20"/>
                <w:lang w:eastAsia="sk-SK"/>
              </w:rPr>
              <w:t>15 836</w:t>
            </w:r>
          </w:p>
        </w:tc>
      </w:tr>
    </w:tbl>
    <w:p w:rsidR="005869C3" w:rsidRPr="000F2079" w:rsidRDefault="005869C3" w:rsidP="00E61035">
      <w:pPr>
        <w:jc w:val="both"/>
        <w:rPr>
          <w:rFonts w:ascii="Arial" w:hAnsi="Arial" w:cs="Arial"/>
          <w:sz w:val="20"/>
          <w:szCs w:val="20"/>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1"/>
        <w:gridCol w:w="1629"/>
        <w:gridCol w:w="1948"/>
        <w:gridCol w:w="1643"/>
      </w:tblGrid>
      <w:tr w:rsidR="00E61035" w:rsidRPr="000F2079" w:rsidTr="00420BB3">
        <w:trPr>
          <w:trHeight w:val="300"/>
        </w:trPr>
        <w:tc>
          <w:tcPr>
            <w:tcW w:w="2376" w:type="dxa"/>
            <w:vMerge w:val="restart"/>
            <w:shd w:val="clear" w:color="auto" w:fill="9CC2E5"/>
            <w:noWrap/>
            <w:vAlign w:val="center"/>
          </w:tcPr>
          <w:p w:rsidR="00E61035" w:rsidRPr="000F2079" w:rsidRDefault="00E61035" w:rsidP="00E61035">
            <w:pPr>
              <w:widowControl/>
              <w:adjustRightInd/>
              <w:spacing w:after="0" w:line="240" w:lineRule="auto"/>
              <w:outlineLvl w:val="0"/>
              <w:rPr>
                <w:rFonts w:ascii="Arial" w:hAnsi="Arial" w:cs="Arial"/>
                <w:bCs/>
                <w:sz w:val="20"/>
                <w:szCs w:val="20"/>
                <w:lang w:eastAsia="sk-SK"/>
              </w:rPr>
            </w:pPr>
            <w:r w:rsidRPr="000F2079">
              <w:rPr>
                <w:rFonts w:ascii="Arial" w:hAnsi="Arial" w:cs="Arial"/>
                <w:bCs/>
                <w:sz w:val="20"/>
                <w:szCs w:val="20"/>
                <w:lang w:eastAsia="sk-SK"/>
              </w:rPr>
              <w:t>Pásmo vymeriavacieho</w:t>
            </w:r>
          </w:p>
          <w:p w:rsidR="00E61035" w:rsidRPr="000F2079" w:rsidRDefault="00E61035" w:rsidP="00E61035">
            <w:pPr>
              <w:widowControl/>
              <w:adjustRightInd/>
              <w:spacing w:after="0" w:line="240" w:lineRule="auto"/>
              <w:outlineLvl w:val="0"/>
              <w:rPr>
                <w:rFonts w:ascii="Arial" w:hAnsi="Arial" w:cs="Arial"/>
                <w:bCs/>
                <w:sz w:val="20"/>
                <w:szCs w:val="20"/>
                <w:lang w:eastAsia="sk-SK"/>
              </w:rPr>
            </w:pPr>
            <w:r w:rsidRPr="000F2079">
              <w:rPr>
                <w:rFonts w:ascii="Arial" w:hAnsi="Arial" w:cs="Arial"/>
                <w:bCs/>
                <w:sz w:val="20"/>
                <w:szCs w:val="20"/>
                <w:lang w:eastAsia="sk-SK"/>
              </w:rPr>
              <w:t>základu</w:t>
            </w:r>
          </w:p>
        </w:tc>
        <w:tc>
          <w:tcPr>
            <w:tcW w:w="6921" w:type="dxa"/>
            <w:gridSpan w:val="4"/>
            <w:shd w:val="clear" w:color="auto" w:fill="9CC2E5"/>
            <w:noWrap/>
          </w:tcPr>
          <w:p w:rsidR="00E61035" w:rsidRPr="000F2079" w:rsidRDefault="00E61035" w:rsidP="00E61035">
            <w:pPr>
              <w:widowControl/>
              <w:adjustRightInd/>
              <w:spacing w:after="0" w:line="240" w:lineRule="auto"/>
              <w:jc w:val="center"/>
              <w:outlineLvl w:val="0"/>
              <w:rPr>
                <w:rFonts w:ascii="Arial" w:hAnsi="Arial" w:cs="Arial"/>
                <w:b/>
                <w:bCs/>
                <w:sz w:val="20"/>
                <w:szCs w:val="20"/>
                <w:lang w:eastAsia="sk-SK"/>
              </w:rPr>
            </w:pPr>
            <w:r w:rsidRPr="000F2079">
              <w:rPr>
                <w:rFonts w:ascii="Arial" w:hAnsi="Arial" w:cs="Arial"/>
                <w:b/>
                <w:bCs/>
                <w:sz w:val="20"/>
                <w:szCs w:val="20"/>
                <w:lang w:eastAsia="sk-SK"/>
              </w:rPr>
              <w:t>Podnikateľská sféra – SZČO</w:t>
            </w:r>
          </w:p>
        </w:tc>
      </w:tr>
      <w:tr w:rsidR="00E61035" w:rsidRPr="000F2079" w:rsidTr="00420BB3">
        <w:trPr>
          <w:trHeight w:val="1189"/>
        </w:trPr>
        <w:tc>
          <w:tcPr>
            <w:tcW w:w="2376" w:type="dxa"/>
            <w:vMerge/>
            <w:shd w:val="clear" w:color="auto" w:fill="9CC2E5"/>
            <w:noWrap/>
            <w:vAlign w:val="center"/>
          </w:tcPr>
          <w:p w:rsidR="00E61035" w:rsidRPr="000F2079" w:rsidRDefault="00E61035" w:rsidP="00E61035">
            <w:pPr>
              <w:widowControl/>
              <w:adjustRightInd/>
              <w:spacing w:after="0" w:line="240" w:lineRule="auto"/>
              <w:outlineLvl w:val="0"/>
              <w:rPr>
                <w:rFonts w:ascii="Arial" w:hAnsi="Arial" w:cs="Arial"/>
                <w:bCs/>
                <w:sz w:val="20"/>
                <w:szCs w:val="20"/>
                <w:lang w:eastAsia="sk-SK"/>
              </w:rPr>
            </w:pPr>
          </w:p>
        </w:tc>
        <w:tc>
          <w:tcPr>
            <w:tcW w:w="1701" w:type="dxa"/>
            <w:shd w:val="clear" w:color="auto" w:fill="9CC2E5"/>
            <w:noWrap/>
            <w:vAlign w:val="center"/>
          </w:tcPr>
          <w:p w:rsidR="00E61035" w:rsidRPr="000F2079" w:rsidRDefault="00E61035" w:rsidP="00E61035">
            <w:pPr>
              <w:widowControl/>
              <w:adjustRightInd/>
              <w:spacing w:after="0" w:line="240" w:lineRule="auto"/>
              <w:jc w:val="center"/>
              <w:outlineLvl w:val="0"/>
              <w:rPr>
                <w:rFonts w:ascii="Arial" w:hAnsi="Arial" w:cs="Arial"/>
                <w:bCs/>
                <w:sz w:val="20"/>
                <w:szCs w:val="20"/>
                <w:lang w:eastAsia="sk-SK"/>
              </w:rPr>
            </w:pPr>
            <w:r w:rsidRPr="000F2079">
              <w:rPr>
                <w:rFonts w:ascii="Arial" w:hAnsi="Arial" w:cs="Arial"/>
                <w:bCs/>
                <w:sz w:val="20"/>
                <w:szCs w:val="20"/>
                <w:lang w:eastAsia="sk-SK"/>
              </w:rPr>
              <w:t>počet zamestnancov</w:t>
            </w:r>
          </w:p>
        </w:tc>
        <w:tc>
          <w:tcPr>
            <w:tcW w:w="1629" w:type="dxa"/>
            <w:shd w:val="clear" w:color="auto" w:fill="9CC2E5"/>
            <w:noWrap/>
            <w:vAlign w:val="center"/>
          </w:tcPr>
          <w:p w:rsidR="00E61035" w:rsidRPr="000F2079" w:rsidRDefault="00E61035" w:rsidP="00E61035">
            <w:pPr>
              <w:widowControl/>
              <w:adjustRightInd/>
              <w:spacing w:after="0" w:line="240" w:lineRule="auto"/>
              <w:jc w:val="center"/>
              <w:outlineLvl w:val="0"/>
              <w:rPr>
                <w:rFonts w:ascii="Arial" w:hAnsi="Arial" w:cs="Arial"/>
                <w:bCs/>
                <w:sz w:val="20"/>
                <w:szCs w:val="20"/>
                <w:lang w:eastAsia="sk-SK"/>
              </w:rPr>
            </w:pPr>
            <w:r w:rsidRPr="000F2079">
              <w:rPr>
                <w:rFonts w:ascii="Arial" w:hAnsi="Arial" w:cs="Arial"/>
                <w:bCs/>
                <w:sz w:val="20"/>
                <w:szCs w:val="20"/>
                <w:lang w:eastAsia="sk-SK"/>
              </w:rPr>
              <w:t xml:space="preserve">úhrn vymeriavacích základov (VZ) v eurách </w:t>
            </w:r>
          </w:p>
        </w:tc>
        <w:tc>
          <w:tcPr>
            <w:tcW w:w="1948" w:type="dxa"/>
            <w:shd w:val="clear" w:color="auto" w:fill="9CC2E5"/>
            <w:noWrap/>
            <w:vAlign w:val="center"/>
          </w:tcPr>
          <w:p w:rsidR="00E61035" w:rsidRPr="000F2079" w:rsidRDefault="00E61035" w:rsidP="00E61035">
            <w:pPr>
              <w:widowControl/>
              <w:adjustRightInd/>
              <w:spacing w:after="0" w:line="240" w:lineRule="auto"/>
              <w:jc w:val="center"/>
              <w:rPr>
                <w:rFonts w:ascii="Arial" w:hAnsi="Arial" w:cs="Arial"/>
                <w:bCs/>
                <w:sz w:val="20"/>
                <w:szCs w:val="20"/>
                <w:lang w:eastAsia="sk-SK"/>
              </w:rPr>
            </w:pPr>
            <w:r w:rsidRPr="000F2079">
              <w:rPr>
                <w:rFonts w:ascii="Arial" w:hAnsi="Arial" w:cs="Arial"/>
                <w:bCs/>
                <w:sz w:val="20"/>
                <w:szCs w:val="20"/>
                <w:lang w:eastAsia="sk-SK"/>
              </w:rPr>
              <w:t xml:space="preserve">Priem. VZ na zamestnanca v eurách </w:t>
            </w:r>
          </w:p>
        </w:tc>
        <w:tc>
          <w:tcPr>
            <w:tcW w:w="1643" w:type="dxa"/>
            <w:shd w:val="clear" w:color="auto" w:fill="9CC2E5"/>
            <w:vAlign w:val="center"/>
          </w:tcPr>
          <w:p w:rsidR="00E61035" w:rsidRPr="000F2079" w:rsidRDefault="00E61035" w:rsidP="00E61035">
            <w:pPr>
              <w:widowControl/>
              <w:adjustRightInd/>
              <w:spacing w:after="0" w:line="240" w:lineRule="auto"/>
              <w:jc w:val="center"/>
              <w:rPr>
                <w:rFonts w:ascii="Arial" w:hAnsi="Arial" w:cs="Arial"/>
                <w:bCs/>
                <w:sz w:val="20"/>
                <w:szCs w:val="20"/>
                <w:lang w:eastAsia="sk-SK"/>
              </w:rPr>
            </w:pPr>
            <w:r w:rsidRPr="000F2079">
              <w:rPr>
                <w:rFonts w:ascii="Arial" w:hAnsi="Arial" w:cs="Arial"/>
                <w:bCs/>
                <w:sz w:val="20"/>
                <w:szCs w:val="20"/>
                <w:lang w:eastAsia="sk-SK"/>
              </w:rPr>
              <w:t xml:space="preserve">Počet SZČO s aspoň 1 zamestnancom </w:t>
            </w:r>
          </w:p>
        </w:tc>
      </w:tr>
      <w:tr w:rsidR="00E61035" w:rsidRPr="000F2079" w:rsidTr="00420BB3">
        <w:trPr>
          <w:trHeight w:val="270"/>
        </w:trPr>
        <w:tc>
          <w:tcPr>
            <w:tcW w:w="2376" w:type="dxa"/>
            <w:shd w:val="clear" w:color="auto" w:fill="DEEAF6"/>
            <w:noWrap/>
            <w:vAlign w:val="center"/>
          </w:tcPr>
          <w:p w:rsidR="00E61035" w:rsidRPr="000F2079" w:rsidRDefault="00E61035" w:rsidP="00E61035">
            <w:pPr>
              <w:widowControl/>
              <w:adjustRightInd/>
              <w:spacing w:after="0" w:line="240" w:lineRule="auto"/>
              <w:outlineLvl w:val="0"/>
              <w:rPr>
                <w:rFonts w:ascii="Arial" w:hAnsi="Arial" w:cs="Arial"/>
                <w:b/>
                <w:bCs/>
                <w:sz w:val="20"/>
                <w:szCs w:val="20"/>
                <w:lang w:eastAsia="sk-SK"/>
              </w:rPr>
            </w:pPr>
            <w:r w:rsidRPr="000F2079">
              <w:rPr>
                <w:rFonts w:ascii="Arial" w:hAnsi="Arial" w:cs="Arial"/>
                <w:b/>
                <w:bCs/>
                <w:sz w:val="20"/>
                <w:szCs w:val="20"/>
                <w:lang w:eastAsia="sk-SK"/>
              </w:rPr>
              <w:t>do 480 eur</w:t>
            </w:r>
          </w:p>
        </w:tc>
        <w:tc>
          <w:tcPr>
            <w:tcW w:w="1701" w:type="dxa"/>
            <w:shd w:val="clear" w:color="auto" w:fill="DEEAF6"/>
          </w:tcPr>
          <w:p w:rsidR="00E61035" w:rsidRPr="000F2079" w:rsidRDefault="00E61035" w:rsidP="00E61035">
            <w:pPr>
              <w:widowControl/>
              <w:adjustRightInd/>
              <w:spacing w:after="0" w:line="240" w:lineRule="auto"/>
              <w:jc w:val="center"/>
              <w:outlineLvl w:val="0"/>
              <w:rPr>
                <w:rFonts w:ascii="Arial" w:hAnsi="Arial" w:cs="Arial"/>
                <w:sz w:val="20"/>
                <w:szCs w:val="20"/>
                <w:lang w:eastAsia="sk-SK"/>
              </w:rPr>
            </w:pPr>
            <w:r w:rsidRPr="000F2079">
              <w:rPr>
                <w:rFonts w:ascii="Arial" w:hAnsi="Arial" w:cs="Arial"/>
                <w:sz w:val="20"/>
                <w:szCs w:val="20"/>
                <w:lang w:eastAsia="sk-SK"/>
              </w:rPr>
              <w:t>53 390</w:t>
            </w:r>
          </w:p>
        </w:tc>
        <w:tc>
          <w:tcPr>
            <w:tcW w:w="1629" w:type="dxa"/>
            <w:shd w:val="clear" w:color="auto" w:fill="DEEAF6"/>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 xml:space="preserve">13 487 072,46 </w:t>
            </w:r>
          </w:p>
        </w:tc>
        <w:tc>
          <w:tcPr>
            <w:tcW w:w="1948" w:type="dxa"/>
            <w:shd w:val="clear" w:color="auto" w:fill="DEEAF6"/>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252,61</w:t>
            </w:r>
          </w:p>
        </w:tc>
        <w:tc>
          <w:tcPr>
            <w:tcW w:w="1643" w:type="dxa"/>
            <w:shd w:val="clear" w:color="auto" w:fill="DEEAF6"/>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22 113</w:t>
            </w:r>
          </w:p>
        </w:tc>
      </w:tr>
      <w:tr w:rsidR="00E61035" w:rsidRPr="000F2079" w:rsidTr="00420BB3">
        <w:trPr>
          <w:trHeight w:val="270"/>
        </w:trPr>
        <w:tc>
          <w:tcPr>
            <w:tcW w:w="2376" w:type="dxa"/>
            <w:shd w:val="clear" w:color="auto" w:fill="DEEAF6"/>
            <w:noWrap/>
            <w:vAlign w:val="center"/>
          </w:tcPr>
          <w:p w:rsidR="00E61035" w:rsidRPr="000F2079" w:rsidRDefault="00E61035" w:rsidP="00E61035">
            <w:pPr>
              <w:widowControl/>
              <w:adjustRightInd/>
              <w:spacing w:after="0" w:line="240" w:lineRule="auto"/>
              <w:outlineLvl w:val="0"/>
              <w:rPr>
                <w:rFonts w:ascii="Arial" w:hAnsi="Arial" w:cs="Arial"/>
                <w:b/>
                <w:bCs/>
                <w:sz w:val="20"/>
                <w:szCs w:val="20"/>
                <w:lang w:eastAsia="sk-SK"/>
              </w:rPr>
            </w:pPr>
            <w:r w:rsidRPr="000F2079">
              <w:rPr>
                <w:rFonts w:ascii="Arial" w:hAnsi="Arial" w:cs="Arial"/>
                <w:b/>
                <w:bCs/>
                <w:sz w:val="20"/>
                <w:szCs w:val="20"/>
                <w:lang w:eastAsia="sk-SK"/>
              </w:rPr>
              <w:t>nad  480 eur do 520 eur</w:t>
            </w:r>
          </w:p>
        </w:tc>
        <w:tc>
          <w:tcPr>
            <w:tcW w:w="1701" w:type="dxa"/>
            <w:shd w:val="clear" w:color="auto" w:fill="DEEAF6"/>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11 576</w:t>
            </w:r>
          </w:p>
        </w:tc>
        <w:tc>
          <w:tcPr>
            <w:tcW w:w="1629" w:type="dxa"/>
            <w:shd w:val="clear" w:color="auto" w:fill="DEEAF6"/>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5 684 837,10</w:t>
            </w:r>
          </w:p>
        </w:tc>
        <w:tc>
          <w:tcPr>
            <w:tcW w:w="1948" w:type="dxa"/>
            <w:shd w:val="clear" w:color="auto" w:fill="DEEAF6"/>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491,09</w:t>
            </w:r>
          </w:p>
        </w:tc>
        <w:tc>
          <w:tcPr>
            <w:tcW w:w="1643" w:type="dxa"/>
            <w:shd w:val="clear" w:color="auto" w:fill="DEEAF6"/>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6 679</w:t>
            </w:r>
          </w:p>
        </w:tc>
      </w:tr>
      <w:tr w:rsidR="00E61035" w:rsidRPr="000F2079" w:rsidTr="00420BB3">
        <w:trPr>
          <w:trHeight w:val="618"/>
        </w:trPr>
        <w:tc>
          <w:tcPr>
            <w:tcW w:w="2376" w:type="dxa"/>
            <w:shd w:val="clear" w:color="auto" w:fill="9CC2E5"/>
            <w:noWrap/>
            <w:vAlign w:val="center"/>
          </w:tcPr>
          <w:p w:rsidR="00E61035" w:rsidRPr="000F2079" w:rsidRDefault="00E61035" w:rsidP="00E61035">
            <w:pPr>
              <w:widowControl/>
              <w:adjustRightInd/>
              <w:spacing w:after="0" w:line="240" w:lineRule="auto"/>
              <w:outlineLvl w:val="0"/>
              <w:rPr>
                <w:rFonts w:ascii="Arial" w:hAnsi="Arial" w:cs="Arial"/>
                <w:b/>
                <w:sz w:val="20"/>
                <w:szCs w:val="20"/>
                <w:lang w:eastAsia="sk-SK"/>
              </w:rPr>
            </w:pPr>
            <w:r w:rsidRPr="000F2079">
              <w:rPr>
                <w:rFonts w:ascii="Arial" w:hAnsi="Arial" w:cs="Arial"/>
                <w:b/>
                <w:sz w:val="20"/>
                <w:szCs w:val="20"/>
                <w:lang w:eastAsia="sk-SK"/>
              </w:rPr>
              <w:t>Počet zamestnancov s doplatkom spolu:</w:t>
            </w:r>
          </w:p>
        </w:tc>
        <w:tc>
          <w:tcPr>
            <w:tcW w:w="1701" w:type="dxa"/>
            <w:shd w:val="clear" w:color="auto" w:fill="9CC2E5"/>
            <w:vAlign w:val="center"/>
          </w:tcPr>
          <w:p w:rsidR="00E61035" w:rsidRPr="000F2079" w:rsidRDefault="00E61035" w:rsidP="00E61035">
            <w:pPr>
              <w:widowControl/>
              <w:adjustRightInd/>
              <w:spacing w:after="0" w:line="240" w:lineRule="auto"/>
              <w:jc w:val="center"/>
              <w:rPr>
                <w:rFonts w:ascii="Arial" w:hAnsi="Arial" w:cs="Arial"/>
                <w:b/>
                <w:bCs/>
                <w:sz w:val="20"/>
                <w:szCs w:val="20"/>
                <w:lang w:eastAsia="sk-SK"/>
              </w:rPr>
            </w:pPr>
            <w:r w:rsidRPr="000F2079">
              <w:rPr>
                <w:rFonts w:ascii="Arial" w:hAnsi="Arial" w:cs="Arial"/>
                <w:b/>
                <w:bCs/>
                <w:sz w:val="20"/>
                <w:szCs w:val="20"/>
                <w:lang w:eastAsia="sk-SK"/>
              </w:rPr>
              <w:t>64 966</w:t>
            </w:r>
          </w:p>
        </w:tc>
        <w:tc>
          <w:tcPr>
            <w:tcW w:w="3577" w:type="dxa"/>
            <w:gridSpan w:val="2"/>
            <w:shd w:val="clear" w:color="auto" w:fill="9CC2E5"/>
            <w:noWrap/>
            <w:vAlign w:val="center"/>
          </w:tcPr>
          <w:p w:rsidR="00E61035" w:rsidRPr="000F2079" w:rsidRDefault="00E61035" w:rsidP="00E61035">
            <w:pPr>
              <w:widowControl/>
              <w:adjustRightInd/>
              <w:spacing w:after="0" w:line="240" w:lineRule="auto"/>
              <w:outlineLvl w:val="0"/>
              <w:rPr>
                <w:rFonts w:ascii="Arial" w:hAnsi="Arial" w:cs="Arial"/>
                <w:b/>
                <w:sz w:val="20"/>
                <w:szCs w:val="20"/>
                <w:lang w:eastAsia="sk-SK"/>
              </w:rPr>
            </w:pPr>
            <w:r w:rsidRPr="000F2079">
              <w:rPr>
                <w:rFonts w:ascii="Arial" w:hAnsi="Arial" w:cs="Arial"/>
                <w:b/>
                <w:bCs/>
                <w:sz w:val="20"/>
                <w:szCs w:val="20"/>
                <w:lang w:eastAsia="sk-SK"/>
              </w:rPr>
              <w:t>Počet dotknutých SZČO spolu:</w:t>
            </w:r>
          </w:p>
        </w:tc>
        <w:tc>
          <w:tcPr>
            <w:tcW w:w="1643" w:type="dxa"/>
            <w:shd w:val="clear" w:color="auto" w:fill="9CC2E5"/>
            <w:vAlign w:val="center"/>
          </w:tcPr>
          <w:p w:rsidR="00E61035" w:rsidRPr="000F2079" w:rsidRDefault="00E61035" w:rsidP="00E61035">
            <w:pPr>
              <w:widowControl/>
              <w:adjustRightInd/>
              <w:spacing w:after="0" w:line="240" w:lineRule="auto"/>
              <w:jc w:val="center"/>
              <w:rPr>
                <w:rFonts w:ascii="Arial" w:hAnsi="Arial" w:cs="Arial"/>
                <w:b/>
                <w:bCs/>
                <w:sz w:val="20"/>
                <w:szCs w:val="20"/>
                <w:lang w:eastAsia="sk-SK"/>
              </w:rPr>
            </w:pPr>
            <w:r w:rsidRPr="000F2079">
              <w:rPr>
                <w:rFonts w:ascii="Arial" w:hAnsi="Arial" w:cs="Arial"/>
                <w:b/>
                <w:bCs/>
                <w:sz w:val="20"/>
                <w:szCs w:val="20"/>
                <w:lang w:eastAsia="sk-SK"/>
              </w:rPr>
              <w:t>28 792</w:t>
            </w:r>
          </w:p>
        </w:tc>
      </w:tr>
    </w:tbl>
    <w:p w:rsidR="00E61035" w:rsidRPr="000F2079" w:rsidRDefault="00E61035" w:rsidP="00E61035">
      <w:pPr>
        <w:spacing w:after="0"/>
        <w:rPr>
          <w:rFonts w:ascii="Arial" w:hAnsi="Arial" w:cs="Arial"/>
          <w:vanish/>
          <w:sz w:val="20"/>
          <w:szCs w:val="20"/>
        </w:rPr>
      </w:pPr>
    </w:p>
    <w:p w:rsidR="00E61035" w:rsidRPr="000F2079" w:rsidRDefault="00DB4E78" w:rsidP="000F2079">
      <w:pPr>
        <w:jc w:val="center"/>
        <w:rPr>
          <w:rFonts w:ascii="Arial" w:hAnsi="Arial" w:cs="Arial"/>
          <w:sz w:val="20"/>
          <w:szCs w:val="20"/>
        </w:rPr>
      </w:pPr>
      <w:r w:rsidRPr="000F2079">
        <w:rPr>
          <w:rFonts w:ascii="Arial" w:hAnsi="Arial" w:cs="Arial"/>
          <w:sz w:val="20"/>
          <w:szCs w:val="20"/>
        </w:rPr>
        <w:t>Tabuľka č. 2</w:t>
      </w:r>
      <w:r w:rsidR="00E61035" w:rsidRPr="000F2079">
        <w:rPr>
          <w:rFonts w:ascii="Arial" w:hAnsi="Arial" w:cs="Arial"/>
          <w:sz w:val="20"/>
          <w:szCs w:val="20"/>
        </w:rPr>
        <w:t>: Doplatky zamestnávateľov – MSP do novej predpo</w:t>
      </w:r>
      <w:r w:rsidR="000F2079">
        <w:rPr>
          <w:rFonts w:ascii="Arial" w:hAnsi="Arial" w:cs="Arial"/>
          <w:sz w:val="20"/>
          <w:szCs w:val="20"/>
        </w:rPr>
        <w:t>kladanej minimálnej hrubej mzdy</w:t>
      </w:r>
    </w:p>
    <w:p w:rsidR="00E61035" w:rsidRPr="000F2079" w:rsidRDefault="00E61035" w:rsidP="00E61035">
      <w:pPr>
        <w:jc w:val="both"/>
        <w:rPr>
          <w:rFonts w:ascii="Arial" w:hAnsi="Arial" w:cs="Arial"/>
          <w:sz w:val="20"/>
          <w:szCs w:val="20"/>
        </w:rPr>
      </w:pPr>
      <w:r w:rsidRPr="000F2079">
        <w:rPr>
          <w:rFonts w:ascii="Arial" w:hAnsi="Arial" w:cs="Arial"/>
          <w:b/>
          <w:sz w:val="20"/>
          <w:szCs w:val="20"/>
        </w:rPr>
        <w:t>Doplatky do novej minimálnej mzdy</w:t>
      </w:r>
    </w:p>
    <w:p w:rsidR="00E61035" w:rsidRPr="000F2079" w:rsidRDefault="00E61035" w:rsidP="00E61035">
      <w:pPr>
        <w:widowControl/>
        <w:adjustRightInd/>
        <w:spacing w:after="0" w:line="240" w:lineRule="auto"/>
        <w:jc w:val="both"/>
        <w:rPr>
          <w:rFonts w:ascii="Arial" w:hAnsi="Arial" w:cs="Arial"/>
          <w:sz w:val="20"/>
          <w:szCs w:val="20"/>
        </w:rPr>
      </w:pPr>
      <w:r w:rsidRPr="000F2079">
        <w:rPr>
          <w:rFonts w:ascii="Arial" w:hAnsi="Arial" w:cs="Arial"/>
          <w:sz w:val="20"/>
          <w:szCs w:val="20"/>
        </w:rPr>
        <w:t xml:space="preserve">Čo sa týka zamestnancov SZČO, údaje o vymeriavacích základoch získané zo Sociálnej poisťovne neumožňujú zohľadniť vplyv počtu odpracovaných hodín a dĺžky dohodnutého týždenného pracovného času, preto bol kvalifikovaný odhad vykonaný na základe určitých predpokladov. Pri skupine zamestnancov, ktorých pásmo vymeriavacieho základu je nižšie ako 480 €, t.j. nižšie ako v súčasnosti platná hrubá mesačná minimálne mzda, predstavuje priemerný vymeriavací základ na zamestnanca 252,61 €. Po náraste minimálnej mzdy na 520 €, čo predstavuje nárast o 8,33 %, môžeme predpokladať, že o rovnaké percento porastie aj priemerný vymeriavací základ u tejto kategórie zamestnancov. Preto celková suma mesačných doplatkov pre 53 390 zamestnancov v tejto kategórií predstavuje 252,61 * [(520-480)/480] * 53 390 = 1 123 903,99 € za mesiac, čo za rok činí </w:t>
      </w:r>
      <w:r w:rsidRPr="000F2079">
        <w:rPr>
          <w:rFonts w:ascii="Arial" w:hAnsi="Arial" w:cs="Arial"/>
          <w:b/>
          <w:sz w:val="20"/>
          <w:szCs w:val="20"/>
        </w:rPr>
        <w:t xml:space="preserve">13 486 847,90 €. </w:t>
      </w:r>
      <w:r w:rsidRPr="000F2079">
        <w:rPr>
          <w:rFonts w:ascii="Arial" w:hAnsi="Arial" w:cs="Arial"/>
          <w:sz w:val="20"/>
          <w:szCs w:val="20"/>
        </w:rPr>
        <w:t xml:space="preserve">Pre druhú skupinu zamestnancov SZČO, t.j. tí, ktorých pásmo vymeriavacieho základu sa pohybovalo medzi 480 € a 520 €, predstavujú mesačné doplatky do mzdy rozdiel medzi novou minimálnou mzdou a súčasným priemerným vymeriavacím základom, t.j. (520 – 491,09) * 11 576 zamestnancov = 334 662,16 €, čo za rok činí </w:t>
      </w:r>
      <w:r w:rsidRPr="000F2079">
        <w:rPr>
          <w:rFonts w:ascii="Arial" w:hAnsi="Arial" w:cs="Arial"/>
          <w:b/>
          <w:sz w:val="20"/>
          <w:szCs w:val="20"/>
        </w:rPr>
        <w:t xml:space="preserve">4 015 945,92 €. </w:t>
      </w:r>
      <w:r w:rsidRPr="000F2079">
        <w:rPr>
          <w:rFonts w:ascii="Arial" w:hAnsi="Arial" w:cs="Arial"/>
          <w:sz w:val="20"/>
          <w:szCs w:val="20"/>
        </w:rPr>
        <w:t xml:space="preserve">Pri zamestnávateľoch – PO z kategórie mikro, malých a stredných podnikov činí celkový objem mesačných doplatkov do minimálnej mzdy 1 693 211,97 €, čo predstavuje </w:t>
      </w:r>
      <w:r w:rsidRPr="000F2079">
        <w:rPr>
          <w:rFonts w:ascii="Arial" w:hAnsi="Arial" w:cs="Arial"/>
          <w:b/>
          <w:sz w:val="20"/>
          <w:szCs w:val="20"/>
        </w:rPr>
        <w:t xml:space="preserve">20 318 543,63 € </w:t>
      </w:r>
      <w:r w:rsidRPr="000F2079">
        <w:rPr>
          <w:rFonts w:ascii="Arial" w:hAnsi="Arial" w:cs="Arial"/>
          <w:sz w:val="20"/>
          <w:szCs w:val="20"/>
        </w:rPr>
        <w:t>ročne</w:t>
      </w:r>
      <w:r w:rsidRPr="000F2079">
        <w:rPr>
          <w:rFonts w:ascii="Arial" w:hAnsi="Arial" w:cs="Arial"/>
          <w:b/>
          <w:sz w:val="20"/>
          <w:szCs w:val="20"/>
        </w:rPr>
        <w:t>.</w:t>
      </w:r>
      <w:r w:rsidRPr="000F2079">
        <w:rPr>
          <w:rFonts w:ascii="Arial" w:hAnsi="Arial" w:cs="Arial"/>
          <w:sz w:val="20"/>
          <w:szCs w:val="20"/>
        </w:rPr>
        <w:t xml:space="preserve">  </w:t>
      </w:r>
    </w:p>
    <w:p w:rsidR="006F0AC2" w:rsidRDefault="006F0AC2" w:rsidP="00E61035">
      <w:pPr>
        <w:widowControl/>
        <w:adjustRightInd/>
        <w:spacing w:after="0" w:line="240" w:lineRule="auto"/>
        <w:jc w:val="both"/>
        <w:rPr>
          <w:rFonts w:ascii="Arial" w:hAnsi="Arial" w:cs="Arial"/>
          <w:sz w:val="20"/>
          <w:szCs w:val="20"/>
        </w:rPr>
      </w:pPr>
    </w:p>
    <w:p w:rsidR="00E61035" w:rsidRPr="000F2079" w:rsidRDefault="00E61035" w:rsidP="00721F5A">
      <w:pPr>
        <w:widowControl/>
        <w:pBdr>
          <w:top w:val="single" w:sz="4" w:space="1" w:color="auto"/>
          <w:left w:val="single" w:sz="4" w:space="4" w:color="auto"/>
          <w:bottom w:val="single" w:sz="4" w:space="1" w:color="auto"/>
          <w:right w:val="single" w:sz="4" w:space="4" w:color="auto"/>
        </w:pBdr>
        <w:shd w:val="clear" w:color="auto" w:fill="D9D9D9"/>
        <w:adjustRightInd/>
        <w:spacing w:after="0" w:line="240" w:lineRule="auto"/>
        <w:jc w:val="both"/>
        <w:rPr>
          <w:rFonts w:ascii="Arial" w:hAnsi="Arial" w:cs="Arial"/>
          <w:sz w:val="20"/>
          <w:szCs w:val="20"/>
        </w:rPr>
      </w:pPr>
      <w:r w:rsidRPr="000F2079">
        <w:rPr>
          <w:rFonts w:ascii="Arial" w:hAnsi="Arial" w:cs="Arial"/>
          <w:sz w:val="20"/>
          <w:szCs w:val="20"/>
        </w:rPr>
        <w:t xml:space="preserve">Celkový ročný objem doplatkov do novej plánovanej minimálnej hrubej mzdy vo výške 520 € teda predstavuje </w:t>
      </w:r>
      <w:r w:rsidRPr="000F2079">
        <w:rPr>
          <w:rFonts w:ascii="Arial" w:hAnsi="Arial" w:cs="Arial"/>
          <w:b/>
          <w:sz w:val="20"/>
          <w:szCs w:val="20"/>
        </w:rPr>
        <w:t xml:space="preserve">13 486 847,90 € + 4 015 945,92 € + 20 318 543,63 € = 37 821 338 € </w:t>
      </w:r>
      <w:r w:rsidRPr="000F2079">
        <w:rPr>
          <w:rFonts w:ascii="Arial" w:hAnsi="Arial" w:cs="Arial"/>
          <w:sz w:val="20"/>
          <w:szCs w:val="20"/>
        </w:rPr>
        <w:t>pre zamestnávateľov z kategórie MSP.</w:t>
      </w:r>
    </w:p>
    <w:p w:rsidR="00E61035" w:rsidRPr="000F2079" w:rsidRDefault="00E61035" w:rsidP="00E61035">
      <w:pPr>
        <w:widowControl/>
        <w:adjustRightInd/>
        <w:spacing w:after="0" w:line="240" w:lineRule="auto"/>
        <w:jc w:val="both"/>
        <w:rPr>
          <w:rFonts w:ascii="Arial" w:hAnsi="Arial" w:cs="Arial"/>
          <w:sz w:val="20"/>
          <w:szCs w:val="20"/>
        </w:rPr>
      </w:pPr>
    </w:p>
    <w:p w:rsidR="00E61035" w:rsidRPr="000F2079" w:rsidRDefault="00E61035" w:rsidP="00E61035">
      <w:pPr>
        <w:widowControl/>
        <w:adjustRightInd/>
        <w:spacing w:after="0" w:line="240" w:lineRule="auto"/>
        <w:jc w:val="both"/>
        <w:rPr>
          <w:rFonts w:ascii="Arial" w:hAnsi="Arial" w:cs="Arial"/>
          <w:b/>
          <w:sz w:val="20"/>
          <w:szCs w:val="20"/>
        </w:rPr>
      </w:pPr>
      <w:r w:rsidRPr="000F2079">
        <w:rPr>
          <w:rFonts w:ascii="Arial" w:hAnsi="Arial" w:cs="Arial"/>
          <w:b/>
          <w:sz w:val="20"/>
          <w:szCs w:val="20"/>
        </w:rPr>
        <w:t>Zdravotné odvody z vyššej minimálnej mzdy</w:t>
      </w:r>
    </w:p>
    <w:p w:rsidR="00E61035" w:rsidRPr="000F2079" w:rsidRDefault="00E61035" w:rsidP="00E61035">
      <w:pPr>
        <w:widowControl/>
        <w:adjustRightInd/>
        <w:spacing w:after="0" w:line="240" w:lineRule="auto"/>
        <w:jc w:val="both"/>
        <w:rPr>
          <w:rFonts w:ascii="Arial" w:hAnsi="Arial" w:cs="Arial"/>
          <w:b/>
          <w:sz w:val="20"/>
          <w:szCs w:val="20"/>
        </w:rPr>
      </w:pPr>
    </w:p>
    <w:p w:rsidR="00E61035" w:rsidRPr="000F2079" w:rsidRDefault="00E61035" w:rsidP="00E61035">
      <w:pPr>
        <w:widowControl/>
        <w:adjustRightInd/>
        <w:spacing w:after="0" w:line="240" w:lineRule="auto"/>
        <w:jc w:val="both"/>
        <w:rPr>
          <w:rFonts w:ascii="Arial" w:hAnsi="Arial" w:cs="Arial"/>
          <w:sz w:val="20"/>
          <w:szCs w:val="20"/>
        </w:rPr>
      </w:pPr>
      <w:r w:rsidRPr="000F2079">
        <w:rPr>
          <w:rFonts w:ascii="Arial" w:hAnsi="Arial" w:cs="Arial"/>
          <w:sz w:val="20"/>
          <w:szCs w:val="20"/>
        </w:rPr>
        <w:t xml:space="preserve">Zvýšenie minimálnej mzdy bude mať samozrejme dopad aj na výšku zdravotných odvodov, ktoré budú zamestnávatelia musieť odvádzať za svojich zamestnancov. Tabuľka č. 2, ktorú nájdeme nižšie, uvádza celkový nárast vo výške zaplatených zdravotných odvodov zo strany MSP ako výsledok zvýšenia minimálnej mzdy na úroveň 520 €. Celková sa jedná o nárast vo výške </w:t>
      </w:r>
      <w:r w:rsidRPr="000F2079">
        <w:rPr>
          <w:rFonts w:ascii="Arial" w:hAnsi="Arial" w:cs="Arial"/>
          <w:b/>
          <w:sz w:val="20"/>
          <w:szCs w:val="20"/>
        </w:rPr>
        <w:t xml:space="preserve">3 784 368 €. </w:t>
      </w:r>
    </w:p>
    <w:p w:rsidR="00E61035" w:rsidRPr="000F2079" w:rsidRDefault="00E61035" w:rsidP="00E61035">
      <w:pPr>
        <w:widowControl/>
        <w:adjustRightInd/>
        <w:spacing w:after="0" w:line="240" w:lineRule="auto"/>
        <w:jc w:val="both"/>
        <w:rPr>
          <w:rFonts w:ascii="Arial" w:hAnsi="Arial" w:cs="Arial"/>
          <w:sz w:val="20"/>
          <w:szCs w:val="20"/>
        </w:rPr>
      </w:pPr>
    </w:p>
    <w:tbl>
      <w:tblPr>
        <w:tblW w:w="9139" w:type="dxa"/>
        <w:tblInd w:w="60" w:type="dxa"/>
        <w:tblCellMar>
          <w:left w:w="70" w:type="dxa"/>
          <w:right w:w="70" w:type="dxa"/>
        </w:tblCellMar>
        <w:tblLook w:val="04A0" w:firstRow="1" w:lastRow="0" w:firstColumn="1" w:lastColumn="0" w:noHBand="0" w:noVBand="1"/>
      </w:tblPr>
      <w:tblGrid>
        <w:gridCol w:w="3838"/>
        <w:gridCol w:w="1430"/>
        <w:gridCol w:w="1843"/>
        <w:gridCol w:w="2028"/>
      </w:tblGrid>
      <w:tr w:rsidR="00E61035" w:rsidRPr="000F2079" w:rsidTr="00420BB3">
        <w:trPr>
          <w:trHeight w:val="567"/>
        </w:trPr>
        <w:tc>
          <w:tcPr>
            <w:tcW w:w="3838" w:type="dxa"/>
            <w:tcBorders>
              <w:top w:val="single" w:sz="8" w:space="0" w:color="auto"/>
              <w:left w:val="single" w:sz="8" w:space="0" w:color="auto"/>
              <w:bottom w:val="single" w:sz="4" w:space="0" w:color="auto"/>
              <w:right w:val="single" w:sz="4" w:space="0" w:color="auto"/>
            </w:tcBorders>
            <w:shd w:val="clear" w:color="auto" w:fill="9CC2E5"/>
            <w:noWrap/>
            <w:vAlign w:val="center"/>
            <w:hideMark/>
          </w:tcPr>
          <w:p w:rsidR="00E61035" w:rsidRPr="000F2079" w:rsidRDefault="00E61035" w:rsidP="00E61035">
            <w:pPr>
              <w:widowControl/>
              <w:adjustRightInd/>
              <w:spacing w:after="0" w:line="240" w:lineRule="auto"/>
              <w:rPr>
                <w:rFonts w:ascii="Arial" w:hAnsi="Arial" w:cs="Arial"/>
                <w:sz w:val="20"/>
                <w:szCs w:val="20"/>
                <w:lang w:eastAsia="sk-SK"/>
              </w:rPr>
            </w:pPr>
            <w:r w:rsidRPr="000F2079">
              <w:rPr>
                <w:rFonts w:ascii="Arial" w:hAnsi="Arial" w:cs="Arial"/>
                <w:sz w:val="20"/>
                <w:szCs w:val="20"/>
                <w:lang w:eastAsia="sk-SK"/>
              </w:rPr>
              <w:lastRenderedPageBreak/>
              <w:t>Skupina zamestnancov</w:t>
            </w:r>
          </w:p>
        </w:tc>
        <w:tc>
          <w:tcPr>
            <w:tcW w:w="1245" w:type="dxa"/>
            <w:tcBorders>
              <w:top w:val="single" w:sz="8" w:space="0" w:color="auto"/>
              <w:left w:val="nil"/>
              <w:bottom w:val="single" w:sz="4" w:space="0" w:color="auto"/>
              <w:right w:val="single" w:sz="4" w:space="0" w:color="auto"/>
            </w:tcBorders>
            <w:shd w:val="clear" w:color="auto" w:fill="9CC2E5"/>
            <w:noWrap/>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Počet zamestnancov</w:t>
            </w:r>
          </w:p>
        </w:tc>
        <w:tc>
          <w:tcPr>
            <w:tcW w:w="1843" w:type="dxa"/>
            <w:tcBorders>
              <w:top w:val="single" w:sz="8" w:space="0" w:color="auto"/>
              <w:left w:val="nil"/>
              <w:bottom w:val="single" w:sz="4" w:space="0" w:color="auto"/>
              <w:right w:val="single" w:sz="4" w:space="0" w:color="auto"/>
            </w:tcBorders>
            <w:shd w:val="clear" w:color="auto" w:fill="9CC2E5"/>
            <w:noWrap/>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Zvýšenie na osobu za mesiac v eurách</w:t>
            </w:r>
          </w:p>
        </w:tc>
        <w:tc>
          <w:tcPr>
            <w:tcW w:w="2213" w:type="dxa"/>
            <w:tcBorders>
              <w:top w:val="single" w:sz="8" w:space="0" w:color="auto"/>
              <w:left w:val="nil"/>
              <w:bottom w:val="single" w:sz="4" w:space="0" w:color="auto"/>
              <w:right w:val="single" w:sz="8" w:space="0" w:color="auto"/>
            </w:tcBorders>
            <w:shd w:val="clear" w:color="auto" w:fill="9CC2E5"/>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Zvýšenie na všetkých zamestnancov ročne v €</w:t>
            </w:r>
          </w:p>
        </w:tc>
      </w:tr>
      <w:tr w:rsidR="00E61035" w:rsidRPr="000F2079" w:rsidTr="00420BB3">
        <w:trPr>
          <w:trHeight w:val="340"/>
        </w:trPr>
        <w:tc>
          <w:tcPr>
            <w:tcW w:w="3838" w:type="dxa"/>
            <w:tcBorders>
              <w:top w:val="nil"/>
              <w:left w:val="single" w:sz="8" w:space="0" w:color="auto"/>
              <w:bottom w:val="single" w:sz="4" w:space="0" w:color="auto"/>
              <w:right w:val="single" w:sz="4" w:space="0" w:color="auto"/>
            </w:tcBorders>
            <w:shd w:val="clear" w:color="auto" w:fill="9CC2E5"/>
            <w:noWrap/>
            <w:vAlign w:val="center"/>
            <w:hideMark/>
          </w:tcPr>
          <w:p w:rsidR="00E61035" w:rsidRPr="000F2079" w:rsidRDefault="00E61035" w:rsidP="00E61035">
            <w:pPr>
              <w:widowControl/>
              <w:adjustRightInd/>
              <w:spacing w:after="0" w:line="240" w:lineRule="auto"/>
              <w:rPr>
                <w:rFonts w:ascii="Arial" w:hAnsi="Arial" w:cs="Arial"/>
                <w:sz w:val="20"/>
                <w:szCs w:val="20"/>
                <w:lang w:eastAsia="sk-SK"/>
              </w:rPr>
            </w:pPr>
            <w:r w:rsidRPr="000F2079">
              <w:rPr>
                <w:rFonts w:ascii="Arial" w:hAnsi="Arial" w:cs="Arial"/>
                <w:sz w:val="20"/>
                <w:szCs w:val="20"/>
                <w:lang w:eastAsia="sk-SK"/>
              </w:rPr>
              <w:t>Podniky okrem SZČO, do 480 eur</w:t>
            </w:r>
          </w:p>
        </w:tc>
        <w:tc>
          <w:tcPr>
            <w:tcW w:w="1245" w:type="dxa"/>
            <w:tcBorders>
              <w:top w:val="nil"/>
              <w:left w:val="nil"/>
              <w:bottom w:val="single" w:sz="4" w:space="0" w:color="auto"/>
              <w:right w:val="single" w:sz="4" w:space="0" w:color="auto"/>
            </w:tcBorders>
            <w:shd w:val="clear" w:color="auto" w:fill="DEEAF6"/>
            <w:vAlign w:val="center"/>
          </w:tcPr>
          <w:p w:rsidR="00E61035" w:rsidRPr="000F2079" w:rsidRDefault="00E61035" w:rsidP="00E61035">
            <w:pPr>
              <w:widowControl/>
              <w:adjustRightInd/>
              <w:spacing w:after="0" w:line="240" w:lineRule="auto"/>
              <w:jc w:val="center"/>
              <w:rPr>
                <w:rFonts w:ascii="Arial" w:hAnsi="Arial" w:cs="Arial"/>
                <w:bCs/>
                <w:sz w:val="20"/>
                <w:szCs w:val="20"/>
                <w:lang w:eastAsia="sk-SK"/>
              </w:rPr>
            </w:pPr>
            <w:r w:rsidRPr="000F2079">
              <w:rPr>
                <w:rFonts w:ascii="Arial" w:hAnsi="Arial" w:cs="Arial"/>
                <w:bCs/>
                <w:sz w:val="20"/>
                <w:szCs w:val="20"/>
                <w:lang w:eastAsia="sk-SK"/>
              </w:rPr>
              <w:t>19 604</w:t>
            </w:r>
          </w:p>
        </w:tc>
        <w:tc>
          <w:tcPr>
            <w:tcW w:w="1843" w:type="dxa"/>
            <w:tcBorders>
              <w:top w:val="nil"/>
              <w:left w:val="nil"/>
              <w:bottom w:val="single" w:sz="4" w:space="0" w:color="auto"/>
              <w:right w:val="single" w:sz="4" w:space="0" w:color="auto"/>
            </w:tcBorders>
            <w:shd w:val="clear" w:color="auto" w:fill="DEEAF6"/>
            <w:vAlign w:val="center"/>
          </w:tcPr>
          <w:p w:rsidR="00E61035" w:rsidRPr="000F2079" w:rsidRDefault="00E61035" w:rsidP="00E61035">
            <w:pPr>
              <w:widowControl/>
              <w:adjustRightInd/>
              <w:spacing w:after="0" w:line="240" w:lineRule="auto"/>
              <w:jc w:val="center"/>
              <w:rPr>
                <w:rFonts w:ascii="Arial" w:hAnsi="Arial" w:cs="Arial"/>
                <w:bCs/>
                <w:sz w:val="20"/>
                <w:szCs w:val="20"/>
                <w:lang w:eastAsia="sk-SK"/>
              </w:rPr>
            </w:pPr>
            <w:r w:rsidRPr="000F2079">
              <w:rPr>
                <w:rFonts w:ascii="Arial" w:hAnsi="Arial" w:cs="Arial"/>
                <w:bCs/>
                <w:sz w:val="20"/>
                <w:szCs w:val="20"/>
                <w:lang w:eastAsia="sk-SK"/>
              </w:rPr>
              <w:t>4</w:t>
            </w:r>
          </w:p>
        </w:tc>
        <w:tc>
          <w:tcPr>
            <w:tcW w:w="2213" w:type="dxa"/>
            <w:tcBorders>
              <w:top w:val="nil"/>
              <w:left w:val="nil"/>
              <w:bottom w:val="single" w:sz="4" w:space="0" w:color="auto"/>
              <w:right w:val="single" w:sz="4" w:space="0" w:color="auto"/>
            </w:tcBorders>
            <w:shd w:val="clear" w:color="auto" w:fill="DEEAF6"/>
            <w:vAlign w:val="center"/>
          </w:tcPr>
          <w:p w:rsidR="00E61035" w:rsidRPr="000F2079" w:rsidRDefault="00E61035" w:rsidP="00E61035">
            <w:pPr>
              <w:widowControl/>
              <w:adjustRightInd/>
              <w:spacing w:after="0" w:line="240" w:lineRule="auto"/>
              <w:jc w:val="center"/>
              <w:rPr>
                <w:rFonts w:ascii="Arial" w:hAnsi="Arial" w:cs="Arial"/>
                <w:bCs/>
                <w:sz w:val="20"/>
                <w:szCs w:val="20"/>
                <w:lang w:eastAsia="sk-SK"/>
              </w:rPr>
            </w:pPr>
            <w:r w:rsidRPr="000F2079">
              <w:rPr>
                <w:rFonts w:ascii="Arial" w:hAnsi="Arial" w:cs="Arial"/>
                <w:bCs/>
                <w:sz w:val="20"/>
                <w:szCs w:val="20"/>
                <w:lang w:eastAsia="sk-SK"/>
              </w:rPr>
              <w:t>940 992</w:t>
            </w:r>
          </w:p>
        </w:tc>
      </w:tr>
      <w:tr w:rsidR="00E61035" w:rsidRPr="000F2079" w:rsidTr="00420BB3">
        <w:trPr>
          <w:trHeight w:val="340"/>
        </w:trPr>
        <w:tc>
          <w:tcPr>
            <w:tcW w:w="3838" w:type="dxa"/>
            <w:tcBorders>
              <w:top w:val="nil"/>
              <w:left w:val="single" w:sz="8" w:space="0" w:color="auto"/>
              <w:bottom w:val="single" w:sz="4" w:space="0" w:color="auto"/>
              <w:right w:val="single" w:sz="4" w:space="0" w:color="auto"/>
            </w:tcBorders>
            <w:shd w:val="clear" w:color="auto" w:fill="9CC2E5"/>
            <w:noWrap/>
            <w:vAlign w:val="center"/>
            <w:hideMark/>
          </w:tcPr>
          <w:p w:rsidR="00E61035" w:rsidRPr="000F2079" w:rsidRDefault="00E61035" w:rsidP="00E61035">
            <w:pPr>
              <w:widowControl/>
              <w:adjustRightInd/>
              <w:spacing w:after="0" w:line="240" w:lineRule="auto"/>
              <w:rPr>
                <w:rFonts w:ascii="Arial" w:hAnsi="Arial" w:cs="Arial"/>
                <w:sz w:val="20"/>
                <w:szCs w:val="20"/>
                <w:lang w:eastAsia="sk-SK"/>
              </w:rPr>
            </w:pPr>
            <w:r w:rsidRPr="000F2079">
              <w:rPr>
                <w:rFonts w:ascii="Arial" w:hAnsi="Arial" w:cs="Arial"/>
                <w:sz w:val="20"/>
                <w:szCs w:val="20"/>
                <w:lang w:eastAsia="sk-SK"/>
              </w:rPr>
              <w:t>Podniky okrem SZČO, od 480 do 520 eur</w:t>
            </w:r>
          </w:p>
        </w:tc>
        <w:tc>
          <w:tcPr>
            <w:tcW w:w="1245" w:type="dxa"/>
            <w:tcBorders>
              <w:top w:val="nil"/>
              <w:left w:val="nil"/>
              <w:bottom w:val="single" w:sz="4" w:space="0" w:color="auto"/>
              <w:right w:val="single" w:sz="4" w:space="0" w:color="auto"/>
            </w:tcBorders>
            <w:shd w:val="clear" w:color="auto" w:fill="DEEAF6"/>
            <w:vAlign w:val="center"/>
          </w:tcPr>
          <w:p w:rsidR="00E61035" w:rsidRPr="000F2079" w:rsidRDefault="00E61035" w:rsidP="00E61035">
            <w:pPr>
              <w:widowControl/>
              <w:adjustRightInd/>
              <w:spacing w:after="0" w:line="240" w:lineRule="auto"/>
              <w:jc w:val="center"/>
              <w:rPr>
                <w:rFonts w:ascii="Arial" w:hAnsi="Arial" w:cs="Arial"/>
                <w:bCs/>
                <w:sz w:val="20"/>
                <w:szCs w:val="20"/>
                <w:lang w:eastAsia="sk-SK"/>
              </w:rPr>
            </w:pPr>
            <w:r w:rsidRPr="000F2079">
              <w:rPr>
                <w:rFonts w:ascii="Arial" w:hAnsi="Arial" w:cs="Arial"/>
                <w:bCs/>
                <w:sz w:val="20"/>
                <w:szCs w:val="20"/>
                <w:lang w:eastAsia="sk-SK"/>
              </w:rPr>
              <w:t>31 652</w:t>
            </w:r>
          </w:p>
        </w:tc>
        <w:tc>
          <w:tcPr>
            <w:tcW w:w="1843" w:type="dxa"/>
            <w:tcBorders>
              <w:top w:val="nil"/>
              <w:left w:val="nil"/>
              <w:bottom w:val="single" w:sz="4" w:space="0" w:color="auto"/>
              <w:right w:val="single" w:sz="4" w:space="0" w:color="auto"/>
            </w:tcBorders>
            <w:shd w:val="clear" w:color="auto" w:fill="DEEAF6"/>
            <w:vAlign w:val="center"/>
          </w:tcPr>
          <w:p w:rsidR="00E61035" w:rsidRPr="000F2079" w:rsidRDefault="00E61035" w:rsidP="00E61035">
            <w:pPr>
              <w:widowControl/>
              <w:adjustRightInd/>
              <w:spacing w:after="0" w:line="240" w:lineRule="auto"/>
              <w:jc w:val="center"/>
              <w:rPr>
                <w:rFonts w:ascii="Arial" w:hAnsi="Arial" w:cs="Arial"/>
                <w:bCs/>
                <w:sz w:val="20"/>
                <w:szCs w:val="20"/>
                <w:lang w:eastAsia="sk-SK"/>
              </w:rPr>
            </w:pPr>
            <w:r w:rsidRPr="000F2079">
              <w:rPr>
                <w:rFonts w:ascii="Arial" w:hAnsi="Arial" w:cs="Arial"/>
                <w:bCs/>
                <w:sz w:val="20"/>
                <w:szCs w:val="20"/>
                <w:lang w:eastAsia="sk-SK"/>
              </w:rPr>
              <w:t>2,87</w:t>
            </w:r>
          </w:p>
        </w:tc>
        <w:tc>
          <w:tcPr>
            <w:tcW w:w="2213" w:type="dxa"/>
            <w:tcBorders>
              <w:top w:val="nil"/>
              <w:left w:val="nil"/>
              <w:bottom w:val="single" w:sz="4" w:space="0" w:color="auto"/>
              <w:right w:val="single" w:sz="4" w:space="0" w:color="auto"/>
            </w:tcBorders>
            <w:shd w:val="clear" w:color="auto" w:fill="DEEAF6"/>
            <w:vAlign w:val="center"/>
          </w:tcPr>
          <w:p w:rsidR="00E61035" w:rsidRPr="000F2079" w:rsidRDefault="00E61035" w:rsidP="00E61035">
            <w:pPr>
              <w:widowControl/>
              <w:adjustRightInd/>
              <w:spacing w:after="0" w:line="240" w:lineRule="auto"/>
              <w:jc w:val="center"/>
              <w:rPr>
                <w:rFonts w:ascii="Arial" w:hAnsi="Arial" w:cs="Arial"/>
                <w:bCs/>
                <w:sz w:val="20"/>
                <w:szCs w:val="20"/>
                <w:lang w:eastAsia="sk-SK"/>
              </w:rPr>
            </w:pPr>
            <w:r w:rsidRPr="000F2079">
              <w:rPr>
                <w:rFonts w:ascii="Arial" w:hAnsi="Arial" w:cs="Arial"/>
                <w:bCs/>
                <w:sz w:val="20"/>
                <w:szCs w:val="20"/>
                <w:lang w:eastAsia="sk-SK"/>
              </w:rPr>
              <w:t>1 090 092</w:t>
            </w:r>
          </w:p>
        </w:tc>
      </w:tr>
      <w:tr w:rsidR="00E61035" w:rsidRPr="000F2079" w:rsidTr="00420BB3">
        <w:trPr>
          <w:trHeight w:val="340"/>
        </w:trPr>
        <w:tc>
          <w:tcPr>
            <w:tcW w:w="3838" w:type="dxa"/>
            <w:tcBorders>
              <w:top w:val="single" w:sz="4" w:space="0" w:color="auto"/>
              <w:left w:val="single" w:sz="8" w:space="0" w:color="auto"/>
              <w:bottom w:val="single" w:sz="8" w:space="0" w:color="auto"/>
              <w:right w:val="single" w:sz="4" w:space="0" w:color="auto"/>
            </w:tcBorders>
            <w:shd w:val="clear" w:color="auto" w:fill="9CC2E5"/>
            <w:noWrap/>
            <w:vAlign w:val="center"/>
            <w:hideMark/>
          </w:tcPr>
          <w:p w:rsidR="00E61035" w:rsidRPr="000F2079" w:rsidRDefault="00E61035" w:rsidP="00E61035">
            <w:pPr>
              <w:widowControl/>
              <w:adjustRightInd/>
              <w:spacing w:after="0" w:line="240" w:lineRule="auto"/>
              <w:rPr>
                <w:rFonts w:ascii="Arial" w:hAnsi="Arial" w:cs="Arial"/>
                <w:sz w:val="20"/>
                <w:szCs w:val="20"/>
                <w:lang w:eastAsia="sk-SK"/>
              </w:rPr>
            </w:pPr>
            <w:r w:rsidRPr="000F2079">
              <w:rPr>
                <w:rFonts w:ascii="Arial" w:hAnsi="Arial" w:cs="Arial"/>
                <w:sz w:val="20"/>
                <w:szCs w:val="20"/>
                <w:lang w:eastAsia="sk-SK"/>
              </w:rPr>
              <w:t>Zam. u SZČO do 480 eur*</w:t>
            </w:r>
          </w:p>
        </w:tc>
        <w:tc>
          <w:tcPr>
            <w:tcW w:w="1245" w:type="dxa"/>
            <w:tcBorders>
              <w:top w:val="single" w:sz="4" w:space="0" w:color="auto"/>
              <w:left w:val="nil"/>
              <w:bottom w:val="single" w:sz="8" w:space="0" w:color="auto"/>
              <w:right w:val="single" w:sz="4" w:space="0" w:color="auto"/>
            </w:tcBorders>
            <w:shd w:val="clear" w:color="auto" w:fill="DEEAF6"/>
            <w:vAlign w:val="center"/>
          </w:tcPr>
          <w:p w:rsidR="00E61035" w:rsidRPr="000F2079" w:rsidRDefault="00E61035" w:rsidP="00E61035">
            <w:pPr>
              <w:widowControl/>
              <w:adjustRightInd/>
              <w:spacing w:after="0" w:line="240" w:lineRule="auto"/>
              <w:jc w:val="center"/>
              <w:rPr>
                <w:rFonts w:ascii="Arial" w:hAnsi="Arial" w:cs="Arial"/>
                <w:bCs/>
                <w:sz w:val="20"/>
                <w:szCs w:val="20"/>
                <w:lang w:eastAsia="sk-SK"/>
              </w:rPr>
            </w:pPr>
            <w:r w:rsidRPr="000F2079">
              <w:rPr>
                <w:rFonts w:ascii="Arial" w:hAnsi="Arial" w:cs="Arial"/>
                <w:bCs/>
                <w:sz w:val="20"/>
                <w:szCs w:val="20"/>
                <w:lang w:eastAsia="sk-SK"/>
              </w:rPr>
              <w:t>53 390</w:t>
            </w:r>
          </w:p>
        </w:tc>
        <w:tc>
          <w:tcPr>
            <w:tcW w:w="1843" w:type="dxa"/>
            <w:tcBorders>
              <w:top w:val="single" w:sz="4" w:space="0" w:color="auto"/>
              <w:left w:val="nil"/>
              <w:bottom w:val="single" w:sz="8" w:space="0" w:color="auto"/>
              <w:right w:val="single" w:sz="4" w:space="0" w:color="auto"/>
            </w:tcBorders>
            <w:shd w:val="clear" w:color="auto" w:fill="DEEAF6"/>
            <w:vAlign w:val="center"/>
          </w:tcPr>
          <w:p w:rsidR="00E61035" w:rsidRPr="000F2079" w:rsidRDefault="00E61035" w:rsidP="00E61035">
            <w:pPr>
              <w:widowControl/>
              <w:adjustRightInd/>
              <w:spacing w:after="0" w:line="240" w:lineRule="auto"/>
              <w:jc w:val="center"/>
              <w:rPr>
                <w:rFonts w:ascii="Arial" w:hAnsi="Arial" w:cs="Arial"/>
                <w:bCs/>
                <w:sz w:val="20"/>
                <w:szCs w:val="20"/>
                <w:lang w:eastAsia="sk-SK"/>
              </w:rPr>
            </w:pPr>
            <w:r w:rsidRPr="000F2079">
              <w:rPr>
                <w:rFonts w:ascii="Arial" w:hAnsi="Arial" w:cs="Arial"/>
                <w:bCs/>
                <w:sz w:val="20"/>
                <w:szCs w:val="20"/>
                <w:lang w:eastAsia="sk-SK"/>
              </w:rPr>
              <w:t>2,11</w:t>
            </w:r>
          </w:p>
        </w:tc>
        <w:tc>
          <w:tcPr>
            <w:tcW w:w="2213" w:type="dxa"/>
            <w:tcBorders>
              <w:top w:val="single" w:sz="4" w:space="0" w:color="auto"/>
              <w:left w:val="nil"/>
              <w:bottom w:val="single" w:sz="8" w:space="0" w:color="auto"/>
              <w:right w:val="single" w:sz="4" w:space="0" w:color="auto"/>
            </w:tcBorders>
            <w:shd w:val="clear" w:color="auto" w:fill="DEEAF6"/>
            <w:vAlign w:val="center"/>
          </w:tcPr>
          <w:p w:rsidR="00E61035" w:rsidRPr="000F2079" w:rsidRDefault="00E61035" w:rsidP="00E61035">
            <w:pPr>
              <w:widowControl/>
              <w:adjustRightInd/>
              <w:spacing w:after="0" w:line="240" w:lineRule="auto"/>
              <w:jc w:val="center"/>
              <w:rPr>
                <w:rFonts w:ascii="Arial" w:hAnsi="Arial" w:cs="Arial"/>
                <w:bCs/>
                <w:sz w:val="20"/>
                <w:szCs w:val="20"/>
                <w:lang w:eastAsia="sk-SK"/>
              </w:rPr>
            </w:pPr>
            <w:r w:rsidRPr="000F2079">
              <w:rPr>
                <w:rFonts w:ascii="Arial" w:hAnsi="Arial" w:cs="Arial"/>
                <w:bCs/>
                <w:sz w:val="20"/>
                <w:szCs w:val="20"/>
                <w:lang w:eastAsia="sk-SK"/>
              </w:rPr>
              <w:t>1 351 836</w:t>
            </w:r>
          </w:p>
        </w:tc>
      </w:tr>
      <w:tr w:rsidR="00E61035" w:rsidRPr="000F2079" w:rsidTr="00420BB3">
        <w:trPr>
          <w:trHeight w:val="340"/>
        </w:trPr>
        <w:tc>
          <w:tcPr>
            <w:tcW w:w="3838" w:type="dxa"/>
            <w:tcBorders>
              <w:top w:val="single" w:sz="4" w:space="0" w:color="auto"/>
              <w:left w:val="single" w:sz="8" w:space="0" w:color="auto"/>
              <w:bottom w:val="single" w:sz="8" w:space="0" w:color="auto"/>
              <w:right w:val="single" w:sz="4" w:space="0" w:color="auto"/>
            </w:tcBorders>
            <w:shd w:val="clear" w:color="auto" w:fill="9CC2E5"/>
            <w:noWrap/>
            <w:vAlign w:val="center"/>
          </w:tcPr>
          <w:p w:rsidR="00E61035" w:rsidRPr="000F2079" w:rsidRDefault="00E61035" w:rsidP="00E61035">
            <w:pPr>
              <w:widowControl/>
              <w:adjustRightInd/>
              <w:spacing w:after="0" w:line="240" w:lineRule="auto"/>
              <w:rPr>
                <w:rFonts w:ascii="Arial" w:hAnsi="Arial" w:cs="Arial"/>
                <w:sz w:val="20"/>
                <w:szCs w:val="20"/>
                <w:lang w:eastAsia="sk-SK"/>
              </w:rPr>
            </w:pPr>
            <w:r w:rsidRPr="000F2079">
              <w:rPr>
                <w:rFonts w:ascii="Arial" w:hAnsi="Arial" w:cs="Arial"/>
                <w:sz w:val="20"/>
                <w:szCs w:val="20"/>
                <w:lang w:eastAsia="sk-SK"/>
              </w:rPr>
              <w:t>Zam. u SZČO nad 480 do 520 eur</w:t>
            </w:r>
          </w:p>
        </w:tc>
        <w:tc>
          <w:tcPr>
            <w:tcW w:w="1245" w:type="dxa"/>
            <w:tcBorders>
              <w:top w:val="single" w:sz="4" w:space="0" w:color="auto"/>
              <w:left w:val="nil"/>
              <w:bottom w:val="single" w:sz="8" w:space="0" w:color="auto"/>
              <w:right w:val="single" w:sz="4" w:space="0" w:color="auto"/>
            </w:tcBorders>
            <w:shd w:val="clear" w:color="auto" w:fill="DEEAF6"/>
            <w:vAlign w:val="center"/>
          </w:tcPr>
          <w:p w:rsidR="00E61035" w:rsidRPr="000F2079" w:rsidRDefault="00E61035" w:rsidP="00E61035">
            <w:pPr>
              <w:widowControl/>
              <w:adjustRightInd/>
              <w:spacing w:after="0" w:line="240" w:lineRule="auto"/>
              <w:jc w:val="center"/>
              <w:rPr>
                <w:rFonts w:ascii="Arial" w:hAnsi="Arial" w:cs="Arial"/>
                <w:bCs/>
                <w:sz w:val="20"/>
                <w:szCs w:val="20"/>
                <w:lang w:eastAsia="sk-SK"/>
              </w:rPr>
            </w:pPr>
            <w:r w:rsidRPr="000F2079">
              <w:rPr>
                <w:rFonts w:ascii="Arial" w:hAnsi="Arial" w:cs="Arial"/>
                <w:bCs/>
                <w:sz w:val="20"/>
                <w:szCs w:val="20"/>
                <w:lang w:eastAsia="sk-SK"/>
              </w:rPr>
              <w:t>11 576</w:t>
            </w:r>
          </w:p>
        </w:tc>
        <w:tc>
          <w:tcPr>
            <w:tcW w:w="1843" w:type="dxa"/>
            <w:tcBorders>
              <w:top w:val="single" w:sz="4" w:space="0" w:color="auto"/>
              <w:left w:val="nil"/>
              <w:bottom w:val="single" w:sz="8" w:space="0" w:color="auto"/>
              <w:right w:val="single" w:sz="4" w:space="0" w:color="auto"/>
            </w:tcBorders>
            <w:shd w:val="clear" w:color="auto" w:fill="DEEAF6"/>
            <w:vAlign w:val="center"/>
          </w:tcPr>
          <w:p w:rsidR="00E61035" w:rsidRPr="000F2079" w:rsidRDefault="00E61035" w:rsidP="00E61035">
            <w:pPr>
              <w:widowControl/>
              <w:adjustRightInd/>
              <w:spacing w:after="0" w:line="240" w:lineRule="auto"/>
              <w:jc w:val="center"/>
              <w:rPr>
                <w:rFonts w:ascii="Arial" w:hAnsi="Arial" w:cs="Arial"/>
                <w:bCs/>
                <w:sz w:val="20"/>
                <w:szCs w:val="20"/>
                <w:lang w:eastAsia="sk-SK"/>
              </w:rPr>
            </w:pPr>
            <w:r w:rsidRPr="000F2079">
              <w:rPr>
                <w:rFonts w:ascii="Arial" w:hAnsi="Arial" w:cs="Arial"/>
                <w:bCs/>
                <w:sz w:val="20"/>
                <w:szCs w:val="20"/>
                <w:lang w:eastAsia="sk-SK"/>
              </w:rPr>
              <w:t>2,89</w:t>
            </w:r>
          </w:p>
        </w:tc>
        <w:tc>
          <w:tcPr>
            <w:tcW w:w="2213" w:type="dxa"/>
            <w:tcBorders>
              <w:top w:val="single" w:sz="4" w:space="0" w:color="auto"/>
              <w:left w:val="nil"/>
              <w:bottom w:val="single" w:sz="8" w:space="0" w:color="auto"/>
              <w:right w:val="single" w:sz="4" w:space="0" w:color="auto"/>
            </w:tcBorders>
            <w:shd w:val="clear" w:color="auto" w:fill="DEEAF6"/>
            <w:vAlign w:val="center"/>
          </w:tcPr>
          <w:p w:rsidR="00E61035" w:rsidRPr="000F2079" w:rsidRDefault="00E61035" w:rsidP="00E61035">
            <w:pPr>
              <w:widowControl/>
              <w:adjustRightInd/>
              <w:spacing w:after="0" w:line="240" w:lineRule="auto"/>
              <w:jc w:val="center"/>
              <w:rPr>
                <w:rFonts w:ascii="Arial" w:hAnsi="Arial" w:cs="Arial"/>
                <w:bCs/>
                <w:sz w:val="20"/>
                <w:szCs w:val="20"/>
                <w:lang w:eastAsia="sk-SK"/>
              </w:rPr>
            </w:pPr>
            <w:r w:rsidRPr="000F2079">
              <w:rPr>
                <w:rFonts w:ascii="Arial" w:hAnsi="Arial" w:cs="Arial"/>
                <w:bCs/>
                <w:sz w:val="20"/>
                <w:szCs w:val="20"/>
                <w:lang w:eastAsia="sk-SK"/>
              </w:rPr>
              <w:t>401 448</w:t>
            </w:r>
          </w:p>
        </w:tc>
      </w:tr>
      <w:tr w:rsidR="00E61035" w:rsidRPr="000F2079" w:rsidTr="00420BB3">
        <w:trPr>
          <w:trHeight w:val="340"/>
        </w:trPr>
        <w:tc>
          <w:tcPr>
            <w:tcW w:w="6926" w:type="dxa"/>
            <w:gridSpan w:val="3"/>
            <w:tcBorders>
              <w:top w:val="single" w:sz="8" w:space="0" w:color="auto"/>
              <w:left w:val="single" w:sz="8" w:space="0" w:color="auto"/>
              <w:bottom w:val="single" w:sz="4" w:space="0" w:color="auto"/>
              <w:right w:val="single" w:sz="4" w:space="0" w:color="auto"/>
            </w:tcBorders>
            <w:shd w:val="clear" w:color="auto" w:fill="9CC2E5"/>
            <w:noWrap/>
            <w:vAlign w:val="center"/>
          </w:tcPr>
          <w:p w:rsidR="00E61035" w:rsidRPr="000F2079" w:rsidRDefault="00E61035" w:rsidP="00E61035">
            <w:pPr>
              <w:widowControl/>
              <w:adjustRightInd/>
              <w:spacing w:after="0" w:line="240" w:lineRule="auto"/>
              <w:rPr>
                <w:rFonts w:ascii="Arial" w:hAnsi="Arial" w:cs="Arial"/>
                <w:b/>
                <w:sz w:val="20"/>
                <w:szCs w:val="20"/>
                <w:lang w:eastAsia="sk-SK"/>
              </w:rPr>
            </w:pPr>
            <w:r w:rsidRPr="000F2079">
              <w:rPr>
                <w:rFonts w:ascii="Arial" w:hAnsi="Arial" w:cs="Arial"/>
                <w:b/>
                <w:sz w:val="20"/>
                <w:szCs w:val="20"/>
                <w:lang w:eastAsia="sk-SK"/>
              </w:rPr>
              <w:t>Spolu odvody zamestnávateľa na zdravotné poistenie:</w:t>
            </w:r>
          </w:p>
        </w:tc>
        <w:tc>
          <w:tcPr>
            <w:tcW w:w="2213" w:type="dxa"/>
            <w:tcBorders>
              <w:top w:val="single" w:sz="8" w:space="0" w:color="auto"/>
              <w:left w:val="nil"/>
              <w:bottom w:val="single" w:sz="4" w:space="0" w:color="auto"/>
              <w:right w:val="single" w:sz="4" w:space="0" w:color="auto"/>
            </w:tcBorders>
            <w:shd w:val="clear" w:color="auto" w:fill="9CC2E5"/>
            <w:vAlign w:val="center"/>
          </w:tcPr>
          <w:p w:rsidR="00E61035" w:rsidRPr="000F2079" w:rsidRDefault="00E61035" w:rsidP="00E61035">
            <w:pPr>
              <w:widowControl/>
              <w:adjustRightInd/>
              <w:spacing w:after="0" w:line="240" w:lineRule="auto"/>
              <w:jc w:val="center"/>
              <w:rPr>
                <w:rFonts w:ascii="Arial" w:hAnsi="Arial" w:cs="Arial"/>
                <w:b/>
                <w:bCs/>
                <w:sz w:val="20"/>
                <w:szCs w:val="20"/>
                <w:lang w:eastAsia="sk-SK"/>
              </w:rPr>
            </w:pPr>
            <w:r w:rsidRPr="000F2079">
              <w:rPr>
                <w:rFonts w:ascii="Arial" w:hAnsi="Arial" w:cs="Arial"/>
                <w:b/>
                <w:bCs/>
                <w:sz w:val="20"/>
                <w:szCs w:val="20"/>
                <w:lang w:eastAsia="sk-SK"/>
              </w:rPr>
              <w:t>3 784 368</w:t>
            </w:r>
          </w:p>
        </w:tc>
      </w:tr>
    </w:tbl>
    <w:p w:rsidR="00E61035" w:rsidRPr="000F2079" w:rsidRDefault="00DB4E78" w:rsidP="00E61035">
      <w:pPr>
        <w:widowControl/>
        <w:adjustRightInd/>
        <w:spacing w:after="0" w:line="240" w:lineRule="auto"/>
        <w:jc w:val="center"/>
        <w:rPr>
          <w:rFonts w:ascii="Arial" w:hAnsi="Arial" w:cs="Arial"/>
          <w:sz w:val="20"/>
          <w:szCs w:val="20"/>
        </w:rPr>
      </w:pPr>
      <w:r w:rsidRPr="000F2079">
        <w:rPr>
          <w:rFonts w:ascii="Arial" w:hAnsi="Arial" w:cs="Arial"/>
          <w:sz w:val="20"/>
          <w:szCs w:val="20"/>
        </w:rPr>
        <w:t>Tabuľka č. 3</w:t>
      </w:r>
      <w:r w:rsidR="00E61035" w:rsidRPr="000F2079">
        <w:rPr>
          <w:rFonts w:ascii="Arial" w:hAnsi="Arial" w:cs="Arial"/>
          <w:sz w:val="20"/>
          <w:szCs w:val="20"/>
        </w:rPr>
        <w:t>: Zvýšenie zdravotných odvodov pre zamestnávateľov – MSP</w:t>
      </w:r>
    </w:p>
    <w:p w:rsidR="00E61035" w:rsidRPr="000F2079" w:rsidRDefault="00E61035" w:rsidP="00E61035">
      <w:pPr>
        <w:widowControl/>
        <w:adjustRightInd/>
        <w:spacing w:after="0" w:line="240" w:lineRule="auto"/>
        <w:jc w:val="both"/>
        <w:rPr>
          <w:rFonts w:ascii="Arial" w:hAnsi="Arial" w:cs="Arial"/>
          <w:b/>
          <w:sz w:val="20"/>
          <w:szCs w:val="20"/>
        </w:rPr>
      </w:pPr>
    </w:p>
    <w:p w:rsidR="00E61035" w:rsidRPr="000F2079" w:rsidRDefault="00E61035" w:rsidP="00E61035">
      <w:pPr>
        <w:widowControl/>
        <w:adjustRightInd/>
        <w:spacing w:after="0" w:line="240" w:lineRule="auto"/>
        <w:jc w:val="both"/>
        <w:rPr>
          <w:rFonts w:ascii="Arial" w:hAnsi="Arial" w:cs="Arial"/>
          <w:b/>
          <w:sz w:val="20"/>
          <w:szCs w:val="20"/>
        </w:rPr>
      </w:pPr>
      <w:r w:rsidRPr="000F2079">
        <w:rPr>
          <w:rFonts w:ascii="Arial" w:hAnsi="Arial" w:cs="Arial"/>
          <w:b/>
          <w:sz w:val="20"/>
          <w:szCs w:val="20"/>
        </w:rPr>
        <w:t>Celkový vplyv zvýšenia minimálnej mzdy</w:t>
      </w:r>
    </w:p>
    <w:p w:rsidR="00E61035" w:rsidRPr="000F2079" w:rsidRDefault="00E61035" w:rsidP="00E61035">
      <w:pPr>
        <w:widowControl/>
        <w:adjustRightInd/>
        <w:spacing w:after="0" w:line="240" w:lineRule="auto"/>
        <w:jc w:val="both"/>
        <w:rPr>
          <w:rFonts w:ascii="Arial" w:hAnsi="Arial" w:cs="Arial"/>
          <w:b/>
          <w:sz w:val="20"/>
          <w:szCs w:val="20"/>
        </w:rPr>
      </w:pPr>
    </w:p>
    <w:p w:rsidR="006F0AC2" w:rsidRDefault="00E61035" w:rsidP="00E61035">
      <w:pPr>
        <w:widowControl/>
        <w:adjustRightInd/>
        <w:spacing w:after="0" w:line="240" w:lineRule="auto"/>
        <w:jc w:val="both"/>
        <w:rPr>
          <w:rFonts w:ascii="Arial" w:hAnsi="Arial" w:cs="Arial"/>
          <w:sz w:val="20"/>
          <w:szCs w:val="20"/>
        </w:rPr>
      </w:pPr>
      <w:r w:rsidRPr="000F2079">
        <w:rPr>
          <w:rFonts w:ascii="Arial" w:hAnsi="Arial" w:cs="Arial"/>
          <w:sz w:val="20"/>
          <w:szCs w:val="20"/>
        </w:rPr>
        <w:t xml:space="preserve">Tabuľka č. 3 sumarizuje celkový predpokladaný vplyv nárastu minimálnej mzdy na podnikateľské subjekty z kategórie MSP. Ako už bolo uvedené v časti „Doplatky do novej minimálnej mzdy“, celkový objem týchto doplatkov predstavuje 37 821 338 €. K tejto čiastke je potrebné pripočítať vyššie spomenuté zvýšené zdravotné odvody zamestnávateľov vo výške 3 784 368 €. Pre výpočet finálnej čiastky je potrebné pripočítať taktiež zvýšenie odvodov zamestnávateľov do Sociálnej poisťovne. Celková sadzba poistného, ktorú zamestnávatelia odvádzajú do Sociálnej poisťovne predstavuje 25,2 %, a zahŕňa viacero druhov poistenia (nemocenské, starobné, invalidné, garančné atď.). Keďže suma celkových doplatkov do výšky novej minimálnej mzdy predstavuje 37 821 338 € pre zamestnávateľov – MSP, celková suma poistného odvedeného zamestnávateľmi do Sociálnej poisťovne predstavuje 37 821 338 € * 0,252 = 9 530 977 €. </w:t>
      </w:r>
    </w:p>
    <w:p w:rsidR="006F0AC2" w:rsidRDefault="006F0AC2" w:rsidP="00E61035">
      <w:pPr>
        <w:widowControl/>
        <w:adjustRightInd/>
        <w:spacing w:after="0" w:line="240" w:lineRule="auto"/>
        <w:jc w:val="both"/>
        <w:rPr>
          <w:rFonts w:ascii="Arial" w:hAnsi="Arial" w:cs="Arial"/>
          <w:sz w:val="20"/>
          <w:szCs w:val="20"/>
        </w:rPr>
      </w:pPr>
    </w:p>
    <w:p w:rsidR="00E61035" w:rsidRPr="000F2079" w:rsidRDefault="00E61035" w:rsidP="00721F5A">
      <w:pPr>
        <w:widowControl/>
        <w:pBdr>
          <w:top w:val="single" w:sz="4" w:space="1" w:color="auto"/>
          <w:left w:val="single" w:sz="4" w:space="4" w:color="auto"/>
          <w:bottom w:val="single" w:sz="4" w:space="1" w:color="auto"/>
          <w:right w:val="single" w:sz="4" w:space="4" w:color="auto"/>
        </w:pBdr>
        <w:shd w:val="clear" w:color="auto" w:fill="D9D9D9"/>
        <w:adjustRightInd/>
        <w:spacing w:after="0" w:line="240" w:lineRule="auto"/>
        <w:jc w:val="both"/>
        <w:rPr>
          <w:rFonts w:ascii="Arial" w:hAnsi="Arial" w:cs="Arial"/>
          <w:sz w:val="20"/>
          <w:szCs w:val="20"/>
        </w:rPr>
      </w:pPr>
      <w:r w:rsidRPr="006F0AC2">
        <w:rPr>
          <w:rFonts w:ascii="Arial" w:hAnsi="Arial" w:cs="Arial"/>
          <w:b/>
          <w:sz w:val="20"/>
          <w:szCs w:val="20"/>
        </w:rPr>
        <w:t>Nárast mzdových nákladov pre zamestnávateľov z kategórie MSP</w:t>
      </w:r>
      <w:r w:rsidRPr="000F2079">
        <w:rPr>
          <w:rFonts w:ascii="Arial" w:hAnsi="Arial" w:cs="Arial"/>
          <w:sz w:val="20"/>
          <w:szCs w:val="20"/>
        </w:rPr>
        <w:t xml:space="preserve"> sa teda odhaduje na celkovo </w:t>
      </w:r>
      <w:r w:rsidRPr="000F2079">
        <w:rPr>
          <w:rFonts w:ascii="Arial" w:hAnsi="Arial" w:cs="Arial"/>
          <w:b/>
          <w:sz w:val="20"/>
          <w:szCs w:val="20"/>
        </w:rPr>
        <w:t xml:space="preserve">51 136 683 €. </w:t>
      </w:r>
      <w:r w:rsidRPr="000F2079">
        <w:rPr>
          <w:rFonts w:ascii="Arial" w:hAnsi="Arial" w:cs="Arial"/>
          <w:sz w:val="20"/>
          <w:szCs w:val="20"/>
        </w:rPr>
        <w:t xml:space="preserve">Je však zároveň dôležité zdôrazniť, že </w:t>
      </w:r>
      <w:r w:rsidRPr="006F0AC2">
        <w:rPr>
          <w:rFonts w:ascii="Arial" w:hAnsi="Arial" w:cs="Arial"/>
          <w:b/>
          <w:sz w:val="20"/>
          <w:szCs w:val="20"/>
        </w:rPr>
        <w:t xml:space="preserve">táto suma môže byť ešte oveľa vyššie </w:t>
      </w:r>
      <w:r w:rsidRPr="000F2079">
        <w:rPr>
          <w:rFonts w:ascii="Arial" w:hAnsi="Arial" w:cs="Arial"/>
          <w:sz w:val="20"/>
          <w:szCs w:val="20"/>
        </w:rPr>
        <w:t xml:space="preserve">v prípade, že po rokovaniach </w:t>
      </w:r>
      <w:r w:rsidR="000F2079">
        <w:rPr>
          <w:rFonts w:ascii="Arial" w:hAnsi="Arial" w:cs="Arial"/>
          <w:sz w:val="20"/>
          <w:szCs w:val="20"/>
        </w:rPr>
        <w:t>t</w:t>
      </w:r>
      <w:r w:rsidRPr="000F2079">
        <w:rPr>
          <w:rFonts w:ascii="Arial" w:hAnsi="Arial" w:cs="Arial"/>
          <w:sz w:val="20"/>
          <w:szCs w:val="20"/>
        </w:rPr>
        <w:t xml:space="preserve">ripartity dôjde k úprave predpokladanej minimálnej hrubej mzdy smerom nahor, čoho sme boli v minulosti často svedkami. Zároveň táto čiastka </w:t>
      </w:r>
      <w:r w:rsidRPr="006F0AC2">
        <w:rPr>
          <w:rFonts w:ascii="Arial" w:hAnsi="Arial" w:cs="Arial"/>
          <w:b/>
          <w:sz w:val="20"/>
          <w:szCs w:val="20"/>
        </w:rPr>
        <w:t xml:space="preserve">nezahŕňa zvýšenie mzdových nákladov pri zamestnancoch, ktorí síce nepoberajú </w:t>
      </w:r>
      <w:r w:rsidR="006F0AC2">
        <w:rPr>
          <w:rFonts w:ascii="Arial" w:hAnsi="Arial" w:cs="Arial"/>
          <w:b/>
          <w:sz w:val="20"/>
          <w:szCs w:val="20"/>
        </w:rPr>
        <w:t xml:space="preserve">základnú </w:t>
      </w:r>
      <w:r w:rsidRPr="006F0AC2">
        <w:rPr>
          <w:rFonts w:ascii="Arial" w:hAnsi="Arial" w:cs="Arial"/>
          <w:b/>
          <w:sz w:val="20"/>
          <w:szCs w:val="20"/>
        </w:rPr>
        <w:t>minimálnu mzdu, no výkon ich práce je oceňovaný podľa vyšších stupňov náročnosti v súlade s minimálnymi mzdovými nárokmi.</w:t>
      </w:r>
      <w:r w:rsidRPr="000F2079">
        <w:rPr>
          <w:rFonts w:ascii="Arial" w:hAnsi="Arial" w:cs="Arial"/>
          <w:sz w:val="20"/>
          <w:szCs w:val="20"/>
        </w:rPr>
        <w:t xml:space="preserve"> V prípade začlenenia do výpočtov aj tejto skupiny zamestnancov by nárast mzdových nákladov pre zamestnávateľov – MSP bol ešte nezanedbateľne vyšší.</w:t>
      </w:r>
    </w:p>
    <w:p w:rsidR="00E61035" w:rsidRPr="000F2079" w:rsidRDefault="00E61035" w:rsidP="00E61035">
      <w:pPr>
        <w:widowControl/>
        <w:adjustRightInd/>
        <w:spacing w:after="0" w:line="240" w:lineRule="auto"/>
        <w:jc w:val="both"/>
        <w:rPr>
          <w:rFonts w:ascii="Arial" w:hAnsi="Arial" w:cs="Arial"/>
          <w:b/>
          <w:sz w:val="20"/>
          <w:szCs w:val="20"/>
        </w:rPr>
      </w:pPr>
    </w:p>
    <w:p w:rsidR="00E61035" w:rsidRPr="000F2079" w:rsidRDefault="00E61035" w:rsidP="00E61035">
      <w:pPr>
        <w:widowControl/>
        <w:adjustRightInd/>
        <w:spacing w:after="0" w:line="240" w:lineRule="auto"/>
        <w:jc w:val="both"/>
        <w:rPr>
          <w:rFonts w:ascii="Arial" w:hAnsi="Arial" w:cs="Arial"/>
          <w:b/>
          <w:sz w:val="20"/>
          <w:szCs w:val="20"/>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862"/>
      </w:tblGrid>
      <w:tr w:rsidR="00E61035" w:rsidRPr="000F2079" w:rsidTr="00420BB3">
        <w:trPr>
          <w:trHeight w:val="135"/>
        </w:trPr>
        <w:tc>
          <w:tcPr>
            <w:tcW w:w="6381" w:type="dxa"/>
            <w:shd w:val="clear" w:color="auto" w:fill="9CC2E5"/>
            <w:noWrap/>
            <w:vAlign w:val="center"/>
          </w:tcPr>
          <w:p w:rsidR="00E61035" w:rsidRPr="000F2079" w:rsidRDefault="00E61035" w:rsidP="00E61035">
            <w:pPr>
              <w:widowControl/>
              <w:adjustRightInd/>
              <w:spacing w:after="0" w:line="240" w:lineRule="auto"/>
              <w:jc w:val="both"/>
              <w:rPr>
                <w:rFonts w:ascii="Arial" w:hAnsi="Arial" w:cs="Arial"/>
                <w:b/>
                <w:bCs/>
                <w:iCs/>
                <w:sz w:val="20"/>
                <w:szCs w:val="20"/>
                <w:lang w:eastAsia="sk-SK"/>
              </w:rPr>
            </w:pPr>
            <w:r w:rsidRPr="000F2079">
              <w:rPr>
                <w:rFonts w:ascii="Arial" w:hAnsi="Arial" w:cs="Arial"/>
                <w:b/>
                <w:bCs/>
                <w:iCs/>
                <w:sz w:val="20"/>
                <w:szCs w:val="20"/>
                <w:lang w:eastAsia="sk-SK"/>
              </w:rPr>
              <w:t>Položky zvyšujúce náklady zamestnávateľov (</w:t>
            </w:r>
            <w:r w:rsidRPr="000F2079">
              <w:rPr>
                <w:rFonts w:ascii="Arial" w:hAnsi="Arial" w:cs="Arial"/>
                <w:b/>
                <w:bCs/>
                <w:sz w:val="20"/>
                <w:szCs w:val="20"/>
                <w:lang w:eastAsia="sk-SK"/>
              </w:rPr>
              <w:t>v eurách ročne)</w:t>
            </w:r>
          </w:p>
        </w:tc>
        <w:tc>
          <w:tcPr>
            <w:tcW w:w="2862" w:type="dxa"/>
            <w:shd w:val="clear" w:color="auto" w:fill="9CC2E5"/>
            <w:vAlign w:val="center"/>
          </w:tcPr>
          <w:p w:rsidR="00E61035" w:rsidRPr="000F2079" w:rsidRDefault="00E61035" w:rsidP="00E61035">
            <w:pPr>
              <w:widowControl/>
              <w:adjustRightInd/>
              <w:spacing w:after="0" w:line="240" w:lineRule="auto"/>
              <w:jc w:val="center"/>
              <w:rPr>
                <w:rFonts w:ascii="Arial" w:hAnsi="Arial" w:cs="Arial"/>
                <w:b/>
                <w:bCs/>
                <w:sz w:val="20"/>
                <w:szCs w:val="20"/>
                <w:lang w:eastAsia="sk-SK"/>
              </w:rPr>
            </w:pPr>
            <w:r w:rsidRPr="000F2079">
              <w:rPr>
                <w:rFonts w:ascii="Arial" w:hAnsi="Arial" w:cs="Arial"/>
                <w:b/>
                <w:bCs/>
                <w:sz w:val="20"/>
                <w:szCs w:val="20"/>
                <w:lang w:eastAsia="sk-SK"/>
              </w:rPr>
              <w:t>Za MSP</w:t>
            </w:r>
          </w:p>
        </w:tc>
      </w:tr>
      <w:tr w:rsidR="00E61035" w:rsidRPr="000F2079" w:rsidTr="00420BB3">
        <w:trPr>
          <w:trHeight w:val="135"/>
        </w:trPr>
        <w:tc>
          <w:tcPr>
            <w:tcW w:w="6381" w:type="dxa"/>
            <w:shd w:val="clear" w:color="auto" w:fill="9CC2E5"/>
            <w:noWrap/>
            <w:vAlign w:val="center"/>
          </w:tcPr>
          <w:p w:rsidR="00E61035" w:rsidRPr="000F2079" w:rsidRDefault="00E61035" w:rsidP="00E61035">
            <w:pPr>
              <w:widowControl/>
              <w:adjustRightInd/>
              <w:spacing w:after="0" w:line="240" w:lineRule="auto"/>
              <w:jc w:val="both"/>
              <w:rPr>
                <w:rFonts w:ascii="Arial" w:hAnsi="Arial" w:cs="Arial"/>
                <w:bCs/>
                <w:i/>
                <w:iCs/>
                <w:sz w:val="20"/>
                <w:szCs w:val="20"/>
                <w:lang w:eastAsia="sk-SK"/>
              </w:rPr>
            </w:pPr>
            <w:r w:rsidRPr="000F2079">
              <w:rPr>
                <w:rFonts w:ascii="Arial" w:hAnsi="Arial" w:cs="Arial"/>
                <w:bCs/>
                <w:i/>
                <w:iCs/>
                <w:sz w:val="20"/>
                <w:szCs w:val="20"/>
                <w:lang w:eastAsia="sk-SK"/>
              </w:rPr>
              <w:t>Zvýšenie doplatkov za zamestnancov u zamestnávateľov bez SZČO v eurách ročne</w:t>
            </w:r>
          </w:p>
        </w:tc>
        <w:tc>
          <w:tcPr>
            <w:tcW w:w="2862" w:type="dxa"/>
            <w:shd w:val="clear" w:color="auto" w:fill="9CC2E5"/>
            <w:vAlign w:val="center"/>
          </w:tcPr>
          <w:p w:rsidR="00E61035" w:rsidRPr="000F2079" w:rsidRDefault="00E61035" w:rsidP="00E61035">
            <w:pPr>
              <w:widowControl/>
              <w:adjustRightInd/>
              <w:spacing w:after="0" w:line="240" w:lineRule="auto"/>
              <w:jc w:val="center"/>
              <w:rPr>
                <w:rFonts w:ascii="Arial" w:hAnsi="Arial" w:cs="Arial"/>
                <w:bCs/>
                <w:i/>
                <w:sz w:val="20"/>
                <w:szCs w:val="20"/>
                <w:lang w:eastAsia="sk-SK"/>
              </w:rPr>
            </w:pPr>
            <w:r w:rsidRPr="000F2079">
              <w:rPr>
                <w:rFonts w:ascii="Arial" w:hAnsi="Arial" w:cs="Arial"/>
                <w:bCs/>
                <w:i/>
                <w:sz w:val="20"/>
                <w:szCs w:val="20"/>
                <w:lang w:eastAsia="sk-SK"/>
              </w:rPr>
              <w:t>20 318 544</w:t>
            </w:r>
          </w:p>
        </w:tc>
      </w:tr>
      <w:tr w:rsidR="00E61035" w:rsidRPr="000F2079" w:rsidTr="00420BB3">
        <w:trPr>
          <w:trHeight w:val="135"/>
        </w:trPr>
        <w:tc>
          <w:tcPr>
            <w:tcW w:w="6381" w:type="dxa"/>
            <w:shd w:val="clear" w:color="auto" w:fill="9CC2E5"/>
            <w:noWrap/>
            <w:vAlign w:val="center"/>
          </w:tcPr>
          <w:p w:rsidR="00E61035" w:rsidRPr="000F2079" w:rsidRDefault="00E61035" w:rsidP="00E61035">
            <w:pPr>
              <w:widowControl/>
              <w:adjustRightInd/>
              <w:spacing w:after="0" w:line="240" w:lineRule="auto"/>
              <w:jc w:val="both"/>
              <w:rPr>
                <w:rFonts w:ascii="Arial" w:hAnsi="Arial" w:cs="Arial"/>
                <w:bCs/>
                <w:i/>
                <w:iCs/>
                <w:sz w:val="20"/>
                <w:szCs w:val="20"/>
                <w:lang w:eastAsia="sk-SK"/>
              </w:rPr>
            </w:pPr>
            <w:r w:rsidRPr="000F2079">
              <w:rPr>
                <w:rFonts w:ascii="Arial" w:hAnsi="Arial" w:cs="Arial"/>
                <w:bCs/>
                <w:i/>
                <w:iCs/>
                <w:sz w:val="20"/>
                <w:szCs w:val="20"/>
                <w:lang w:eastAsia="sk-SK"/>
              </w:rPr>
              <w:t>Zvýšenie doplatkov za zamestnancov u SZČO v eurách ročne</w:t>
            </w:r>
          </w:p>
        </w:tc>
        <w:tc>
          <w:tcPr>
            <w:tcW w:w="2862" w:type="dxa"/>
            <w:shd w:val="clear" w:color="auto" w:fill="9CC2E5"/>
            <w:vAlign w:val="center"/>
          </w:tcPr>
          <w:p w:rsidR="00E61035" w:rsidRPr="000F2079" w:rsidRDefault="00E61035" w:rsidP="00E61035">
            <w:pPr>
              <w:widowControl/>
              <w:adjustRightInd/>
              <w:spacing w:after="0" w:line="240" w:lineRule="auto"/>
              <w:jc w:val="center"/>
              <w:rPr>
                <w:rFonts w:ascii="Arial" w:hAnsi="Arial" w:cs="Arial"/>
                <w:i/>
                <w:iCs/>
                <w:sz w:val="20"/>
                <w:szCs w:val="20"/>
                <w:lang w:eastAsia="sk-SK"/>
              </w:rPr>
            </w:pPr>
            <w:r w:rsidRPr="000F2079">
              <w:rPr>
                <w:rFonts w:ascii="Arial" w:hAnsi="Arial" w:cs="Arial"/>
                <w:i/>
                <w:iCs/>
                <w:sz w:val="20"/>
                <w:szCs w:val="20"/>
                <w:lang w:eastAsia="sk-SK"/>
              </w:rPr>
              <w:t>17 502 794</w:t>
            </w:r>
          </w:p>
        </w:tc>
      </w:tr>
      <w:tr w:rsidR="00E61035" w:rsidRPr="000F2079" w:rsidTr="00420BB3">
        <w:trPr>
          <w:trHeight w:val="135"/>
        </w:trPr>
        <w:tc>
          <w:tcPr>
            <w:tcW w:w="6381" w:type="dxa"/>
            <w:shd w:val="clear" w:color="auto" w:fill="DEEAF6"/>
            <w:noWrap/>
            <w:vAlign w:val="center"/>
          </w:tcPr>
          <w:p w:rsidR="00E61035" w:rsidRPr="000F2079" w:rsidRDefault="00E61035" w:rsidP="00E61035">
            <w:pPr>
              <w:widowControl/>
              <w:adjustRightInd/>
              <w:spacing w:after="0" w:line="240" w:lineRule="auto"/>
              <w:jc w:val="both"/>
              <w:rPr>
                <w:rFonts w:ascii="Arial" w:hAnsi="Arial" w:cs="Arial"/>
                <w:b/>
                <w:bCs/>
                <w:sz w:val="20"/>
                <w:szCs w:val="20"/>
                <w:lang w:eastAsia="sk-SK"/>
              </w:rPr>
            </w:pPr>
            <w:r w:rsidRPr="000F2079">
              <w:rPr>
                <w:rFonts w:ascii="Arial" w:hAnsi="Arial" w:cs="Arial"/>
                <w:b/>
                <w:bCs/>
                <w:sz w:val="20"/>
                <w:szCs w:val="20"/>
                <w:lang w:eastAsia="sk-SK"/>
              </w:rPr>
              <w:t>Zvýšenie nákladov na doplatky (bez odvodov) v eurách ročne:</w:t>
            </w:r>
          </w:p>
        </w:tc>
        <w:tc>
          <w:tcPr>
            <w:tcW w:w="2862" w:type="dxa"/>
            <w:shd w:val="clear" w:color="auto" w:fill="DEEAF6"/>
            <w:vAlign w:val="center"/>
          </w:tcPr>
          <w:p w:rsidR="00E61035" w:rsidRPr="000F2079" w:rsidRDefault="00E61035" w:rsidP="00E61035">
            <w:pPr>
              <w:widowControl/>
              <w:adjustRightInd/>
              <w:spacing w:after="0" w:line="240" w:lineRule="auto"/>
              <w:jc w:val="center"/>
              <w:rPr>
                <w:rFonts w:ascii="Arial" w:hAnsi="Arial" w:cs="Arial"/>
                <w:b/>
                <w:bCs/>
                <w:sz w:val="20"/>
                <w:szCs w:val="20"/>
                <w:lang w:eastAsia="sk-SK"/>
              </w:rPr>
            </w:pPr>
            <w:r w:rsidRPr="000F2079">
              <w:rPr>
                <w:rFonts w:ascii="Arial" w:hAnsi="Arial" w:cs="Arial"/>
                <w:b/>
                <w:bCs/>
                <w:sz w:val="20"/>
                <w:szCs w:val="20"/>
                <w:lang w:eastAsia="sk-SK"/>
              </w:rPr>
              <w:t>37 821 338</w:t>
            </w:r>
          </w:p>
        </w:tc>
      </w:tr>
      <w:tr w:rsidR="00E61035" w:rsidRPr="000F2079" w:rsidTr="00420BB3">
        <w:tblPrEx>
          <w:tblCellMar>
            <w:left w:w="70" w:type="dxa"/>
            <w:right w:w="70" w:type="dxa"/>
          </w:tblCellMar>
        </w:tblPrEx>
        <w:trPr>
          <w:trHeight w:val="141"/>
        </w:trPr>
        <w:tc>
          <w:tcPr>
            <w:tcW w:w="6381" w:type="dxa"/>
            <w:shd w:val="clear" w:color="auto" w:fill="9CC2E5"/>
            <w:noWrap/>
            <w:vAlign w:val="center"/>
          </w:tcPr>
          <w:p w:rsidR="00E61035" w:rsidRPr="000F2079" w:rsidRDefault="00E61035" w:rsidP="00E61035">
            <w:pPr>
              <w:widowControl/>
              <w:adjustRightInd/>
              <w:spacing w:after="0" w:line="240" w:lineRule="auto"/>
              <w:jc w:val="both"/>
              <w:rPr>
                <w:rFonts w:ascii="Arial" w:hAnsi="Arial" w:cs="Arial"/>
                <w:b/>
                <w:bCs/>
                <w:sz w:val="20"/>
                <w:szCs w:val="20"/>
                <w:lang w:eastAsia="sk-SK"/>
              </w:rPr>
            </w:pPr>
            <w:r w:rsidRPr="000F2079">
              <w:rPr>
                <w:rFonts w:ascii="Arial" w:hAnsi="Arial" w:cs="Arial"/>
                <w:b/>
                <w:bCs/>
                <w:sz w:val="20"/>
                <w:szCs w:val="20"/>
                <w:lang w:eastAsia="sk-SK"/>
              </w:rPr>
              <w:t>Odvody do poistných fondov hradené zamestnávateľom zo zvýšených doplatkov v eurách ročne</w:t>
            </w:r>
          </w:p>
        </w:tc>
        <w:tc>
          <w:tcPr>
            <w:tcW w:w="2862" w:type="dxa"/>
            <w:shd w:val="clear" w:color="auto" w:fill="9CC2E5"/>
            <w:vAlign w:val="center"/>
          </w:tcPr>
          <w:p w:rsidR="00E61035" w:rsidRPr="000F2079" w:rsidRDefault="00E61035" w:rsidP="00E61035">
            <w:pPr>
              <w:widowControl/>
              <w:adjustRightInd/>
              <w:spacing w:after="0" w:line="240" w:lineRule="auto"/>
              <w:jc w:val="center"/>
              <w:rPr>
                <w:rFonts w:ascii="Arial" w:hAnsi="Arial" w:cs="Arial"/>
                <w:b/>
                <w:bCs/>
                <w:sz w:val="20"/>
                <w:szCs w:val="20"/>
                <w:lang w:eastAsia="sk-SK"/>
              </w:rPr>
            </w:pPr>
            <w:r w:rsidRPr="000F2079">
              <w:rPr>
                <w:rFonts w:ascii="Arial" w:hAnsi="Arial" w:cs="Arial"/>
                <w:b/>
                <w:bCs/>
                <w:sz w:val="20"/>
                <w:szCs w:val="20"/>
                <w:lang w:eastAsia="sk-SK"/>
              </w:rPr>
              <w:t>13 315 345</w:t>
            </w:r>
          </w:p>
        </w:tc>
      </w:tr>
      <w:tr w:rsidR="00E61035" w:rsidRPr="000F2079" w:rsidTr="00420BB3">
        <w:trPr>
          <w:trHeight w:val="161"/>
        </w:trPr>
        <w:tc>
          <w:tcPr>
            <w:tcW w:w="6381" w:type="dxa"/>
            <w:shd w:val="clear" w:color="auto" w:fill="9CC2E5"/>
            <w:noWrap/>
            <w:vAlign w:val="center"/>
          </w:tcPr>
          <w:p w:rsidR="00E61035" w:rsidRPr="000F2079" w:rsidRDefault="00E61035" w:rsidP="00E61035">
            <w:pPr>
              <w:widowControl/>
              <w:numPr>
                <w:ilvl w:val="0"/>
                <w:numId w:val="35"/>
              </w:numPr>
              <w:adjustRightInd/>
              <w:spacing w:after="0" w:line="240" w:lineRule="auto"/>
              <w:rPr>
                <w:rFonts w:ascii="Arial" w:hAnsi="Arial" w:cs="Arial"/>
                <w:bCs/>
                <w:i/>
                <w:iCs/>
                <w:sz w:val="20"/>
                <w:szCs w:val="20"/>
                <w:lang w:eastAsia="sk-SK"/>
              </w:rPr>
            </w:pPr>
            <w:r w:rsidRPr="000F2079">
              <w:rPr>
                <w:rFonts w:ascii="Arial" w:hAnsi="Arial" w:cs="Arial"/>
                <w:bCs/>
                <w:i/>
                <w:iCs/>
                <w:sz w:val="20"/>
                <w:szCs w:val="20"/>
                <w:lang w:eastAsia="sk-SK"/>
              </w:rPr>
              <w:t>v tom odvody do Sociálnej poisťovne (25,2 %)</w:t>
            </w:r>
          </w:p>
        </w:tc>
        <w:tc>
          <w:tcPr>
            <w:tcW w:w="2862" w:type="dxa"/>
            <w:shd w:val="clear" w:color="auto" w:fill="9CC2E5"/>
            <w:vAlign w:val="center"/>
          </w:tcPr>
          <w:p w:rsidR="00E61035" w:rsidRPr="000F2079" w:rsidRDefault="00E61035" w:rsidP="00E61035">
            <w:pPr>
              <w:widowControl/>
              <w:adjustRightInd/>
              <w:spacing w:after="0" w:line="240" w:lineRule="auto"/>
              <w:jc w:val="center"/>
              <w:rPr>
                <w:rFonts w:ascii="Arial" w:hAnsi="Arial" w:cs="Arial"/>
                <w:i/>
                <w:iCs/>
                <w:sz w:val="20"/>
                <w:szCs w:val="20"/>
                <w:lang w:eastAsia="sk-SK"/>
              </w:rPr>
            </w:pPr>
            <w:r w:rsidRPr="000F2079">
              <w:rPr>
                <w:rFonts w:ascii="Arial" w:hAnsi="Arial" w:cs="Arial"/>
                <w:i/>
                <w:iCs/>
                <w:sz w:val="20"/>
                <w:szCs w:val="20"/>
                <w:lang w:eastAsia="sk-SK"/>
              </w:rPr>
              <w:t>9 530 977</w:t>
            </w:r>
          </w:p>
        </w:tc>
      </w:tr>
      <w:tr w:rsidR="00E61035" w:rsidRPr="000F2079" w:rsidTr="00420BB3">
        <w:trPr>
          <w:trHeight w:val="161"/>
        </w:trPr>
        <w:tc>
          <w:tcPr>
            <w:tcW w:w="6381" w:type="dxa"/>
            <w:shd w:val="clear" w:color="auto" w:fill="9CC2E5"/>
            <w:noWrap/>
            <w:vAlign w:val="center"/>
          </w:tcPr>
          <w:p w:rsidR="00E61035" w:rsidRPr="000F2079" w:rsidRDefault="00E61035" w:rsidP="00E61035">
            <w:pPr>
              <w:widowControl/>
              <w:numPr>
                <w:ilvl w:val="0"/>
                <w:numId w:val="35"/>
              </w:numPr>
              <w:adjustRightInd/>
              <w:spacing w:after="0" w:line="240" w:lineRule="auto"/>
              <w:rPr>
                <w:rFonts w:ascii="Arial" w:hAnsi="Arial" w:cs="Arial"/>
                <w:bCs/>
                <w:i/>
                <w:iCs/>
                <w:sz w:val="20"/>
                <w:szCs w:val="20"/>
                <w:lang w:eastAsia="sk-SK"/>
              </w:rPr>
            </w:pPr>
            <w:r w:rsidRPr="000F2079">
              <w:rPr>
                <w:rFonts w:ascii="Arial" w:hAnsi="Arial" w:cs="Arial"/>
                <w:bCs/>
                <w:i/>
                <w:iCs/>
                <w:sz w:val="20"/>
                <w:szCs w:val="20"/>
                <w:lang w:eastAsia="sk-SK"/>
              </w:rPr>
              <w:t>v tom odvody do zdravotných poisťovní</w:t>
            </w:r>
          </w:p>
        </w:tc>
        <w:tc>
          <w:tcPr>
            <w:tcW w:w="2862" w:type="dxa"/>
            <w:shd w:val="clear" w:color="auto" w:fill="9CC2E5"/>
            <w:vAlign w:val="center"/>
          </w:tcPr>
          <w:p w:rsidR="00E61035" w:rsidRPr="000F2079" w:rsidRDefault="00E61035" w:rsidP="00E61035">
            <w:pPr>
              <w:widowControl/>
              <w:adjustRightInd/>
              <w:spacing w:after="0" w:line="240" w:lineRule="auto"/>
              <w:jc w:val="center"/>
              <w:rPr>
                <w:rFonts w:ascii="Arial" w:hAnsi="Arial" w:cs="Arial"/>
                <w:i/>
                <w:iCs/>
                <w:sz w:val="20"/>
                <w:szCs w:val="20"/>
                <w:lang w:eastAsia="sk-SK"/>
              </w:rPr>
            </w:pPr>
            <w:r w:rsidRPr="000F2079">
              <w:rPr>
                <w:rFonts w:ascii="Arial" w:hAnsi="Arial" w:cs="Arial"/>
                <w:i/>
                <w:iCs/>
                <w:sz w:val="20"/>
                <w:szCs w:val="20"/>
                <w:lang w:eastAsia="sk-SK"/>
              </w:rPr>
              <w:t>3 784 368</w:t>
            </w:r>
          </w:p>
        </w:tc>
      </w:tr>
      <w:tr w:rsidR="00E61035" w:rsidRPr="000F2079" w:rsidTr="00420BB3">
        <w:tblPrEx>
          <w:tblCellMar>
            <w:left w:w="70" w:type="dxa"/>
            <w:right w:w="70" w:type="dxa"/>
          </w:tblCellMar>
        </w:tblPrEx>
        <w:trPr>
          <w:trHeight w:val="161"/>
        </w:trPr>
        <w:tc>
          <w:tcPr>
            <w:tcW w:w="6381" w:type="dxa"/>
            <w:shd w:val="clear" w:color="auto" w:fill="DEEAF6"/>
            <w:noWrap/>
            <w:vAlign w:val="center"/>
          </w:tcPr>
          <w:p w:rsidR="00E61035" w:rsidRPr="000F2079" w:rsidRDefault="00E61035" w:rsidP="00E61035">
            <w:pPr>
              <w:widowControl/>
              <w:adjustRightInd/>
              <w:spacing w:after="0" w:line="240" w:lineRule="auto"/>
              <w:jc w:val="both"/>
              <w:rPr>
                <w:rFonts w:ascii="Arial" w:hAnsi="Arial" w:cs="Arial"/>
                <w:b/>
                <w:sz w:val="20"/>
                <w:szCs w:val="20"/>
                <w:lang w:eastAsia="sk-SK"/>
              </w:rPr>
            </w:pPr>
            <w:r w:rsidRPr="000F2079">
              <w:rPr>
                <w:rFonts w:ascii="Arial" w:hAnsi="Arial" w:cs="Arial"/>
                <w:b/>
                <w:sz w:val="20"/>
                <w:szCs w:val="20"/>
                <w:lang w:eastAsia="sk-SK"/>
              </w:rPr>
              <w:t>Nárast mzdových nákladov na doplatky vrátane odvodov u zamestnávateľov v eurách ročne</w:t>
            </w:r>
          </w:p>
        </w:tc>
        <w:tc>
          <w:tcPr>
            <w:tcW w:w="2862" w:type="dxa"/>
            <w:shd w:val="clear" w:color="auto" w:fill="DEEAF6"/>
            <w:vAlign w:val="center"/>
          </w:tcPr>
          <w:p w:rsidR="00E61035" w:rsidRPr="000F2079" w:rsidRDefault="00E61035" w:rsidP="00E61035">
            <w:pPr>
              <w:widowControl/>
              <w:adjustRightInd/>
              <w:spacing w:after="0" w:line="240" w:lineRule="auto"/>
              <w:jc w:val="center"/>
              <w:rPr>
                <w:rFonts w:ascii="Arial" w:hAnsi="Arial" w:cs="Arial"/>
                <w:b/>
                <w:bCs/>
                <w:sz w:val="20"/>
                <w:szCs w:val="20"/>
                <w:lang w:eastAsia="sk-SK"/>
              </w:rPr>
            </w:pPr>
            <w:r w:rsidRPr="000F2079">
              <w:rPr>
                <w:rFonts w:ascii="Arial" w:hAnsi="Arial" w:cs="Arial"/>
                <w:b/>
                <w:bCs/>
                <w:sz w:val="20"/>
                <w:szCs w:val="20"/>
                <w:lang w:eastAsia="sk-SK"/>
              </w:rPr>
              <w:t>51 136 683</w:t>
            </w:r>
          </w:p>
        </w:tc>
      </w:tr>
    </w:tbl>
    <w:p w:rsidR="00E61035" w:rsidRPr="000F2079" w:rsidRDefault="00DB4E78" w:rsidP="00E61035">
      <w:pPr>
        <w:widowControl/>
        <w:adjustRightInd/>
        <w:spacing w:after="0" w:line="240" w:lineRule="auto"/>
        <w:jc w:val="center"/>
        <w:rPr>
          <w:rFonts w:ascii="Arial" w:hAnsi="Arial" w:cs="Arial"/>
          <w:sz w:val="20"/>
          <w:szCs w:val="20"/>
        </w:rPr>
      </w:pPr>
      <w:r w:rsidRPr="000F2079">
        <w:rPr>
          <w:rFonts w:ascii="Arial" w:hAnsi="Arial" w:cs="Arial"/>
          <w:sz w:val="20"/>
          <w:szCs w:val="20"/>
        </w:rPr>
        <w:t>Tabuľka č. 4</w:t>
      </w:r>
      <w:r w:rsidR="00E61035" w:rsidRPr="000F2079">
        <w:rPr>
          <w:rFonts w:ascii="Arial" w:hAnsi="Arial" w:cs="Arial"/>
          <w:sz w:val="20"/>
          <w:szCs w:val="20"/>
        </w:rPr>
        <w:t>: Celkový vplyv zvýšenia minimálnej mzdy</w:t>
      </w:r>
    </w:p>
    <w:p w:rsidR="00E61035" w:rsidRPr="000F2079" w:rsidRDefault="00E61035" w:rsidP="00E61035">
      <w:pPr>
        <w:widowControl/>
        <w:adjustRightInd/>
        <w:spacing w:after="0" w:line="240" w:lineRule="auto"/>
        <w:jc w:val="both"/>
        <w:rPr>
          <w:rFonts w:ascii="Arial" w:hAnsi="Arial" w:cs="Arial"/>
          <w:sz w:val="20"/>
          <w:szCs w:val="20"/>
        </w:rPr>
      </w:pPr>
    </w:p>
    <w:p w:rsidR="00E61035" w:rsidRPr="000F2079" w:rsidRDefault="00E61035" w:rsidP="00E61035">
      <w:pPr>
        <w:widowControl/>
        <w:adjustRightInd/>
        <w:spacing w:after="0" w:line="240" w:lineRule="auto"/>
        <w:jc w:val="both"/>
        <w:rPr>
          <w:rFonts w:ascii="Arial" w:hAnsi="Arial" w:cs="Arial"/>
          <w:color w:val="000000"/>
          <w:sz w:val="20"/>
          <w:szCs w:val="20"/>
          <w:lang w:eastAsia="sk-SK"/>
        </w:rPr>
      </w:pPr>
    </w:p>
    <w:p w:rsidR="00E61035" w:rsidRPr="000F2079" w:rsidRDefault="000F2079" w:rsidP="00E61035">
      <w:pPr>
        <w:jc w:val="both"/>
        <w:rPr>
          <w:rFonts w:ascii="Arial" w:hAnsi="Arial" w:cs="Arial"/>
          <w:b/>
          <w:i/>
          <w:sz w:val="20"/>
          <w:szCs w:val="20"/>
        </w:rPr>
      </w:pPr>
      <w:r w:rsidRPr="000F2079">
        <w:rPr>
          <w:rFonts w:ascii="Arial" w:hAnsi="Arial" w:cs="Arial"/>
          <w:b/>
          <w:i/>
          <w:sz w:val="20"/>
          <w:szCs w:val="20"/>
        </w:rPr>
        <w:t>b3) náklady v dôsledku</w:t>
      </w:r>
      <w:r w:rsidR="00E61035" w:rsidRPr="000F2079">
        <w:rPr>
          <w:rFonts w:ascii="Arial" w:hAnsi="Arial" w:cs="Arial"/>
          <w:b/>
          <w:i/>
          <w:sz w:val="20"/>
          <w:szCs w:val="20"/>
        </w:rPr>
        <w:t xml:space="preserve"> zvýšenia minimálnej mzdy</w:t>
      </w:r>
      <w:r w:rsidR="002F1D44">
        <w:rPr>
          <w:rFonts w:ascii="Arial" w:hAnsi="Arial" w:cs="Arial"/>
          <w:b/>
          <w:i/>
          <w:sz w:val="20"/>
          <w:szCs w:val="20"/>
        </w:rPr>
        <w:t xml:space="preserve"> pre rok 2019</w:t>
      </w:r>
      <w:r w:rsidR="00E61035" w:rsidRPr="000F2079">
        <w:rPr>
          <w:rFonts w:ascii="Arial" w:hAnsi="Arial" w:cs="Arial"/>
          <w:b/>
          <w:i/>
          <w:sz w:val="20"/>
          <w:szCs w:val="20"/>
        </w:rPr>
        <w:t xml:space="preserve"> na podnik v</w:t>
      </w:r>
      <w:r w:rsidR="002F1D44">
        <w:rPr>
          <w:rFonts w:ascii="Arial" w:hAnsi="Arial" w:cs="Arial"/>
          <w:b/>
          <w:i/>
          <w:sz w:val="20"/>
          <w:szCs w:val="20"/>
        </w:rPr>
        <w:t> </w:t>
      </w:r>
      <w:r w:rsidR="00E61035" w:rsidRPr="000F2079">
        <w:rPr>
          <w:rFonts w:ascii="Arial" w:hAnsi="Arial" w:cs="Arial"/>
          <w:b/>
          <w:i/>
          <w:sz w:val="20"/>
          <w:szCs w:val="20"/>
        </w:rPr>
        <w:t>hotelierstve</w:t>
      </w:r>
      <w:r w:rsidR="002F1D44">
        <w:rPr>
          <w:rFonts w:ascii="Arial" w:hAnsi="Arial" w:cs="Arial"/>
          <w:b/>
          <w:i/>
          <w:sz w:val="20"/>
          <w:szCs w:val="20"/>
        </w:rPr>
        <w:t xml:space="preserve"> (príklad)</w:t>
      </w:r>
    </w:p>
    <w:p w:rsidR="00E61035" w:rsidRPr="000F2079" w:rsidRDefault="00E61035" w:rsidP="000F2079">
      <w:pPr>
        <w:ind w:firstLine="708"/>
        <w:jc w:val="both"/>
        <w:rPr>
          <w:rFonts w:ascii="Arial" w:eastAsia="Calibri" w:hAnsi="Arial" w:cs="Arial"/>
          <w:sz w:val="20"/>
          <w:szCs w:val="20"/>
          <w:lang w:eastAsia="sk-SK"/>
        </w:rPr>
      </w:pPr>
      <w:r w:rsidRPr="000F2079">
        <w:rPr>
          <w:rFonts w:ascii="Arial" w:hAnsi="Arial" w:cs="Arial"/>
          <w:sz w:val="20"/>
          <w:szCs w:val="20"/>
        </w:rPr>
        <w:t>Agregovaný pohľad na vplyv zvýšenia minimálnej mzdy je bezpochyby nesmierne užitočný, najmä pre tvorcov verejných politík. Avšak, agregované čísla môžu pôsobiť abstraktne a preto je na mieste vykonať meranie vplyvov tejto zmeny aj na konkrétnom prípade – v našom prípade pôjde o </w:t>
      </w:r>
      <w:r w:rsidRPr="000F2079">
        <w:rPr>
          <w:rFonts w:ascii="Arial" w:hAnsi="Arial" w:cs="Arial"/>
          <w:b/>
          <w:sz w:val="20"/>
          <w:szCs w:val="20"/>
        </w:rPr>
        <w:t>výpočet zvýšenia celkových mzdových nákladov ubytovacieho zariadenia – hotela, poskytujúceho svoje služby na strednom Slovensku.</w:t>
      </w:r>
      <w:r w:rsidRPr="000F2079">
        <w:rPr>
          <w:rFonts w:ascii="Arial" w:hAnsi="Arial" w:cs="Arial"/>
          <w:sz w:val="20"/>
          <w:szCs w:val="20"/>
        </w:rPr>
        <w:t xml:space="preserve"> V nasledovnom príklade sa budeme </w:t>
      </w:r>
      <w:r w:rsidRPr="000F2079">
        <w:rPr>
          <w:rFonts w:ascii="Arial" w:hAnsi="Arial" w:cs="Arial"/>
          <w:sz w:val="20"/>
          <w:szCs w:val="20"/>
        </w:rPr>
        <w:lastRenderedPageBreak/>
        <w:t>zaoberať nielen mzdovými doplatkami do novej sumy minimálnej mzdy a zvýšenými odvodmi, ale taktiež zvýšenými príplatkami za prácu v noci a počas víkendov, ktoré sa odvíjajú od výšky minimálnej mzdy.</w:t>
      </w:r>
      <w:r w:rsidRPr="000F2079">
        <w:rPr>
          <w:rFonts w:ascii="Arial" w:hAnsi="Arial" w:cs="Arial"/>
          <w:sz w:val="20"/>
          <w:szCs w:val="20"/>
        </w:rPr>
        <w:fldChar w:fldCharType="begin"/>
      </w:r>
      <w:r w:rsidRPr="000F2079">
        <w:rPr>
          <w:rFonts w:ascii="Arial" w:hAnsi="Arial" w:cs="Arial"/>
          <w:sz w:val="20"/>
          <w:szCs w:val="20"/>
        </w:rPr>
        <w:instrText xml:space="preserve"> LINK </w:instrText>
      </w:r>
      <w:r w:rsidR="005869C3">
        <w:rPr>
          <w:rFonts w:ascii="Arial" w:hAnsi="Arial" w:cs="Arial"/>
          <w:sz w:val="20"/>
          <w:szCs w:val="20"/>
        </w:rPr>
        <w:instrText xml:space="preserve">Excel.Sheet.12 "C:\\Users\\kucera\\Desktop\\aSOCIALNY BALICEK\\MSP soc balíček výpočty_boris_final.xlsx" "Matej (2)!R2C1:R5C6" </w:instrText>
      </w:r>
      <w:r w:rsidRPr="000F2079">
        <w:rPr>
          <w:rFonts w:ascii="Arial" w:hAnsi="Arial" w:cs="Arial"/>
          <w:sz w:val="20"/>
          <w:szCs w:val="20"/>
        </w:rPr>
        <w:instrText xml:space="preserve">\a \f 4 \h  \* MERGEFORMAT </w:instrText>
      </w:r>
      <w:r w:rsidRPr="000F2079">
        <w:rPr>
          <w:rFonts w:ascii="Arial" w:hAnsi="Arial" w:cs="Arial"/>
          <w:sz w:val="20"/>
          <w:szCs w:val="20"/>
        </w:rPr>
        <w:fldChar w:fldCharType="separate"/>
      </w:r>
    </w:p>
    <w:tbl>
      <w:tblPr>
        <w:tblW w:w="9221" w:type="dxa"/>
        <w:tblInd w:w="70" w:type="dxa"/>
        <w:tblCellMar>
          <w:left w:w="70" w:type="dxa"/>
          <w:right w:w="70" w:type="dxa"/>
        </w:tblCellMar>
        <w:tblLook w:val="04A0" w:firstRow="1" w:lastRow="0" w:firstColumn="1" w:lastColumn="0" w:noHBand="0" w:noVBand="1"/>
      </w:tblPr>
      <w:tblGrid>
        <w:gridCol w:w="1017"/>
        <w:gridCol w:w="1017"/>
        <w:gridCol w:w="1887"/>
        <w:gridCol w:w="1951"/>
        <w:gridCol w:w="1823"/>
        <w:gridCol w:w="1526"/>
      </w:tblGrid>
      <w:tr w:rsidR="00E61035" w:rsidRPr="000F2079" w:rsidTr="00420BB3">
        <w:trPr>
          <w:trHeight w:val="769"/>
        </w:trPr>
        <w:tc>
          <w:tcPr>
            <w:tcW w:w="1017"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E61035" w:rsidRPr="000F2079" w:rsidRDefault="00E61035" w:rsidP="00E61035">
            <w:pPr>
              <w:widowControl/>
              <w:adjustRightInd/>
              <w:spacing w:after="0" w:line="240" w:lineRule="auto"/>
              <w:rPr>
                <w:rFonts w:ascii="Arial" w:hAnsi="Arial" w:cs="Arial"/>
                <w:color w:val="000000"/>
                <w:sz w:val="20"/>
                <w:szCs w:val="20"/>
                <w:lang w:eastAsia="sk-SK"/>
              </w:rPr>
            </w:pPr>
            <w:r w:rsidRPr="000F2079">
              <w:rPr>
                <w:rFonts w:ascii="Arial" w:hAnsi="Arial" w:cs="Arial"/>
                <w:color w:val="000000"/>
                <w:sz w:val="20"/>
                <w:szCs w:val="20"/>
                <w:lang w:eastAsia="sk-SK"/>
              </w:rPr>
              <w:t> </w:t>
            </w:r>
          </w:p>
        </w:tc>
        <w:tc>
          <w:tcPr>
            <w:tcW w:w="1017" w:type="dxa"/>
            <w:tcBorders>
              <w:top w:val="single" w:sz="4" w:space="0" w:color="auto"/>
              <w:left w:val="nil"/>
              <w:bottom w:val="single" w:sz="4" w:space="0" w:color="auto"/>
              <w:right w:val="single" w:sz="4" w:space="0" w:color="auto"/>
            </w:tcBorders>
            <w:shd w:val="clear" w:color="000000" w:fill="9BC2E6"/>
            <w:noWrap/>
            <w:vAlign w:val="bottom"/>
            <w:hideMark/>
          </w:tcPr>
          <w:p w:rsidR="00E61035" w:rsidRPr="000F2079" w:rsidRDefault="00E61035" w:rsidP="00E61035">
            <w:pPr>
              <w:widowControl/>
              <w:adjustRightInd/>
              <w:spacing w:after="0" w:line="240" w:lineRule="auto"/>
              <w:rPr>
                <w:rFonts w:ascii="Arial" w:hAnsi="Arial" w:cs="Arial"/>
                <w:color w:val="000000"/>
                <w:sz w:val="20"/>
                <w:szCs w:val="20"/>
                <w:lang w:eastAsia="sk-SK"/>
              </w:rPr>
            </w:pPr>
            <w:r w:rsidRPr="000F2079">
              <w:rPr>
                <w:rFonts w:ascii="Arial" w:hAnsi="Arial" w:cs="Arial"/>
                <w:color w:val="000000"/>
                <w:sz w:val="20"/>
                <w:szCs w:val="20"/>
                <w:lang w:eastAsia="sk-SK"/>
              </w:rPr>
              <w:t> </w:t>
            </w:r>
          </w:p>
        </w:tc>
        <w:tc>
          <w:tcPr>
            <w:tcW w:w="1887" w:type="dxa"/>
            <w:tcBorders>
              <w:top w:val="single" w:sz="4" w:space="0" w:color="auto"/>
              <w:left w:val="nil"/>
              <w:bottom w:val="single" w:sz="4" w:space="0" w:color="auto"/>
              <w:right w:val="single" w:sz="4" w:space="0" w:color="auto"/>
            </w:tcBorders>
            <w:shd w:val="clear" w:color="000000" w:fill="9BC2E6"/>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odpracované hodiny za mesiac</w:t>
            </w:r>
          </w:p>
        </w:tc>
        <w:tc>
          <w:tcPr>
            <w:tcW w:w="1951" w:type="dxa"/>
            <w:tcBorders>
              <w:top w:val="single" w:sz="4" w:space="0" w:color="auto"/>
              <w:left w:val="nil"/>
              <w:bottom w:val="single" w:sz="4" w:space="0" w:color="auto"/>
              <w:right w:val="single" w:sz="4" w:space="0" w:color="auto"/>
            </w:tcBorders>
            <w:shd w:val="clear" w:color="000000" w:fill="9BC2E6"/>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hodinová hrubá sadzba</w:t>
            </w:r>
          </w:p>
        </w:tc>
        <w:tc>
          <w:tcPr>
            <w:tcW w:w="1823" w:type="dxa"/>
            <w:tcBorders>
              <w:top w:val="single" w:sz="4" w:space="0" w:color="auto"/>
              <w:left w:val="nil"/>
              <w:bottom w:val="single" w:sz="4" w:space="0" w:color="auto"/>
              <w:right w:val="single" w:sz="4" w:space="0" w:color="auto"/>
            </w:tcBorders>
            <w:shd w:val="clear" w:color="000000" w:fill="9BC2E6"/>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celkové hrubé mzdy za mesiac</w:t>
            </w:r>
          </w:p>
        </w:tc>
        <w:tc>
          <w:tcPr>
            <w:tcW w:w="1526" w:type="dxa"/>
            <w:tcBorders>
              <w:top w:val="single" w:sz="4" w:space="0" w:color="auto"/>
              <w:left w:val="nil"/>
              <w:bottom w:val="single" w:sz="4" w:space="0" w:color="auto"/>
              <w:right w:val="single" w:sz="4" w:space="0" w:color="auto"/>
            </w:tcBorders>
            <w:shd w:val="clear" w:color="000000" w:fill="9BC2E6"/>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celkové hrubé mzdy za rok</w:t>
            </w:r>
          </w:p>
        </w:tc>
      </w:tr>
      <w:tr w:rsidR="00E61035" w:rsidRPr="000F2079" w:rsidTr="00420BB3">
        <w:trPr>
          <w:trHeight w:val="192"/>
        </w:trPr>
        <w:tc>
          <w:tcPr>
            <w:tcW w:w="1017" w:type="dxa"/>
            <w:vMerge w:val="restart"/>
            <w:tcBorders>
              <w:top w:val="nil"/>
              <w:left w:val="single" w:sz="4" w:space="0" w:color="auto"/>
              <w:bottom w:val="single" w:sz="4" w:space="0" w:color="auto"/>
              <w:right w:val="single" w:sz="4" w:space="0" w:color="auto"/>
            </w:tcBorders>
            <w:shd w:val="clear" w:color="000000" w:fill="9BC2E6"/>
            <w:noWrap/>
            <w:textDirection w:val="btLr"/>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celkovo</w:t>
            </w:r>
          </w:p>
        </w:tc>
        <w:tc>
          <w:tcPr>
            <w:tcW w:w="1017" w:type="dxa"/>
            <w:tcBorders>
              <w:top w:val="nil"/>
              <w:left w:val="nil"/>
              <w:bottom w:val="single" w:sz="4" w:space="0" w:color="auto"/>
              <w:right w:val="single" w:sz="4" w:space="0" w:color="auto"/>
            </w:tcBorders>
            <w:shd w:val="clear" w:color="000000" w:fill="9BC2E6"/>
            <w:noWrap/>
            <w:vAlign w:val="bottom"/>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2017</w:t>
            </w:r>
          </w:p>
        </w:tc>
        <w:tc>
          <w:tcPr>
            <w:tcW w:w="1887"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5557</w:t>
            </w:r>
          </w:p>
        </w:tc>
        <w:tc>
          <w:tcPr>
            <w:tcW w:w="1951"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2,5000</w:t>
            </w:r>
          </w:p>
        </w:tc>
        <w:tc>
          <w:tcPr>
            <w:tcW w:w="1823"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13 892,50</w:t>
            </w:r>
          </w:p>
        </w:tc>
        <w:tc>
          <w:tcPr>
            <w:tcW w:w="1526"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166 710,00</w:t>
            </w:r>
          </w:p>
        </w:tc>
      </w:tr>
      <w:tr w:rsidR="00E61035" w:rsidRPr="000F2079" w:rsidTr="00420BB3">
        <w:trPr>
          <w:trHeight w:val="192"/>
        </w:trPr>
        <w:tc>
          <w:tcPr>
            <w:tcW w:w="1017" w:type="dxa"/>
            <w:vMerge/>
            <w:tcBorders>
              <w:top w:val="nil"/>
              <w:left w:val="single" w:sz="4" w:space="0" w:color="auto"/>
              <w:bottom w:val="single" w:sz="4" w:space="0" w:color="auto"/>
              <w:right w:val="single" w:sz="4" w:space="0" w:color="auto"/>
            </w:tcBorders>
            <w:vAlign w:val="center"/>
            <w:hideMark/>
          </w:tcPr>
          <w:p w:rsidR="00E61035" w:rsidRPr="000F2079" w:rsidRDefault="00E61035" w:rsidP="00E61035">
            <w:pPr>
              <w:widowControl/>
              <w:adjustRightInd/>
              <w:spacing w:after="0" w:line="240" w:lineRule="auto"/>
              <w:rPr>
                <w:rFonts w:ascii="Arial" w:hAnsi="Arial" w:cs="Arial"/>
                <w:b/>
                <w:bCs/>
                <w:color w:val="000000"/>
                <w:sz w:val="20"/>
                <w:szCs w:val="20"/>
                <w:lang w:eastAsia="sk-SK"/>
              </w:rPr>
            </w:pPr>
          </w:p>
        </w:tc>
        <w:tc>
          <w:tcPr>
            <w:tcW w:w="1017" w:type="dxa"/>
            <w:tcBorders>
              <w:top w:val="nil"/>
              <w:left w:val="nil"/>
              <w:bottom w:val="single" w:sz="4" w:space="0" w:color="auto"/>
              <w:right w:val="single" w:sz="4" w:space="0" w:color="auto"/>
            </w:tcBorders>
            <w:shd w:val="clear" w:color="000000" w:fill="9BC2E6"/>
            <w:noWrap/>
            <w:vAlign w:val="bottom"/>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2018</w:t>
            </w:r>
          </w:p>
        </w:tc>
        <w:tc>
          <w:tcPr>
            <w:tcW w:w="1887"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5557</w:t>
            </w:r>
          </w:p>
        </w:tc>
        <w:tc>
          <w:tcPr>
            <w:tcW w:w="1951"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2,7586</w:t>
            </w:r>
          </w:p>
        </w:tc>
        <w:tc>
          <w:tcPr>
            <w:tcW w:w="1823"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15 329,66</w:t>
            </w:r>
          </w:p>
        </w:tc>
        <w:tc>
          <w:tcPr>
            <w:tcW w:w="1526"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183 955,86</w:t>
            </w:r>
          </w:p>
        </w:tc>
      </w:tr>
      <w:tr w:rsidR="00E61035" w:rsidRPr="000F2079" w:rsidTr="00420BB3">
        <w:trPr>
          <w:trHeight w:val="192"/>
        </w:trPr>
        <w:tc>
          <w:tcPr>
            <w:tcW w:w="1017" w:type="dxa"/>
            <w:vMerge/>
            <w:tcBorders>
              <w:top w:val="nil"/>
              <w:left w:val="single" w:sz="4" w:space="0" w:color="auto"/>
              <w:bottom w:val="single" w:sz="4" w:space="0" w:color="auto"/>
              <w:right w:val="single" w:sz="4" w:space="0" w:color="auto"/>
            </w:tcBorders>
            <w:vAlign w:val="center"/>
            <w:hideMark/>
          </w:tcPr>
          <w:p w:rsidR="00E61035" w:rsidRPr="000F2079" w:rsidRDefault="00E61035" w:rsidP="00E61035">
            <w:pPr>
              <w:widowControl/>
              <w:adjustRightInd/>
              <w:spacing w:after="0" w:line="240" w:lineRule="auto"/>
              <w:rPr>
                <w:rFonts w:ascii="Arial" w:hAnsi="Arial" w:cs="Arial"/>
                <w:b/>
                <w:bCs/>
                <w:color w:val="000000"/>
                <w:sz w:val="20"/>
                <w:szCs w:val="20"/>
                <w:lang w:eastAsia="sk-SK"/>
              </w:rPr>
            </w:pPr>
          </w:p>
        </w:tc>
        <w:tc>
          <w:tcPr>
            <w:tcW w:w="1017" w:type="dxa"/>
            <w:tcBorders>
              <w:top w:val="nil"/>
              <w:left w:val="nil"/>
              <w:bottom w:val="single" w:sz="4" w:space="0" w:color="auto"/>
              <w:right w:val="single" w:sz="4" w:space="0" w:color="auto"/>
            </w:tcBorders>
            <w:shd w:val="clear" w:color="000000" w:fill="9BC2E6"/>
            <w:noWrap/>
            <w:vAlign w:val="bottom"/>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2019</w:t>
            </w:r>
          </w:p>
        </w:tc>
        <w:tc>
          <w:tcPr>
            <w:tcW w:w="1887"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5557</w:t>
            </w:r>
          </w:p>
        </w:tc>
        <w:tc>
          <w:tcPr>
            <w:tcW w:w="1951"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2,9885</w:t>
            </w:r>
          </w:p>
        </w:tc>
        <w:tc>
          <w:tcPr>
            <w:tcW w:w="1823"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16 607,13</w:t>
            </w:r>
          </w:p>
        </w:tc>
        <w:tc>
          <w:tcPr>
            <w:tcW w:w="1526"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199 285,52</w:t>
            </w:r>
          </w:p>
        </w:tc>
      </w:tr>
    </w:tbl>
    <w:p w:rsidR="00E61035" w:rsidRPr="000F2079" w:rsidRDefault="00E61035" w:rsidP="00E61035">
      <w:pPr>
        <w:jc w:val="center"/>
        <w:rPr>
          <w:rFonts w:ascii="Arial" w:hAnsi="Arial" w:cs="Arial"/>
          <w:sz w:val="20"/>
          <w:szCs w:val="20"/>
          <w:highlight w:val="cyan"/>
        </w:rPr>
      </w:pPr>
      <w:r w:rsidRPr="000F2079">
        <w:rPr>
          <w:rFonts w:ascii="Arial" w:hAnsi="Arial" w:cs="Arial"/>
          <w:sz w:val="20"/>
          <w:szCs w:val="20"/>
        </w:rPr>
        <w:fldChar w:fldCharType="end"/>
      </w:r>
      <w:r w:rsidR="00DB4E78" w:rsidRPr="000F2079">
        <w:rPr>
          <w:rFonts w:ascii="Arial" w:hAnsi="Arial" w:cs="Arial"/>
          <w:sz w:val="20"/>
          <w:szCs w:val="20"/>
        </w:rPr>
        <w:t>Tabuľka č. 5</w:t>
      </w:r>
      <w:r w:rsidRPr="000F2079">
        <w:rPr>
          <w:rFonts w:ascii="Arial" w:hAnsi="Arial" w:cs="Arial"/>
          <w:sz w:val="20"/>
          <w:szCs w:val="20"/>
        </w:rPr>
        <w:t>: Odpracované hodiny a celkové hrubé mzdy</w:t>
      </w:r>
    </w:p>
    <w:p w:rsidR="00E61035" w:rsidRPr="000F2079" w:rsidRDefault="00E61035" w:rsidP="00E61035">
      <w:pPr>
        <w:jc w:val="both"/>
        <w:rPr>
          <w:rFonts w:ascii="Arial" w:eastAsia="Calibri" w:hAnsi="Arial" w:cs="Arial"/>
          <w:sz w:val="20"/>
          <w:szCs w:val="20"/>
          <w:lang w:eastAsia="sk-SK"/>
        </w:rPr>
      </w:pPr>
      <w:r w:rsidRPr="000F2079">
        <w:rPr>
          <w:rFonts w:ascii="Arial" w:hAnsi="Arial" w:cs="Arial"/>
          <w:sz w:val="20"/>
          <w:szCs w:val="20"/>
        </w:rPr>
        <w:t xml:space="preserve">Údaje uvedené v tabuľkách č. 4 a č. 5 boli poskytnuté Centru lepšej regulácie pri príležitosti výkonu </w:t>
      </w:r>
      <w:r w:rsidR="000F2079">
        <w:rPr>
          <w:rFonts w:ascii="Arial" w:hAnsi="Arial" w:cs="Arial"/>
          <w:sz w:val="20"/>
          <w:szCs w:val="20"/>
        </w:rPr>
        <w:t>t</w:t>
      </w:r>
      <w:r w:rsidRPr="000F2079">
        <w:rPr>
          <w:rFonts w:ascii="Arial" w:hAnsi="Arial" w:cs="Arial"/>
          <w:sz w:val="20"/>
          <w:szCs w:val="20"/>
        </w:rPr>
        <w:t>estu MSP k novele zákona č. 311/2001 Z. z. Zákonník práce v znení neskorších predpisov (marec 2018) samotným prevádzkovateľom ubytovacieho zariadenia, pričom tieto údaje boli za mesiac august 2017. Ako možno vidieť z tabuľky vyššie, celkovo zamestnanci hotela odpracovali v auguste minulého roku 5557 hodín, pričom im bola vyplácaná minimálna hodinová hrubá mzda vo výške 2,50 €. Celkovo teda predstavovali hrubé mzdy za august 13 892,50 €. Ak predpokladáme, že každý mesiac v roku odpracovali zamestnanci rovnaký počet hodín ako v auguste, potom celkové hrubé mzdy za rok 2017 (okrem príplatkov) predstavovali 166 710,00 €. Z tabuľky č. 5 môžeme vidieť, že z celkovo odpracovaných 5557 hodín v auguste pripadlo 1023 hodín na sobotu, 678 hodín na nedeľu a 350 hodín na nočnú prácu. Za prácu vykonanú počas víkendu nevyplatil zamestnávateľ svojim zamestnancom v roku 2017 žiadne príplatky. Tabuľka č. 6 poskytuje prehľad celkových mzdových nákladov zamestnávateľa s výnimkou príplatkov za prácu vo sviatok, ktoré sa odvíjajú od priemernej mzdy – tá je síce v tomto prípade rovnaká ako mzda minimálna, no zvyčajne tomu tak nie</w:t>
      </w:r>
      <w:r w:rsidR="00E468C1">
        <w:rPr>
          <w:rFonts w:ascii="Arial" w:hAnsi="Arial" w:cs="Arial"/>
          <w:sz w:val="20"/>
          <w:szCs w:val="20"/>
        </w:rPr>
        <w:t xml:space="preserve"> je</w:t>
      </w:r>
      <w:r w:rsidRPr="000F2079">
        <w:rPr>
          <w:rFonts w:ascii="Arial" w:hAnsi="Arial" w:cs="Arial"/>
          <w:sz w:val="20"/>
          <w:szCs w:val="20"/>
        </w:rPr>
        <w:t>. Pre naše účely však môžeme momentálne pokojne abstrahovať od príplatkov za prácu počas sviatkov. Za rok 2017 teda predstavovali celkové mzdové náklady bez príplatkov za prácu počas sviatkov 228 231,12 €. Vplyvom zmien v príplatkoch za prácu v noci a počas víkendov, ako aj vplyvom zmeny minimálnej hrubej mzdy od ktorej sa tieto príplatky odvíjajú, však celkové mzdové náklady prevádzkovateľa tohto ubytovacieho zariadenia budú v rokoch 2018 a 2019 výrazne vyššie.</w:t>
      </w:r>
      <w:r w:rsidRPr="000F2079">
        <w:rPr>
          <w:rFonts w:ascii="Arial" w:hAnsi="Arial" w:cs="Arial"/>
          <w:sz w:val="20"/>
          <w:szCs w:val="20"/>
          <w:highlight w:val="cyan"/>
        </w:rPr>
        <w:fldChar w:fldCharType="begin"/>
      </w:r>
      <w:r w:rsidRPr="000F2079">
        <w:rPr>
          <w:rFonts w:ascii="Arial" w:hAnsi="Arial" w:cs="Arial"/>
          <w:sz w:val="20"/>
          <w:szCs w:val="20"/>
          <w:highlight w:val="cyan"/>
        </w:rPr>
        <w:instrText xml:space="preserve"> LINK </w:instrText>
      </w:r>
      <w:r w:rsidR="00E468C1">
        <w:rPr>
          <w:rFonts w:ascii="Arial" w:hAnsi="Arial" w:cs="Arial"/>
          <w:sz w:val="20"/>
          <w:szCs w:val="20"/>
          <w:highlight w:val="cyan"/>
        </w:rPr>
        <w:instrText xml:space="preserve">Excel.Sheet.12 "C:\\Users\\kucera\\Desktop\\aSOCIALNY BALICEK\\MSP soc balíček výpočty_boris_final.xlsx" "Matej (3)!R7C1:R25C7" </w:instrText>
      </w:r>
      <w:r w:rsidRPr="000F2079">
        <w:rPr>
          <w:rFonts w:ascii="Arial" w:hAnsi="Arial" w:cs="Arial"/>
          <w:sz w:val="20"/>
          <w:szCs w:val="20"/>
          <w:highlight w:val="cyan"/>
        </w:rPr>
        <w:instrText xml:space="preserve">\a \f 4 \h  \* MERGEFORMAT </w:instrText>
      </w:r>
      <w:r w:rsidRPr="000F2079">
        <w:rPr>
          <w:rFonts w:ascii="Arial" w:hAnsi="Arial" w:cs="Arial"/>
          <w:sz w:val="20"/>
          <w:szCs w:val="20"/>
          <w:highlight w:val="cyan"/>
        </w:rPr>
        <w:fldChar w:fldCharType="separate"/>
      </w:r>
    </w:p>
    <w:tbl>
      <w:tblPr>
        <w:tblW w:w="9356" w:type="dxa"/>
        <w:tblInd w:w="70" w:type="dxa"/>
        <w:tblCellMar>
          <w:left w:w="70" w:type="dxa"/>
          <w:right w:w="70" w:type="dxa"/>
        </w:tblCellMar>
        <w:tblLook w:val="04A0" w:firstRow="1" w:lastRow="0" w:firstColumn="1" w:lastColumn="0" w:noHBand="0" w:noVBand="1"/>
      </w:tblPr>
      <w:tblGrid>
        <w:gridCol w:w="960"/>
        <w:gridCol w:w="960"/>
        <w:gridCol w:w="1780"/>
        <w:gridCol w:w="1385"/>
        <w:gridCol w:w="1471"/>
        <w:gridCol w:w="1417"/>
        <w:gridCol w:w="1418"/>
      </w:tblGrid>
      <w:tr w:rsidR="00E61035" w:rsidRPr="000F2079" w:rsidTr="00420BB3">
        <w:trPr>
          <w:trHeight w:val="850"/>
        </w:trPr>
        <w:tc>
          <w:tcPr>
            <w:tcW w:w="960" w:type="dxa"/>
            <w:tcBorders>
              <w:top w:val="single" w:sz="4" w:space="0" w:color="auto"/>
              <w:left w:val="single" w:sz="4" w:space="0" w:color="auto"/>
              <w:bottom w:val="single" w:sz="8" w:space="0" w:color="auto"/>
              <w:right w:val="single" w:sz="4" w:space="0" w:color="auto"/>
            </w:tcBorders>
            <w:shd w:val="clear" w:color="000000" w:fill="9BC2E6"/>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p>
        </w:tc>
        <w:tc>
          <w:tcPr>
            <w:tcW w:w="960" w:type="dxa"/>
            <w:tcBorders>
              <w:top w:val="single" w:sz="4" w:space="0" w:color="auto"/>
              <w:left w:val="nil"/>
              <w:bottom w:val="single" w:sz="8" w:space="0" w:color="auto"/>
              <w:right w:val="single" w:sz="4" w:space="0" w:color="auto"/>
            </w:tcBorders>
            <w:shd w:val="clear" w:color="000000" w:fill="9BC2E6"/>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p>
        </w:tc>
        <w:tc>
          <w:tcPr>
            <w:tcW w:w="1780" w:type="dxa"/>
            <w:tcBorders>
              <w:top w:val="single" w:sz="4" w:space="0" w:color="auto"/>
              <w:left w:val="nil"/>
              <w:bottom w:val="single" w:sz="8" w:space="0" w:color="auto"/>
              <w:right w:val="single" w:sz="4" w:space="0" w:color="auto"/>
            </w:tcBorders>
            <w:shd w:val="clear" w:color="000000" w:fill="9BC2E6"/>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p>
        </w:tc>
        <w:tc>
          <w:tcPr>
            <w:tcW w:w="1350" w:type="dxa"/>
            <w:tcBorders>
              <w:top w:val="single" w:sz="4" w:space="0" w:color="auto"/>
              <w:left w:val="nil"/>
              <w:bottom w:val="single" w:sz="8" w:space="0" w:color="auto"/>
              <w:right w:val="single" w:sz="4" w:space="0" w:color="auto"/>
            </w:tcBorders>
            <w:shd w:val="clear" w:color="000000" w:fill="9BC2E6"/>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odpracované hodiny za mesiac</w:t>
            </w:r>
          </w:p>
        </w:tc>
        <w:tc>
          <w:tcPr>
            <w:tcW w:w="1471" w:type="dxa"/>
            <w:tcBorders>
              <w:top w:val="single" w:sz="4" w:space="0" w:color="auto"/>
              <w:left w:val="nil"/>
              <w:bottom w:val="single" w:sz="8" w:space="0" w:color="auto"/>
              <w:right w:val="single" w:sz="4" w:space="0" w:color="auto"/>
            </w:tcBorders>
            <w:shd w:val="clear" w:color="000000" w:fill="9BC2E6"/>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hodinový hrubý príplatok</w:t>
            </w:r>
          </w:p>
        </w:tc>
        <w:tc>
          <w:tcPr>
            <w:tcW w:w="1417" w:type="dxa"/>
            <w:tcBorders>
              <w:top w:val="single" w:sz="4" w:space="0" w:color="auto"/>
              <w:left w:val="nil"/>
              <w:bottom w:val="single" w:sz="8" w:space="0" w:color="auto"/>
              <w:right w:val="single" w:sz="4" w:space="0" w:color="auto"/>
            </w:tcBorders>
            <w:shd w:val="clear" w:color="000000" w:fill="9BC2E6"/>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celkové hrubé príplatky za obdobie</w:t>
            </w:r>
          </w:p>
        </w:tc>
        <w:tc>
          <w:tcPr>
            <w:tcW w:w="1418" w:type="dxa"/>
            <w:tcBorders>
              <w:top w:val="single" w:sz="4" w:space="0" w:color="auto"/>
              <w:left w:val="nil"/>
              <w:bottom w:val="single" w:sz="8" w:space="0" w:color="auto"/>
              <w:right w:val="single" w:sz="4" w:space="0" w:color="auto"/>
            </w:tcBorders>
            <w:shd w:val="clear" w:color="000000" w:fill="9BC2E6"/>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celkové hrubé príplatky za rok</w:t>
            </w:r>
          </w:p>
        </w:tc>
      </w:tr>
      <w:tr w:rsidR="00E61035" w:rsidRPr="000F2079" w:rsidTr="00420BB3">
        <w:trPr>
          <w:trHeight w:val="292"/>
        </w:trPr>
        <w:tc>
          <w:tcPr>
            <w:tcW w:w="960" w:type="dxa"/>
            <w:tcBorders>
              <w:top w:val="nil"/>
              <w:left w:val="single" w:sz="4" w:space="0" w:color="auto"/>
              <w:bottom w:val="single" w:sz="8" w:space="0" w:color="auto"/>
              <w:right w:val="nil"/>
            </w:tcBorders>
            <w:shd w:val="clear" w:color="000000" w:fill="757171"/>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p>
        </w:tc>
        <w:tc>
          <w:tcPr>
            <w:tcW w:w="960" w:type="dxa"/>
            <w:tcBorders>
              <w:top w:val="nil"/>
              <w:left w:val="single" w:sz="8" w:space="0" w:color="auto"/>
              <w:bottom w:val="single" w:sz="8" w:space="0" w:color="auto"/>
              <w:right w:val="single" w:sz="4" w:space="0" w:color="auto"/>
            </w:tcBorders>
            <w:shd w:val="clear" w:color="000000" w:fill="757171"/>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p>
        </w:tc>
        <w:tc>
          <w:tcPr>
            <w:tcW w:w="1780" w:type="dxa"/>
            <w:tcBorders>
              <w:top w:val="nil"/>
              <w:left w:val="nil"/>
              <w:bottom w:val="single" w:sz="8" w:space="0" w:color="auto"/>
              <w:right w:val="single" w:sz="4" w:space="0" w:color="auto"/>
            </w:tcBorders>
            <w:shd w:val="clear" w:color="000000" w:fill="757171"/>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p>
        </w:tc>
        <w:tc>
          <w:tcPr>
            <w:tcW w:w="1350" w:type="dxa"/>
            <w:tcBorders>
              <w:top w:val="nil"/>
              <w:left w:val="nil"/>
              <w:bottom w:val="single" w:sz="8" w:space="0" w:color="auto"/>
              <w:right w:val="single" w:sz="4" w:space="0" w:color="auto"/>
            </w:tcBorders>
            <w:shd w:val="clear" w:color="000000" w:fill="757171"/>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1471" w:type="dxa"/>
            <w:tcBorders>
              <w:top w:val="nil"/>
              <w:left w:val="nil"/>
              <w:bottom w:val="single" w:sz="8" w:space="0" w:color="auto"/>
              <w:right w:val="single" w:sz="4" w:space="0" w:color="auto"/>
            </w:tcBorders>
            <w:shd w:val="clear" w:color="000000" w:fill="757171"/>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1417" w:type="dxa"/>
            <w:tcBorders>
              <w:top w:val="nil"/>
              <w:left w:val="nil"/>
              <w:bottom w:val="single" w:sz="8" w:space="0" w:color="auto"/>
              <w:right w:val="single" w:sz="4" w:space="0" w:color="auto"/>
            </w:tcBorders>
            <w:shd w:val="clear" w:color="000000" w:fill="757171"/>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1418" w:type="dxa"/>
            <w:tcBorders>
              <w:top w:val="nil"/>
              <w:left w:val="nil"/>
              <w:bottom w:val="single" w:sz="8" w:space="0" w:color="auto"/>
              <w:right w:val="nil"/>
            </w:tcBorders>
            <w:shd w:val="clear" w:color="000000" w:fill="757171"/>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r>
      <w:tr w:rsidR="00E61035" w:rsidRPr="000F2079" w:rsidTr="00420BB3">
        <w:trPr>
          <w:trHeight w:val="292"/>
        </w:trPr>
        <w:tc>
          <w:tcPr>
            <w:tcW w:w="960" w:type="dxa"/>
            <w:vMerge w:val="restart"/>
            <w:tcBorders>
              <w:top w:val="nil"/>
              <w:left w:val="single" w:sz="4" w:space="0" w:color="auto"/>
              <w:bottom w:val="single" w:sz="8" w:space="0" w:color="000000"/>
              <w:right w:val="nil"/>
            </w:tcBorders>
            <w:shd w:val="clear" w:color="000000" w:fill="DDEBF7"/>
            <w:noWrap/>
            <w:textDirection w:val="btLr"/>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soboty</w:t>
            </w:r>
          </w:p>
        </w:tc>
        <w:tc>
          <w:tcPr>
            <w:tcW w:w="960" w:type="dxa"/>
            <w:tcBorders>
              <w:top w:val="nil"/>
              <w:left w:val="single" w:sz="8" w:space="0" w:color="auto"/>
              <w:bottom w:val="single" w:sz="8" w:space="0" w:color="auto"/>
              <w:right w:val="single" w:sz="4" w:space="0" w:color="auto"/>
            </w:tcBorders>
            <w:shd w:val="clear" w:color="000000" w:fill="DDEBF7"/>
            <w:noWrap/>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2017</w:t>
            </w:r>
          </w:p>
        </w:tc>
        <w:tc>
          <w:tcPr>
            <w:tcW w:w="1780" w:type="dxa"/>
            <w:tcBorders>
              <w:top w:val="nil"/>
              <w:left w:val="nil"/>
              <w:bottom w:val="single" w:sz="8"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01/2017 - 12/2017</w:t>
            </w:r>
          </w:p>
        </w:tc>
        <w:tc>
          <w:tcPr>
            <w:tcW w:w="1350" w:type="dxa"/>
            <w:tcBorders>
              <w:top w:val="nil"/>
              <w:left w:val="nil"/>
              <w:bottom w:val="single" w:sz="8" w:space="0" w:color="auto"/>
              <w:right w:val="single" w:sz="4" w:space="0" w:color="auto"/>
            </w:tcBorders>
            <w:shd w:val="clear" w:color="000000" w:fill="DDEBF7"/>
            <w:noWrap/>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1023</w:t>
            </w:r>
          </w:p>
        </w:tc>
        <w:tc>
          <w:tcPr>
            <w:tcW w:w="1471" w:type="dxa"/>
            <w:tcBorders>
              <w:top w:val="nil"/>
              <w:left w:val="nil"/>
              <w:bottom w:val="single" w:sz="8"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0,0000</w:t>
            </w:r>
          </w:p>
        </w:tc>
        <w:tc>
          <w:tcPr>
            <w:tcW w:w="1417" w:type="dxa"/>
            <w:tcBorders>
              <w:top w:val="nil"/>
              <w:left w:val="nil"/>
              <w:bottom w:val="single" w:sz="8"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w:t>
            </w:r>
          </w:p>
        </w:tc>
        <w:tc>
          <w:tcPr>
            <w:tcW w:w="1418" w:type="dxa"/>
            <w:tcBorders>
              <w:top w:val="nil"/>
              <w:left w:val="nil"/>
              <w:bottom w:val="single" w:sz="8" w:space="0" w:color="auto"/>
              <w:right w:val="single" w:sz="8"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w:t>
            </w:r>
          </w:p>
        </w:tc>
      </w:tr>
      <w:tr w:rsidR="00E61035" w:rsidRPr="000F2079" w:rsidTr="00420BB3">
        <w:trPr>
          <w:trHeight w:val="278"/>
        </w:trPr>
        <w:tc>
          <w:tcPr>
            <w:tcW w:w="960" w:type="dxa"/>
            <w:vMerge/>
            <w:tcBorders>
              <w:top w:val="nil"/>
              <w:left w:val="single" w:sz="4" w:space="0" w:color="auto"/>
              <w:bottom w:val="single" w:sz="8" w:space="0" w:color="000000"/>
              <w:right w:val="nil"/>
            </w:tcBorders>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960" w:type="dxa"/>
            <w:vMerge w:val="restart"/>
            <w:tcBorders>
              <w:top w:val="nil"/>
              <w:left w:val="single" w:sz="8" w:space="0" w:color="auto"/>
              <w:bottom w:val="single" w:sz="8" w:space="0" w:color="000000"/>
              <w:right w:val="single" w:sz="4" w:space="0" w:color="auto"/>
            </w:tcBorders>
            <w:shd w:val="clear" w:color="000000" w:fill="DDEBF7"/>
            <w:noWrap/>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2018</w:t>
            </w:r>
          </w:p>
        </w:tc>
        <w:tc>
          <w:tcPr>
            <w:tcW w:w="1780"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01/2018 - 04/2018</w:t>
            </w:r>
          </w:p>
        </w:tc>
        <w:tc>
          <w:tcPr>
            <w:tcW w:w="1350" w:type="dxa"/>
            <w:vMerge w:val="restart"/>
            <w:tcBorders>
              <w:top w:val="nil"/>
              <w:left w:val="single" w:sz="4" w:space="0" w:color="auto"/>
              <w:bottom w:val="single" w:sz="8" w:space="0" w:color="000000"/>
              <w:right w:val="single" w:sz="4" w:space="0" w:color="auto"/>
            </w:tcBorders>
            <w:shd w:val="clear" w:color="000000" w:fill="DDEBF7"/>
            <w:noWrap/>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1023</w:t>
            </w:r>
          </w:p>
        </w:tc>
        <w:tc>
          <w:tcPr>
            <w:tcW w:w="1471"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0,0000</w:t>
            </w:r>
          </w:p>
        </w:tc>
        <w:tc>
          <w:tcPr>
            <w:tcW w:w="1417"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w:t>
            </w:r>
          </w:p>
        </w:tc>
        <w:tc>
          <w:tcPr>
            <w:tcW w:w="1418" w:type="dxa"/>
            <w:vMerge w:val="restart"/>
            <w:tcBorders>
              <w:top w:val="nil"/>
              <w:left w:val="single" w:sz="4" w:space="0" w:color="auto"/>
              <w:bottom w:val="single" w:sz="8" w:space="0" w:color="000000"/>
              <w:right w:val="single" w:sz="8" w:space="0" w:color="auto"/>
            </w:tcBorders>
            <w:shd w:val="clear" w:color="000000" w:fill="DDEBF7"/>
            <w:noWrap/>
            <w:vAlign w:val="center"/>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5 644,14</w:t>
            </w:r>
          </w:p>
        </w:tc>
      </w:tr>
      <w:tr w:rsidR="00E61035" w:rsidRPr="000F2079" w:rsidTr="00420BB3">
        <w:trPr>
          <w:trHeight w:val="292"/>
        </w:trPr>
        <w:tc>
          <w:tcPr>
            <w:tcW w:w="960" w:type="dxa"/>
            <w:vMerge/>
            <w:tcBorders>
              <w:top w:val="nil"/>
              <w:left w:val="single" w:sz="4" w:space="0" w:color="auto"/>
              <w:bottom w:val="single" w:sz="8" w:space="0" w:color="000000"/>
              <w:right w:val="nil"/>
            </w:tcBorders>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960" w:type="dxa"/>
            <w:vMerge/>
            <w:tcBorders>
              <w:top w:val="nil"/>
              <w:left w:val="single" w:sz="8" w:space="0" w:color="auto"/>
              <w:bottom w:val="single" w:sz="8" w:space="0" w:color="000000"/>
              <w:right w:val="single" w:sz="4" w:space="0" w:color="auto"/>
            </w:tcBorders>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1780" w:type="dxa"/>
            <w:tcBorders>
              <w:top w:val="nil"/>
              <w:left w:val="nil"/>
              <w:bottom w:val="single" w:sz="8"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05/2018 - 12/2018</w:t>
            </w:r>
          </w:p>
        </w:tc>
        <w:tc>
          <w:tcPr>
            <w:tcW w:w="1350" w:type="dxa"/>
            <w:vMerge/>
            <w:tcBorders>
              <w:top w:val="nil"/>
              <w:left w:val="single" w:sz="4" w:space="0" w:color="auto"/>
              <w:bottom w:val="single" w:sz="8" w:space="0" w:color="000000"/>
              <w:right w:val="single" w:sz="4" w:space="0" w:color="auto"/>
            </w:tcBorders>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p>
        </w:tc>
        <w:tc>
          <w:tcPr>
            <w:tcW w:w="1471" w:type="dxa"/>
            <w:tcBorders>
              <w:top w:val="nil"/>
              <w:left w:val="nil"/>
              <w:bottom w:val="single" w:sz="8"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0,6897</w:t>
            </w:r>
          </w:p>
        </w:tc>
        <w:tc>
          <w:tcPr>
            <w:tcW w:w="1417" w:type="dxa"/>
            <w:tcBorders>
              <w:top w:val="nil"/>
              <w:left w:val="nil"/>
              <w:bottom w:val="single" w:sz="8"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5 644,14</w:t>
            </w:r>
          </w:p>
        </w:tc>
        <w:tc>
          <w:tcPr>
            <w:tcW w:w="1418" w:type="dxa"/>
            <w:vMerge/>
            <w:tcBorders>
              <w:top w:val="nil"/>
              <w:left w:val="single" w:sz="4" w:space="0" w:color="auto"/>
              <w:bottom w:val="single" w:sz="8" w:space="0" w:color="000000"/>
              <w:right w:val="single" w:sz="8" w:space="0" w:color="auto"/>
            </w:tcBorders>
            <w:vAlign w:val="center"/>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p>
        </w:tc>
      </w:tr>
      <w:tr w:rsidR="00E61035" w:rsidRPr="000F2079" w:rsidTr="00420BB3">
        <w:trPr>
          <w:trHeight w:val="278"/>
        </w:trPr>
        <w:tc>
          <w:tcPr>
            <w:tcW w:w="960" w:type="dxa"/>
            <w:vMerge/>
            <w:tcBorders>
              <w:top w:val="nil"/>
              <w:left w:val="single" w:sz="4" w:space="0" w:color="auto"/>
              <w:bottom w:val="single" w:sz="8" w:space="0" w:color="000000"/>
              <w:right w:val="nil"/>
            </w:tcBorders>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960" w:type="dxa"/>
            <w:vMerge w:val="restart"/>
            <w:tcBorders>
              <w:top w:val="nil"/>
              <w:left w:val="single" w:sz="8" w:space="0" w:color="auto"/>
              <w:bottom w:val="single" w:sz="8" w:space="0" w:color="000000"/>
              <w:right w:val="single" w:sz="4" w:space="0" w:color="auto"/>
            </w:tcBorders>
            <w:shd w:val="clear" w:color="000000" w:fill="DDEBF7"/>
            <w:noWrap/>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2019</w:t>
            </w:r>
          </w:p>
        </w:tc>
        <w:tc>
          <w:tcPr>
            <w:tcW w:w="1780" w:type="dxa"/>
            <w:tcBorders>
              <w:top w:val="nil"/>
              <w:left w:val="nil"/>
              <w:bottom w:val="nil"/>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01/2019 - 04/2019</w:t>
            </w:r>
          </w:p>
        </w:tc>
        <w:tc>
          <w:tcPr>
            <w:tcW w:w="1350" w:type="dxa"/>
            <w:vMerge w:val="restart"/>
            <w:tcBorders>
              <w:top w:val="nil"/>
              <w:left w:val="single" w:sz="4" w:space="0" w:color="auto"/>
              <w:bottom w:val="single" w:sz="8" w:space="0" w:color="000000"/>
              <w:right w:val="single" w:sz="4" w:space="0" w:color="auto"/>
            </w:tcBorders>
            <w:shd w:val="clear" w:color="000000" w:fill="DDEBF7"/>
            <w:noWrap/>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1023</w:t>
            </w:r>
          </w:p>
        </w:tc>
        <w:tc>
          <w:tcPr>
            <w:tcW w:w="1471" w:type="dxa"/>
            <w:tcBorders>
              <w:top w:val="nil"/>
              <w:left w:val="nil"/>
              <w:bottom w:val="nil"/>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0,7471</w:t>
            </w:r>
          </w:p>
        </w:tc>
        <w:tc>
          <w:tcPr>
            <w:tcW w:w="1417" w:type="dxa"/>
            <w:tcBorders>
              <w:top w:val="nil"/>
              <w:left w:val="nil"/>
              <w:bottom w:val="nil"/>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3 057,24</w:t>
            </w:r>
          </w:p>
        </w:tc>
        <w:tc>
          <w:tcPr>
            <w:tcW w:w="1418" w:type="dxa"/>
            <w:vMerge w:val="restart"/>
            <w:tcBorders>
              <w:top w:val="nil"/>
              <w:left w:val="single" w:sz="4" w:space="0" w:color="auto"/>
              <w:bottom w:val="single" w:sz="8" w:space="0" w:color="000000"/>
              <w:right w:val="single" w:sz="8" w:space="0" w:color="auto"/>
            </w:tcBorders>
            <w:shd w:val="clear" w:color="000000" w:fill="DDEBF7"/>
            <w:noWrap/>
            <w:vAlign w:val="center"/>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15 286,21</w:t>
            </w:r>
          </w:p>
        </w:tc>
      </w:tr>
      <w:tr w:rsidR="00E61035" w:rsidRPr="000F2079" w:rsidTr="00420BB3">
        <w:trPr>
          <w:trHeight w:val="292"/>
        </w:trPr>
        <w:tc>
          <w:tcPr>
            <w:tcW w:w="960" w:type="dxa"/>
            <w:vMerge/>
            <w:tcBorders>
              <w:top w:val="nil"/>
              <w:left w:val="single" w:sz="4" w:space="0" w:color="auto"/>
              <w:bottom w:val="single" w:sz="8" w:space="0" w:color="000000"/>
              <w:right w:val="nil"/>
            </w:tcBorders>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960" w:type="dxa"/>
            <w:vMerge/>
            <w:tcBorders>
              <w:top w:val="nil"/>
              <w:left w:val="single" w:sz="8" w:space="0" w:color="auto"/>
              <w:bottom w:val="single" w:sz="8" w:space="0" w:color="000000"/>
              <w:right w:val="single" w:sz="4" w:space="0" w:color="auto"/>
            </w:tcBorders>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1780" w:type="dxa"/>
            <w:tcBorders>
              <w:top w:val="single" w:sz="4" w:space="0" w:color="auto"/>
              <w:left w:val="nil"/>
              <w:bottom w:val="single" w:sz="8"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05/2019 - 12/2019</w:t>
            </w:r>
          </w:p>
        </w:tc>
        <w:tc>
          <w:tcPr>
            <w:tcW w:w="1350" w:type="dxa"/>
            <w:vMerge/>
            <w:tcBorders>
              <w:top w:val="nil"/>
              <w:left w:val="single" w:sz="4" w:space="0" w:color="auto"/>
              <w:bottom w:val="single" w:sz="8" w:space="0" w:color="000000"/>
              <w:right w:val="single" w:sz="4" w:space="0" w:color="auto"/>
            </w:tcBorders>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p>
        </w:tc>
        <w:tc>
          <w:tcPr>
            <w:tcW w:w="1471" w:type="dxa"/>
            <w:tcBorders>
              <w:top w:val="single" w:sz="4" w:space="0" w:color="auto"/>
              <w:left w:val="nil"/>
              <w:bottom w:val="single" w:sz="8"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1,4943</w:t>
            </w:r>
          </w:p>
        </w:tc>
        <w:tc>
          <w:tcPr>
            <w:tcW w:w="1417" w:type="dxa"/>
            <w:tcBorders>
              <w:top w:val="single" w:sz="4" w:space="0" w:color="auto"/>
              <w:left w:val="nil"/>
              <w:bottom w:val="single" w:sz="8"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12 228,97</w:t>
            </w:r>
          </w:p>
        </w:tc>
        <w:tc>
          <w:tcPr>
            <w:tcW w:w="1418" w:type="dxa"/>
            <w:vMerge/>
            <w:tcBorders>
              <w:top w:val="nil"/>
              <w:left w:val="single" w:sz="4" w:space="0" w:color="auto"/>
              <w:bottom w:val="single" w:sz="8" w:space="0" w:color="000000"/>
              <w:right w:val="single" w:sz="8" w:space="0" w:color="auto"/>
            </w:tcBorders>
            <w:vAlign w:val="center"/>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p>
        </w:tc>
      </w:tr>
      <w:tr w:rsidR="00E61035" w:rsidRPr="000F2079" w:rsidTr="00420BB3">
        <w:trPr>
          <w:trHeight w:val="292"/>
        </w:trPr>
        <w:tc>
          <w:tcPr>
            <w:tcW w:w="960" w:type="dxa"/>
            <w:tcBorders>
              <w:top w:val="nil"/>
              <w:left w:val="single" w:sz="4" w:space="0" w:color="auto"/>
              <w:bottom w:val="nil"/>
              <w:right w:val="nil"/>
            </w:tcBorders>
            <w:shd w:val="clear" w:color="000000" w:fill="757171"/>
            <w:noWrap/>
            <w:textDirection w:val="btLr"/>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960" w:type="dxa"/>
            <w:tcBorders>
              <w:top w:val="nil"/>
              <w:left w:val="single" w:sz="8" w:space="0" w:color="auto"/>
              <w:bottom w:val="single" w:sz="8" w:space="0" w:color="auto"/>
              <w:right w:val="single" w:sz="4" w:space="0" w:color="auto"/>
            </w:tcBorders>
            <w:shd w:val="clear" w:color="000000" w:fill="757171"/>
            <w:noWrap/>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1780" w:type="dxa"/>
            <w:tcBorders>
              <w:top w:val="nil"/>
              <w:left w:val="nil"/>
              <w:bottom w:val="single" w:sz="8" w:space="0" w:color="auto"/>
              <w:right w:val="single" w:sz="4" w:space="0" w:color="auto"/>
            </w:tcBorders>
            <w:shd w:val="clear" w:color="000000" w:fill="757171"/>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p>
        </w:tc>
        <w:tc>
          <w:tcPr>
            <w:tcW w:w="1350" w:type="dxa"/>
            <w:tcBorders>
              <w:top w:val="nil"/>
              <w:left w:val="nil"/>
              <w:bottom w:val="single" w:sz="8" w:space="0" w:color="auto"/>
              <w:right w:val="single" w:sz="4" w:space="0" w:color="auto"/>
            </w:tcBorders>
            <w:shd w:val="clear" w:color="000000" w:fill="757171"/>
            <w:noWrap/>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p>
        </w:tc>
        <w:tc>
          <w:tcPr>
            <w:tcW w:w="1471" w:type="dxa"/>
            <w:tcBorders>
              <w:top w:val="nil"/>
              <w:left w:val="nil"/>
              <w:bottom w:val="single" w:sz="8" w:space="0" w:color="auto"/>
              <w:right w:val="single" w:sz="4" w:space="0" w:color="auto"/>
            </w:tcBorders>
            <w:shd w:val="clear" w:color="000000" w:fill="757171"/>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p>
        </w:tc>
        <w:tc>
          <w:tcPr>
            <w:tcW w:w="1417" w:type="dxa"/>
            <w:tcBorders>
              <w:top w:val="nil"/>
              <w:left w:val="nil"/>
              <w:bottom w:val="single" w:sz="8" w:space="0" w:color="auto"/>
              <w:right w:val="single" w:sz="4" w:space="0" w:color="auto"/>
            </w:tcBorders>
            <w:shd w:val="clear" w:color="000000" w:fill="757171"/>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p>
        </w:tc>
        <w:tc>
          <w:tcPr>
            <w:tcW w:w="1418" w:type="dxa"/>
            <w:tcBorders>
              <w:top w:val="nil"/>
              <w:left w:val="nil"/>
              <w:bottom w:val="single" w:sz="8" w:space="0" w:color="auto"/>
              <w:right w:val="single" w:sz="8" w:space="0" w:color="auto"/>
            </w:tcBorders>
            <w:shd w:val="clear" w:color="000000" w:fill="757171"/>
            <w:noWrap/>
            <w:vAlign w:val="center"/>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p>
        </w:tc>
      </w:tr>
      <w:tr w:rsidR="00E61035" w:rsidRPr="000F2079" w:rsidTr="00420BB3">
        <w:trPr>
          <w:trHeight w:val="292"/>
        </w:trPr>
        <w:tc>
          <w:tcPr>
            <w:tcW w:w="960" w:type="dxa"/>
            <w:vMerge w:val="restart"/>
            <w:tcBorders>
              <w:top w:val="single" w:sz="8" w:space="0" w:color="auto"/>
              <w:left w:val="single" w:sz="4" w:space="0" w:color="auto"/>
              <w:bottom w:val="single" w:sz="8" w:space="0" w:color="000000"/>
              <w:right w:val="nil"/>
            </w:tcBorders>
            <w:shd w:val="clear" w:color="000000" w:fill="BDD7EE"/>
            <w:noWrap/>
            <w:textDirection w:val="btLr"/>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nedele</w:t>
            </w:r>
          </w:p>
        </w:tc>
        <w:tc>
          <w:tcPr>
            <w:tcW w:w="960" w:type="dxa"/>
            <w:tcBorders>
              <w:top w:val="nil"/>
              <w:left w:val="single" w:sz="8" w:space="0" w:color="auto"/>
              <w:bottom w:val="single" w:sz="8" w:space="0" w:color="auto"/>
              <w:right w:val="single" w:sz="4" w:space="0" w:color="auto"/>
            </w:tcBorders>
            <w:shd w:val="clear" w:color="000000" w:fill="BDD7EE"/>
            <w:noWrap/>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2017</w:t>
            </w:r>
          </w:p>
        </w:tc>
        <w:tc>
          <w:tcPr>
            <w:tcW w:w="1780" w:type="dxa"/>
            <w:tcBorders>
              <w:top w:val="nil"/>
              <w:left w:val="nil"/>
              <w:bottom w:val="single" w:sz="8" w:space="0" w:color="auto"/>
              <w:right w:val="single" w:sz="4" w:space="0" w:color="auto"/>
            </w:tcBorders>
            <w:shd w:val="clear" w:color="000000" w:fill="BDD7EE"/>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01/2017 - 12/2017</w:t>
            </w:r>
          </w:p>
        </w:tc>
        <w:tc>
          <w:tcPr>
            <w:tcW w:w="1350" w:type="dxa"/>
            <w:tcBorders>
              <w:top w:val="nil"/>
              <w:left w:val="nil"/>
              <w:bottom w:val="single" w:sz="8" w:space="0" w:color="auto"/>
              <w:right w:val="single" w:sz="4" w:space="0" w:color="auto"/>
            </w:tcBorders>
            <w:shd w:val="clear" w:color="000000" w:fill="BDD7EE"/>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678</w:t>
            </w:r>
          </w:p>
        </w:tc>
        <w:tc>
          <w:tcPr>
            <w:tcW w:w="1471" w:type="dxa"/>
            <w:tcBorders>
              <w:top w:val="nil"/>
              <w:left w:val="nil"/>
              <w:bottom w:val="single" w:sz="8" w:space="0" w:color="auto"/>
              <w:right w:val="single" w:sz="4" w:space="0" w:color="auto"/>
            </w:tcBorders>
            <w:shd w:val="clear" w:color="000000" w:fill="BDD7EE"/>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0,0000</w:t>
            </w:r>
          </w:p>
        </w:tc>
        <w:tc>
          <w:tcPr>
            <w:tcW w:w="1417" w:type="dxa"/>
            <w:tcBorders>
              <w:top w:val="nil"/>
              <w:left w:val="nil"/>
              <w:bottom w:val="single" w:sz="8" w:space="0" w:color="auto"/>
              <w:right w:val="single" w:sz="4" w:space="0" w:color="auto"/>
            </w:tcBorders>
            <w:shd w:val="clear" w:color="000000" w:fill="BDD7EE"/>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w:t>
            </w:r>
          </w:p>
        </w:tc>
        <w:tc>
          <w:tcPr>
            <w:tcW w:w="1418" w:type="dxa"/>
            <w:tcBorders>
              <w:top w:val="nil"/>
              <w:left w:val="nil"/>
              <w:bottom w:val="single" w:sz="8" w:space="0" w:color="auto"/>
              <w:right w:val="single" w:sz="8" w:space="0" w:color="auto"/>
            </w:tcBorders>
            <w:shd w:val="clear" w:color="000000" w:fill="BDD7EE"/>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w:t>
            </w:r>
          </w:p>
        </w:tc>
      </w:tr>
      <w:tr w:rsidR="00E61035" w:rsidRPr="000F2079" w:rsidTr="00420BB3">
        <w:trPr>
          <w:trHeight w:val="278"/>
        </w:trPr>
        <w:tc>
          <w:tcPr>
            <w:tcW w:w="960" w:type="dxa"/>
            <w:vMerge/>
            <w:tcBorders>
              <w:top w:val="single" w:sz="8" w:space="0" w:color="auto"/>
              <w:left w:val="single" w:sz="4" w:space="0" w:color="auto"/>
              <w:bottom w:val="single" w:sz="8" w:space="0" w:color="000000"/>
              <w:right w:val="nil"/>
            </w:tcBorders>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960" w:type="dxa"/>
            <w:vMerge w:val="restart"/>
            <w:tcBorders>
              <w:top w:val="nil"/>
              <w:left w:val="single" w:sz="8" w:space="0" w:color="auto"/>
              <w:bottom w:val="single" w:sz="8" w:space="0" w:color="000000"/>
              <w:right w:val="single" w:sz="4" w:space="0" w:color="auto"/>
            </w:tcBorders>
            <w:shd w:val="clear" w:color="000000" w:fill="BDD7EE"/>
            <w:noWrap/>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2018</w:t>
            </w:r>
          </w:p>
        </w:tc>
        <w:tc>
          <w:tcPr>
            <w:tcW w:w="1780" w:type="dxa"/>
            <w:tcBorders>
              <w:top w:val="nil"/>
              <w:left w:val="nil"/>
              <w:bottom w:val="single" w:sz="4" w:space="0" w:color="auto"/>
              <w:right w:val="single" w:sz="4" w:space="0" w:color="auto"/>
            </w:tcBorders>
            <w:shd w:val="clear" w:color="000000" w:fill="BDD7EE"/>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01/2018 - 04/2018</w:t>
            </w:r>
          </w:p>
        </w:tc>
        <w:tc>
          <w:tcPr>
            <w:tcW w:w="1350" w:type="dxa"/>
            <w:vMerge w:val="restart"/>
            <w:tcBorders>
              <w:top w:val="nil"/>
              <w:left w:val="single" w:sz="4" w:space="0" w:color="auto"/>
              <w:bottom w:val="single" w:sz="8" w:space="0" w:color="000000"/>
              <w:right w:val="single" w:sz="4" w:space="0" w:color="auto"/>
            </w:tcBorders>
            <w:shd w:val="clear" w:color="000000" w:fill="BDD7EE"/>
            <w:noWrap/>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678</w:t>
            </w:r>
          </w:p>
        </w:tc>
        <w:tc>
          <w:tcPr>
            <w:tcW w:w="1471" w:type="dxa"/>
            <w:tcBorders>
              <w:top w:val="nil"/>
              <w:left w:val="nil"/>
              <w:bottom w:val="single" w:sz="4" w:space="0" w:color="auto"/>
              <w:right w:val="single" w:sz="4" w:space="0" w:color="auto"/>
            </w:tcBorders>
            <w:shd w:val="clear" w:color="000000" w:fill="BDD7EE"/>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0,0000</w:t>
            </w:r>
          </w:p>
        </w:tc>
        <w:tc>
          <w:tcPr>
            <w:tcW w:w="1417" w:type="dxa"/>
            <w:tcBorders>
              <w:top w:val="nil"/>
              <w:left w:val="nil"/>
              <w:bottom w:val="single" w:sz="4" w:space="0" w:color="auto"/>
              <w:right w:val="single" w:sz="4" w:space="0" w:color="auto"/>
            </w:tcBorders>
            <w:shd w:val="clear" w:color="000000" w:fill="BDD7EE"/>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w:t>
            </w:r>
          </w:p>
        </w:tc>
        <w:tc>
          <w:tcPr>
            <w:tcW w:w="1418" w:type="dxa"/>
            <w:vMerge w:val="restart"/>
            <w:tcBorders>
              <w:top w:val="nil"/>
              <w:left w:val="single" w:sz="4" w:space="0" w:color="auto"/>
              <w:bottom w:val="single" w:sz="8" w:space="0" w:color="000000"/>
              <w:right w:val="single" w:sz="8" w:space="0" w:color="auto"/>
            </w:tcBorders>
            <w:shd w:val="clear" w:color="000000" w:fill="BDD7EE"/>
            <w:noWrap/>
            <w:vAlign w:val="center"/>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7 481,38</w:t>
            </w:r>
          </w:p>
        </w:tc>
      </w:tr>
      <w:tr w:rsidR="00E61035" w:rsidRPr="000F2079" w:rsidTr="00420BB3">
        <w:trPr>
          <w:trHeight w:val="292"/>
        </w:trPr>
        <w:tc>
          <w:tcPr>
            <w:tcW w:w="960" w:type="dxa"/>
            <w:vMerge/>
            <w:tcBorders>
              <w:top w:val="single" w:sz="8" w:space="0" w:color="auto"/>
              <w:left w:val="single" w:sz="4" w:space="0" w:color="auto"/>
              <w:bottom w:val="single" w:sz="8" w:space="0" w:color="000000"/>
              <w:right w:val="nil"/>
            </w:tcBorders>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960" w:type="dxa"/>
            <w:vMerge/>
            <w:tcBorders>
              <w:top w:val="nil"/>
              <w:left w:val="single" w:sz="8" w:space="0" w:color="auto"/>
              <w:bottom w:val="single" w:sz="8" w:space="0" w:color="000000"/>
              <w:right w:val="single" w:sz="4" w:space="0" w:color="auto"/>
            </w:tcBorders>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1780" w:type="dxa"/>
            <w:tcBorders>
              <w:top w:val="nil"/>
              <w:left w:val="nil"/>
              <w:bottom w:val="single" w:sz="8" w:space="0" w:color="auto"/>
              <w:right w:val="single" w:sz="4" w:space="0" w:color="auto"/>
            </w:tcBorders>
            <w:shd w:val="clear" w:color="000000" w:fill="BDD7EE"/>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05/2018 - 12/2018</w:t>
            </w:r>
          </w:p>
        </w:tc>
        <w:tc>
          <w:tcPr>
            <w:tcW w:w="1350" w:type="dxa"/>
            <w:vMerge/>
            <w:tcBorders>
              <w:top w:val="nil"/>
              <w:left w:val="single" w:sz="4" w:space="0" w:color="auto"/>
              <w:bottom w:val="single" w:sz="8" w:space="0" w:color="000000"/>
              <w:right w:val="single" w:sz="4" w:space="0" w:color="auto"/>
            </w:tcBorders>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p>
        </w:tc>
        <w:tc>
          <w:tcPr>
            <w:tcW w:w="1471" w:type="dxa"/>
            <w:tcBorders>
              <w:top w:val="nil"/>
              <w:left w:val="nil"/>
              <w:bottom w:val="single" w:sz="8" w:space="0" w:color="auto"/>
              <w:right w:val="single" w:sz="4" w:space="0" w:color="auto"/>
            </w:tcBorders>
            <w:shd w:val="clear" w:color="000000" w:fill="BDD7EE"/>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1,3793</w:t>
            </w:r>
          </w:p>
        </w:tc>
        <w:tc>
          <w:tcPr>
            <w:tcW w:w="1417" w:type="dxa"/>
            <w:tcBorders>
              <w:top w:val="nil"/>
              <w:left w:val="nil"/>
              <w:bottom w:val="single" w:sz="8" w:space="0" w:color="auto"/>
              <w:right w:val="single" w:sz="4" w:space="0" w:color="auto"/>
            </w:tcBorders>
            <w:shd w:val="clear" w:color="000000" w:fill="BDD7EE"/>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7 481,38</w:t>
            </w:r>
          </w:p>
        </w:tc>
        <w:tc>
          <w:tcPr>
            <w:tcW w:w="1418" w:type="dxa"/>
            <w:vMerge/>
            <w:tcBorders>
              <w:top w:val="nil"/>
              <w:left w:val="single" w:sz="4" w:space="0" w:color="auto"/>
              <w:bottom w:val="single" w:sz="8" w:space="0" w:color="000000"/>
              <w:right w:val="single" w:sz="8" w:space="0" w:color="auto"/>
            </w:tcBorders>
            <w:vAlign w:val="center"/>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p>
        </w:tc>
      </w:tr>
      <w:tr w:rsidR="00E61035" w:rsidRPr="000F2079" w:rsidTr="00420BB3">
        <w:trPr>
          <w:trHeight w:val="278"/>
        </w:trPr>
        <w:tc>
          <w:tcPr>
            <w:tcW w:w="960" w:type="dxa"/>
            <w:vMerge/>
            <w:tcBorders>
              <w:top w:val="single" w:sz="8" w:space="0" w:color="auto"/>
              <w:left w:val="single" w:sz="4" w:space="0" w:color="auto"/>
              <w:bottom w:val="single" w:sz="8" w:space="0" w:color="000000"/>
              <w:right w:val="nil"/>
            </w:tcBorders>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960" w:type="dxa"/>
            <w:vMerge w:val="restart"/>
            <w:tcBorders>
              <w:top w:val="nil"/>
              <w:left w:val="single" w:sz="8" w:space="0" w:color="auto"/>
              <w:bottom w:val="single" w:sz="8" w:space="0" w:color="000000"/>
              <w:right w:val="single" w:sz="4" w:space="0" w:color="auto"/>
            </w:tcBorders>
            <w:shd w:val="clear" w:color="000000" w:fill="BDD7EE"/>
            <w:noWrap/>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2019</w:t>
            </w:r>
          </w:p>
        </w:tc>
        <w:tc>
          <w:tcPr>
            <w:tcW w:w="1780" w:type="dxa"/>
            <w:tcBorders>
              <w:top w:val="nil"/>
              <w:left w:val="nil"/>
              <w:bottom w:val="nil"/>
              <w:right w:val="single" w:sz="4" w:space="0" w:color="auto"/>
            </w:tcBorders>
            <w:shd w:val="clear" w:color="000000" w:fill="BDD7EE"/>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01/2019 - 04/2019</w:t>
            </w:r>
          </w:p>
        </w:tc>
        <w:tc>
          <w:tcPr>
            <w:tcW w:w="1350" w:type="dxa"/>
            <w:vMerge w:val="restart"/>
            <w:tcBorders>
              <w:top w:val="nil"/>
              <w:left w:val="single" w:sz="4" w:space="0" w:color="auto"/>
              <w:bottom w:val="single" w:sz="8" w:space="0" w:color="000000"/>
              <w:right w:val="single" w:sz="4" w:space="0" w:color="auto"/>
            </w:tcBorders>
            <w:shd w:val="clear" w:color="000000" w:fill="BDD7EE"/>
            <w:noWrap/>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678</w:t>
            </w:r>
          </w:p>
        </w:tc>
        <w:tc>
          <w:tcPr>
            <w:tcW w:w="1471" w:type="dxa"/>
            <w:tcBorders>
              <w:top w:val="nil"/>
              <w:left w:val="nil"/>
              <w:bottom w:val="single" w:sz="4" w:space="0" w:color="auto"/>
              <w:right w:val="single" w:sz="4" w:space="0" w:color="auto"/>
            </w:tcBorders>
            <w:shd w:val="clear" w:color="000000" w:fill="BDD7EE"/>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1,4943</w:t>
            </w:r>
          </w:p>
        </w:tc>
        <w:tc>
          <w:tcPr>
            <w:tcW w:w="1417" w:type="dxa"/>
            <w:tcBorders>
              <w:top w:val="nil"/>
              <w:left w:val="nil"/>
              <w:bottom w:val="single" w:sz="4" w:space="0" w:color="auto"/>
              <w:right w:val="single" w:sz="4" w:space="0" w:color="auto"/>
            </w:tcBorders>
            <w:shd w:val="clear" w:color="000000" w:fill="BDD7EE"/>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4 052,41</w:t>
            </w:r>
          </w:p>
        </w:tc>
        <w:tc>
          <w:tcPr>
            <w:tcW w:w="1418" w:type="dxa"/>
            <w:vMerge w:val="restart"/>
            <w:tcBorders>
              <w:top w:val="nil"/>
              <w:left w:val="single" w:sz="4" w:space="0" w:color="auto"/>
              <w:bottom w:val="single" w:sz="8" w:space="0" w:color="000000"/>
              <w:right w:val="single" w:sz="8" w:space="0" w:color="auto"/>
            </w:tcBorders>
            <w:shd w:val="clear" w:color="000000" w:fill="BDD7EE"/>
            <w:noWrap/>
            <w:vAlign w:val="center"/>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20 262,07</w:t>
            </w:r>
          </w:p>
        </w:tc>
      </w:tr>
      <w:tr w:rsidR="00E61035" w:rsidRPr="000F2079" w:rsidTr="00420BB3">
        <w:trPr>
          <w:trHeight w:val="292"/>
        </w:trPr>
        <w:tc>
          <w:tcPr>
            <w:tcW w:w="960" w:type="dxa"/>
            <w:vMerge/>
            <w:tcBorders>
              <w:top w:val="single" w:sz="8" w:space="0" w:color="auto"/>
              <w:left w:val="single" w:sz="4" w:space="0" w:color="auto"/>
              <w:bottom w:val="single" w:sz="8" w:space="0" w:color="000000"/>
              <w:right w:val="nil"/>
            </w:tcBorders>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960" w:type="dxa"/>
            <w:vMerge/>
            <w:tcBorders>
              <w:top w:val="nil"/>
              <w:left w:val="single" w:sz="8" w:space="0" w:color="auto"/>
              <w:bottom w:val="single" w:sz="8" w:space="0" w:color="000000"/>
              <w:right w:val="single" w:sz="4" w:space="0" w:color="auto"/>
            </w:tcBorders>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1780" w:type="dxa"/>
            <w:tcBorders>
              <w:top w:val="single" w:sz="4" w:space="0" w:color="auto"/>
              <w:left w:val="nil"/>
              <w:bottom w:val="single" w:sz="8" w:space="0" w:color="auto"/>
              <w:right w:val="single" w:sz="4" w:space="0" w:color="auto"/>
            </w:tcBorders>
            <w:shd w:val="clear" w:color="000000" w:fill="BDD7EE"/>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05/2019 - 12/2019</w:t>
            </w:r>
          </w:p>
        </w:tc>
        <w:tc>
          <w:tcPr>
            <w:tcW w:w="1350" w:type="dxa"/>
            <w:vMerge/>
            <w:tcBorders>
              <w:top w:val="nil"/>
              <w:left w:val="single" w:sz="4" w:space="0" w:color="auto"/>
              <w:bottom w:val="single" w:sz="8" w:space="0" w:color="000000"/>
              <w:right w:val="single" w:sz="4" w:space="0" w:color="auto"/>
            </w:tcBorders>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p>
        </w:tc>
        <w:tc>
          <w:tcPr>
            <w:tcW w:w="1471" w:type="dxa"/>
            <w:tcBorders>
              <w:top w:val="nil"/>
              <w:left w:val="nil"/>
              <w:bottom w:val="single" w:sz="8" w:space="0" w:color="auto"/>
              <w:right w:val="single" w:sz="4" w:space="0" w:color="auto"/>
            </w:tcBorders>
            <w:shd w:val="clear" w:color="000000" w:fill="BDD7EE"/>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2,9885</w:t>
            </w:r>
          </w:p>
        </w:tc>
        <w:tc>
          <w:tcPr>
            <w:tcW w:w="1417" w:type="dxa"/>
            <w:tcBorders>
              <w:top w:val="nil"/>
              <w:left w:val="nil"/>
              <w:bottom w:val="single" w:sz="8" w:space="0" w:color="auto"/>
              <w:right w:val="single" w:sz="4" w:space="0" w:color="auto"/>
            </w:tcBorders>
            <w:shd w:val="clear" w:color="000000" w:fill="BDD7EE"/>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16 209,66</w:t>
            </w:r>
          </w:p>
        </w:tc>
        <w:tc>
          <w:tcPr>
            <w:tcW w:w="1418" w:type="dxa"/>
            <w:vMerge/>
            <w:tcBorders>
              <w:top w:val="nil"/>
              <w:left w:val="single" w:sz="4" w:space="0" w:color="auto"/>
              <w:bottom w:val="single" w:sz="8" w:space="0" w:color="000000"/>
              <w:right w:val="single" w:sz="8" w:space="0" w:color="auto"/>
            </w:tcBorders>
            <w:vAlign w:val="center"/>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p>
        </w:tc>
      </w:tr>
      <w:tr w:rsidR="00E61035" w:rsidRPr="000F2079" w:rsidTr="00420BB3">
        <w:trPr>
          <w:trHeight w:val="292"/>
        </w:trPr>
        <w:tc>
          <w:tcPr>
            <w:tcW w:w="960" w:type="dxa"/>
            <w:tcBorders>
              <w:top w:val="nil"/>
              <w:left w:val="single" w:sz="4" w:space="0" w:color="auto"/>
              <w:bottom w:val="nil"/>
              <w:right w:val="nil"/>
            </w:tcBorders>
            <w:shd w:val="clear" w:color="000000" w:fill="757171"/>
            <w:noWrap/>
            <w:textDirection w:val="btLr"/>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960" w:type="dxa"/>
            <w:tcBorders>
              <w:top w:val="nil"/>
              <w:left w:val="single" w:sz="8" w:space="0" w:color="auto"/>
              <w:bottom w:val="single" w:sz="8" w:space="0" w:color="auto"/>
              <w:right w:val="single" w:sz="4" w:space="0" w:color="auto"/>
            </w:tcBorders>
            <w:shd w:val="clear" w:color="000000" w:fill="757171"/>
            <w:noWrap/>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1780" w:type="dxa"/>
            <w:tcBorders>
              <w:top w:val="nil"/>
              <w:left w:val="nil"/>
              <w:bottom w:val="single" w:sz="8" w:space="0" w:color="auto"/>
              <w:right w:val="single" w:sz="4" w:space="0" w:color="auto"/>
            </w:tcBorders>
            <w:shd w:val="clear" w:color="000000" w:fill="757171"/>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p>
        </w:tc>
        <w:tc>
          <w:tcPr>
            <w:tcW w:w="1350" w:type="dxa"/>
            <w:tcBorders>
              <w:top w:val="nil"/>
              <w:left w:val="nil"/>
              <w:bottom w:val="single" w:sz="8" w:space="0" w:color="auto"/>
              <w:right w:val="single" w:sz="4" w:space="0" w:color="auto"/>
            </w:tcBorders>
            <w:shd w:val="clear" w:color="000000" w:fill="757171"/>
            <w:noWrap/>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p>
        </w:tc>
        <w:tc>
          <w:tcPr>
            <w:tcW w:w="1471" w:type="dxa"/>
            <w:tcBorders>
              <w:top w:val="nil"/>
              <w:left w:val="nil"/>
              <w:bottom w:val="single" w:sz="8" w:space="0" w:color="auto"/>
              <w:right w:val="single" w:sz="4" w:space="0" w:color="auto"/>
            </w:tcBorders>
            <w:shd w:val="clear" w:color="000000" w:fill="757171"/>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p>
        </w:tc>
        <w:tc>
          <w:tcPr>
            <w:tcW w:w="1417" w:type="dxa"/>
            <w:tcBorders>
              <w:top w:val="nil"/>
              <w:left w:val="nil"/>
              <w:bottom w:val="single" w:sz="8" w:space="0" w:color="auto"/>
              <w:right w:val="single" w:sz="4" w:space="0" w:color="auto"/>
            </w:tcBorders>
            <w:shd w:val="clear" w:color="000000" w:fill="757171"/>
            <w:noWrap/>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p>
        </w:tc>
        <w:tc>
          <w:tcPr>
            <w:tcW w:w="1418" w:type="dxa"/>
            <w:tcBorders>
              <w:top w:val="nil"/>
              <w:left w:val="nil"/>
              <w:bottom w:val="single" w:sz="8" w:space="0" w:color="auto"/>
              <w:right w:val="single" w:sz="8" w:space="0" w:color="auto"/>
            </w:tcBorders>
            <w:shd w:val="clear" w:color="000000" w:fill="757171"/>
            <w:noWrap/>
            <w:vAlign w:val="center"/>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p>
        </w:tc>
      </w:tr>
      <w:tr w:rsidR="00E61035" w:rsidRPr="000F2079" w:rsidTr="00420BB3">
        <w:trPr>
          <w:trHeight w:val="292"/>
        </w:trPr>
        <w:tc>
          <w:tcPr>
            <w:tcW w:w="960" w:type="dxa"/>
            <w:vMerge w:val="restart"/>
            <w:tcBorders>
              <w:top w:val="single" w:sz="8" w:space="0" w:color="auto"/>
              <w:left w:val="single" w:sz="4" w:space="0" w:color="auto"/>
              <w:bottom w:val="single" w:sz="8" w:space="0" w:color="000000"/>
              <w:right w:val="nil"/>
            </w:tcBorders>
            <w:shd w:val="clear" w:color="auto" w:fill="DEEAF6"/>
            <w:noWrap/>
            <w:textDirection w:val="btLr"/>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nočné</w:t>
            </w:r>
          </w:p>
        </w:tc>
        <w:tc>
          <w:tcPr>
            <w:tcW w:w="960" w:type="dxa"/>
            <w:tcBorders>
              <w:top w:val="nil"/>
              <w:left w:val="single" w:sz="8" w:space="0" w:color="auto"/>
              <w:bottom w:val="single" w:sz="8" w:space="0" w:color="auto"/>
              <w:right w:val="single" w:sz="4" w:space="0" w:color="auto"/>
            </w:tcBorders>
            <w:shd w:val="clear" w:color="auto" w:fill="DEEAF6"/>
            <w:noWrap/>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2017</w:t>
            </w:r>
          </w:p>
        </w:tc>
        <w:tc>
          <w:tcPr>
            <w:tcW w:w="1780" w:type="dxa"/>
            <w:tcBorders>
              <w:top w:val="nil"/>
              <w:left w:val="nil"/>
              <w:bottom w:val="single" w:sz="8" w:space="0" w:color="auto"/>
              <w:right w:val="single" w:sz="4" w:space="0" w:color="auto"/>
            </w:tcBorders>
            <w:shd w:val="clear" w:color="auto" w:fill="DEEAF6"/>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01/2017 - 12/2017</w:t>
            </w:r>
          </w:p>
        </w:tc>
        <w:tc>
          <w:tcPr>
            <w:tcW w:w="1350" w:type="dxa"/>
            <w:tcBorders>
              <w:top w:val="nil"/>
              <w:left w:val="nil"/>
              <w:bottom w:val="single" w:sz="8" w:space="0" w:color="auto"/>
              <w:right w:val="single" w:sz="4" w:space="0" w:color="auto"/>
            </w:tcBorders>
            <w:shd w:val="clear" w:color="auto" w:fill="DEEAF6"/>
            <w:noWrap/>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350</w:t>
            </w:r>
          </w:p>
        </w:tc>
        <w:tc>
          <w:tcPr>
            <w:tcW w:w="1471" w:type="dxa"/>
            <w:tcBorders>
              <w:top w:val="nil"/>
              <w:left w:val="nil"/>
              <w:bottom w:val="single" w:sz="8" w:space="0" w:color="auto"/>
              <w:right w:val="single" w:sz="4" w:space="0" w:color="auto"/>
            </w:tcBorders>
            <w:shd w:val="clear" w:color="auto" w:fill="DEEAF6"/>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0,5000</w:t>
            </w:r>
          </w:p>
        </w:tc>
        <w:tc>
          <w:tcPr>
            <w:tcW w:w="1417" w:type="dxa"/>
            <w:tcBorders>
              <w:top w:val="nil"/>
              <w:left w:val="nil"/>
              <w:bottom w:val="single" w:sz="8" w:space="0" w:color="auto"/>
              <w:right w:val="single" w:sz="4" w:space="0" w:color="auto"/>
            </w:tcBorders>
            <w:shd w:val="clear" w:color="auto" w:fill="DEEAF6"/>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2 100,00</w:t>
            </w:r>
          </w:p>
        </w:tc>
        <w:tc>
          <w:tcPr>
            <w:tcW w:w="1418" w:type="dxa"/>
            <w:tcBorders>
              <w:top w:val="nil"/>
              <w:left w:val="nil"/>
              <w:bottom w:val="single" w:sz="8" w:space="0" w:color="auto"/>
              <w:right w:val="single" w:sz="4" w:space="0" w:color="auto"/>
            </w:tcBorders>
            <w:shd w:val="clear" w:color="auto" w:fill="DEEAF6"/>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2 100,00</w:t>
            </w:r>
          </w:p>
        </w:tc>
      </w:tr>
      <w:tr w:rsidR="00E61035" w:rsidRPr="000F2079" w:rsidTr="00420BB3">
        <w:trPr>
          <w:trHeight w:val="278"/>
        </w:trPr>
        <w:tc>
          <w:tcPr>
            <w:tcW w:w="960" w:type="dxa"/>
            <w:vMerge/>
            <w:tcBorders>
              <w:top w:val="single" w:sz="8" w:space="0" w:color="auto"/>
              <w:left w:val="single" w:sz="4" w:space="0" w:color="auto"/>
              <w:bottom w:val="single" w:sz="8" w:space="0" w:color="000000"/>
              <w:right w:val="nil"/>
            </w:tcBorders>
            <w:shd w:val="clear" w:color="auto" w:fill="DEEAF6"/>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960" w:type="dxa"/>
            <w:vMerge w:val="restart"/>
            <w:tcBorders>
              <w:top w:val="nil"/>
              <w:left w:val="single" w:sz="8" w:space="0" w:color="auto"/>
              <w:bottom w:val="single" w:sz="8" w:space="0" w:color="000000"/>
              <w:right w:val="single" w:sz="4" w:space="0" w:color="auto"/>
            </w:tcBorders>
            <w:shd w:val="clear" w:color="auto" w:fill="DEEAF6"/>
            <w:noWrap/>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2018</w:t>
            </w:r>
          </w:p>
        </w:tc>
        <w:tc>
          <w:tcPr>
            <w:tcW w:w="1780" w:type="dxa"/>
            <w:tcBorders>
              <w:top w:val="nil"/>
              <w:left w:val="nil"/>
              <w:bottom w:val="single" w:sz="4" w:space="0" w:color="auto"/>
              <w:right w:val="single" w:sz="4" w:space="0" w:color="auto"/>
            </w:tcBorders>
            <w:shd w:val="clear" w:color="auto" w:fill="DEEAF6"/>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01/2018 - 04/2018</w:t>
            </w:r>
          </w:p>
        </w:tc>
        <w:tc>
          <w:tcPr>
            <w:tcW w:w="1350" w:type="dxa"/>
            <w:vMerge w:val="restart"/>
            <w:tcBorders>
              <w:top w:val="nil"/>
              <w:left w:val="single" w:sz="4" w:space="0" w:color="auto"/>
              <w:bottom w:val="single" w:sz="8" w:space="0" w:color="000000"/>
              <w:right w:val="single" w:sz="4" w:space="0" w:color="auto"/>
            </w:tcBorders>
            <w:shd w:val="clear" w:color="auto" w:fill="DEEAF6"/>
            <w:noWrap/>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350</w:t>
            </w:r>
          </w:p>
        </w:tc>
        <w:tc>
          <w:tcPr>
            <w:tcW w:w="1471" w:type="dxa"/>
            <w:tcBorders>
              <w:top w:val="nil"/>
              <w:left w:val="nil"/>
              <w:bottom w:val="single" w:sz="4" w:space="0" w:color="auto"/>
              <w:right w:val="single" w:sz="4" w:space="0" w:color="auto"/>
            </w:tcBorders>
            <w:shd w:val="clear" w:color="auto" w:fill="DEEAF6"/>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0,5517</w:t>
            </w:r>
          </w:p>
        </w:tc>
        <w:tc>
          <w:tcPr>
            <w:tcW w:w="1417" w:type="dxa"/>
            <w:tcBorders>
              <w:top w:val="nil"/>
              <w:left w:val="nil"/>
              <w:bottom w:val="single" w:sz="4" w:space="0" w:color="auto"/>
              <w:right w:val="single" w:sz="4" w:space="0" w:color="auto"/>
            </w:tcBorders>
            <w:shd w:val="clear" w:color="auto" w:fill="DEEAF6"/>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772,41</w:t>
            </w:r>
          </w:p>
        </w:tc>
        <w:tc>
          <w:tcPr>
            <w:tcW w:w="1418" w:type="dxa"/>
            <w:vMerge w:val="restart"/>
            <w:tcBorders>
              <w:top w:val="nil"/>
              <w:left w:val="single" w:sz="4" w:space="0" w:color="auto"/>
              <w:bottom w:val="single" w:sz="8" w:space="0" w:color="000000"/>
              <w:right w:val="single" w:sz="8" w:space="0" w:color="auto"/>
            </w:tcBorders>
            <w:shd w:val="clear" w:color="auto" w:fill="DEEAF6"/>
            <w:noWrap/>
            <w:vAlign w:val="center"/>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3 089,66</w:t>
            </w:r>
          </w:p>
        </w:tc>
      </w:tr>
      <w:tr w:rsidR="00E61035" w:rsidRPr="000F2079" w:rsidTr="00420BB3">
        <w:trPr>
          <w:trHeight w:val="292"/>
        </w:trPr>
        <w:tc>
          <w:tcPr>
            <w:tcW w:w="960" w:type="dxa"/>
            <w:vMerge/>
            <w:tcBorders>
              <w:top w:val="single" w:sz="8" w:space="0" w:color="auto"/>
              <w:left w:val="single" w:sz="4" w:space="0" w:color="auto"/>
              <w:bottom w:val="single" w:sz="8" w:space="0" w:color="000000"/>
              <w:right w:val="nil"/>
            </w:tcBorders>
            <w:shd w:val="clear" w:color="auto" w:fill="DEEAF6"/>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960" w:type="dxa"/>
            <w:vMerge/>
            <w:tcBorders>
              <w:top w:val="nil"/>
              <w:left w:val="single" w:sz="8" w:space="0" w:color="auto"/>
              <w:bottom w:val="single" w:sz="8" w:space="0" w:color="000000"/>
              <w:right w:val="single" w:sz="4" w:space="0" w:color="auto"/>
            </w:tcBorders>
            <w:shd w:val="clear" w:color="auto" w:fill="DEEAF6"/>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1780" w:type="dxa"/>
            <w:tcBorders>
              <w:top w:val="nil"/>
              <w:left w:val="nil"/>
              <w:bottom w:val="single" w:sz="8" w:space="0" w:color="auto"/>
              <w:right w:val="single" w:sz="4" w:space="0" w:color="auto"/>
            </w:tcBorders>
            <w:shd w:val="clear" w:color="auto" w:fill="DEEAF6"/>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05/2018 - 12/2018</w:t>
            </w:r>
          </w:p>
        </w:tc>
        <w:tc>
          <w:tcPr>
            <w:tcW w:w="1350" w:type="dxa"/>
            <w:vMerge/>
            <w:tcBorders>
              <w:top w:val="nil"/>
              <w:left w:val="single" w:sz="4" w:space="0" w:color="auto"/>
              <w:bottom w:val="single" w:sz="8" w:space="0" w:color="000000"/>
              <w:right w:val="single" w:sz="4" w:space="0" w:color="auto"/>
            </w:tcBorders>
            <w:shd w:val="clear" w:color="auto" w:fill="DEEAF6"/>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p>
        </w:tc>
        <w:tc>
          <w:tcPr>
            <w:tcW w:w="1471" w:type="dxa"/>
            <w:tcBorders>
              <w:top w:val="nil"/>
              <w:left w:val="nil"/>
              <w:bottom w:val="single" w:sz="8" w:space="0" w:color="auto"/>
              <w:right w:val="single" w:sz="4" w:space="0" w:color="auto"/>
            </w:tcBorders>
            <w:shd w:val="clear" w:color="auto" w:fill="DEEAF6"/>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0,8276</w:t>
            </w:r>
          </w:p>
        </w:tc>
        <w:tc>
          <w:tcPr>
            <w:tcW w:w="1417" w:type="dxa"/>
            <w:tcBorders>
              <w:top w:val="nil"/>
              <w:left w:val="nil"/>
              <w:bottom w:val="single" w:sz="8" w:space="0" w:color="auto"/>
              <w:right w:val="single" w:sz="4" w:space="0" w:color="auto"/>
            </w:tcBorders>
            <w:shd w:val="clear" w:color="auto" w:fill="DEEAF6"/>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2 317,24</w:t>
            </w:r>
          </w:p>
        </w:tc>
        <w:tc>
          <w:tcPr>
            <w:tcW w:w="1418" w:type="dxa"/>
            <w:vMerge/>
            <w:tcBorders>
              <w:top w:val="nil"/>
              <w:left w:val="single" w:sz="4" w:space="0" w:color="auto"/>
              <w:bottom w:val="single" w:sz="8" w:space="0" w:color="000000"/>
              <w:right w:val="single" w:sz="8" w:space="0" w:color="auto"/>
            </w:tcBorders>
            <w:shd w:val="clear" w:color="auto" w:fill="DEEAF6"/>
            <w:vAlign w:val="center"/>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p>
        </w:tc>
      </w:tr>
      <w:tr w:rsidR="00E61035" w:rsidRPr="000F2079" w:rsidTr="00420BB3">
        <w:trPr>
          <w:trHeight w:val="278"/>
        </w:trPr>
        <w:tc>
          <w:tcPr>
            <w:tcW w:w="960" w:type="dxa"/>
            <w:vMerge/>
            <w:tcBorders>
              <w:top w:val="single" w:sz="8" w:space="0" w:color="auto"/>
              <w:left w:val="single" w:sz="4" w:space="0" w:color="auto"/>
              <w:bottom w:val="single" w:sz="8" w:space="0" w:color="000000"/>
              <w:right w:val="nil"/>
            </w:tcBorders>
            <w:shd w:val="clear" w:color="auto" w:fill="DEEAF6"/>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960" w:type="dxa"/>
            <w:vMerge w:val="restart"/>
            <w:tcBorders>
              <w:top w:val="nil"/>
              <w:left w:val="single" w:sz="8" w:space="0" w:color="auto"/>
              <w:bottom w:val="single" w:sz="8" w:space="0" w:color="000000"/>
              <w:right w:val="single" w:sz="4" w:space="0" w:color="auto"/>
            </w:tcBorders>
            <w:shd w:val="clear" w:color="auto" w:fill="DEEAF6"/>
            <w:noWrap/>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2019</w:t>
            </w:r>
          </w:p>
        </w:tc>
        <w:tc>
          <w:tcPr>
            <w:tcW w:w="1780" w:type="dxa"/>
            <w:tcBorders>
              <w:top w:val="nil"/>
              <w:left w:val="nil"/>
              <w:bottom w:val="nil"/>
              <w:right w:val="single" w:sz="4" w:space="0" w:color="auto"/>
            </w:tcBorders>
            <w:shd w:val="clear" w:color="auto" w:fill="DEEAF6"/>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01/2019 - 04/2019</w:t>
            </w:r>
          </w:p>
        </w:tc>
        <w:tc>
          <w:tcPr>
            <w:tcW w:w="1350" w:type="dxa"/>
            <w:vMerge w:val="restart"/>
            <w:tcBorders>
              <w:top w:val="nil"/>
              <w:left w:val="single" w:sz="4" w:space="0" w:color="auto"/>
              <w:bottom w:val="single" w:sz="8" w:space="0" w:color="000000"/>
              <w:right w:val="single" w:sz="4" w:space="0" w:color="auto"/>
            </w:tcBorders>
            <w:shd w:val="clear" w:color="auto" w:fill="DEEAF6"/>
            <w:noWrap/>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350</w:t>
            </w:r>
          </w:p>
        </w:tc>
        <w:tc>
          <w:tcPr>
            <w:tcW w:w="1471" w:type="dxa"/>
            <w:tcBorders>
              <w:top w:val="nil"/>
              <w:left w:val="nil"/>
              <w:bottom w:val="nil"/>
              <w:right w:val="single" w:sz="4" w:space="0" w:color="auto"/>
            </w:tcBorders>
            <w:shd w:val="clear" w:color="auto" w:fill="DEEAF6"/>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0,8966</w:t>
            </w:r>
          </w:p>
        </w:tc>
        <w:tc>
          <w:tcPr>
            <w:tcW w:w="1417" w:type="dxa"/>
            <w:tcBorders>
              <w:top w:val="nil"/>
              <w:left w:val="nil"/>
              <w:bottom w:val="nil"/>
              <w:right w:val="single" w:sz="4" w:space="0" w:color="auto"/>
            </w:tcBorders>
            <w:shd w:val="clear" w:color="auto" w:fill="DEEAF6"/>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1 255,17</w:t>
            </w:r>
          </w:p>
        </w:tc>
        <w:tc>
          <w:tcPr>
            <w:tcW w:w="1418" w:type="dxa"/>
            <w:vMerge w:val="restart"/>
            <w:tcBorders>
              <w:top w:val="nil"/>
              <w:left w:val="single" w:sz="4" w:space="0" w:color="auto"/>
              <w:bottom w:val="single" w:sz="8" w:space="0" w:color="000000"/>
              <w:right w:val="single" w:sz="8" w:space="0" w:color="auto"/>
            </w:tcBorders>
            <w:shd w:val="clear" w:color="auto" w:fill="DEEAF6"/>
            <w:noWrap/>
            <w:vAlign w:val="center"/>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4 602,30</w:t>
            </w:r>
          </w:p>
        </w:tc>
      </w:tr>
      <w:tr w:rsidR="00E61035" w:rsidRPr="000F2079" w:rsidTr="00420BB3">
        <w:trPr>
          <w:trHeight w:val="292"/>
        </w:trPr>
        <w:tc>
          <w:tcPr>
            <w:tcW w:w="960" w:type="dxa"/>
            <w:vMerge/>
            <w:tcBorders>
              <w:top w:val="single" w:sz="8" w:space="0" w:color="auto"/>
              <w:left w:val="single" w:sz="4" w:space="0" w:color="auto"/>
              <w:bottom w:val="single" w:sz="8" w:space="0" w:color="000000"/>
              <w:right w:val="nil"/>
            </w:tcBorders>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960" w:type="dxa"/>
            <w:vMerge/>
            <w:tcBorders>
              <w:top w:val="nil"/>
              <w:left w:val="single" w:sz="8" w:space="0" w:color="auto"/>
              <w:bottom w:val="single" w:sz="8" w:space="0" w:color="000000"/>
              <w:right w:val="single" w:sz="4" w:space="0" w:color="auto"/>
            </w:tcBorders>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1780" w:type="dxa"/>
            <w:tcBorders>
              <w:top w:val="single" w:sz="4" w:space="0" w:color="auto"/>
              <w:left w:val="nil"/>
              <w:bottom w:val="single" w:sz="8" w:space="0" w:color="auto"/>
              <w:right w:val="single" w:sz="4" w:space="0" w:color="auto"/>
            </w:tcBorders>
            <w:shd w:val="clear" w:color="auto" w:fill="DEEAF6"/>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05/2019 - 12/2019</w:t>
            </w:r>
          </w:p>
        </w:tc>
        <w:tc>
          <w:tcPr>
            <w:tcW w:w="1350" w:type="dxa"/>
            <w:vMerge/>
            <w:tcBorders>
              <w:top w:val="nil"/>
              <w:left w:val="single" w:sz="4" w:space="0" w:color="auto"/>
              <w:bottom w:val="single" w:sz="8" w:space="0" w:color="000000"/>
              <w:right w:val="single" w:sz="4" w:space="0" w:color="auto"/>
            </w:tcBorders>
            <w:shd w:val="clear" w:color="auto" w:fill="DEEAF6"/>
            <w:vAlign w:val="center"/>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p>
        </w:tc>
        <w:tc>
          <w:tcPr>
            <w:tcW w:w="1471" w:type="dxa"/>
            <w:tcBorders>
              <w:top w:val="single" w:sz="4" w:space="0" w:color="auto"/>
              <w:left w:val="nil"/>
              <w:bottom w:val="single" w:sz="8" w:space="0" w:color="auto"/>
              <w:right w:val="single" w:sz="4" w:space="0" w:color="auto"/>
            </w:tcBorders>
            <w:shd w:val="clear" w:color="auto" w:fill="DEEAF6"/>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1,1954</w:t>
            </w:r>
          </w:p>
        </w:tc>
        <w:tc>
          <w:tcPr>
            <w:tcW w:w="1417" w:type="dxa"/>
            <w:tcBorders>
              <w:top w:val="single" w:sz="4" w:space="0" w:color="auto"/>
              <w:left w:val="nil"/>
              <w:bottom w:val="single" w:sz="8" w:space="0" w:color="auto"/>
              <w:right w:val="single" w:sz="4" w:space="0" w:color="auto"/>
            </w:tcBorders>
            <w:shd w:val="clear" w:color="auto" w:fill="DEEAF6"/>
            <w:noWrap/>
            <w:vAlign w:val="bottom"/>
            <w:hideMark/>
          </w:tcPr>
          <w:p w:rsidR="00E61035" w:rsidRPr="000F2079" w:rsidRDefault="00E61035" w:rsidP="00E61035">
            <w:pPr>
              <w:widowControl/>
              <w:adjustRightInd/>
              <w:spacing w:after="0" w:line="240" w:lineRule="auto"/>
              <w:jc w:val="center"/>
              <w:rPr>
                <w:rFonts w:ascii="Arial" w:hAnsi="Arial" w:cs="Arial"/>
                <w:sz w:val="20"/>
                <w:szCs w:val="20"/>
                <w:lang w:eastAsia="sk-SK"/>
              </w:rPr>
            </w:pPr>
            <w:r w:rsidRPr="000F2079">
              <w:rPr>
                <w:rFonts w:ascii="Arial" w:hAnsi="Arial" w:cs="Arial"/>
                <w:sz w:val="20"/>
                <w:szCs w:val="20"/>
                <w:lang w:eastAsia="sk-SK"/>
              </w:rPr>
              <w:t>3 347,13</w:t>
            </w:r>
          </w:p>
        </w:tc>
        <w:tc>
          <w:tcPr>
            <w:tcW w:w="1418" w:type="dxa"/>
            <w:vMerge/>
            <w:tcBorders>
              <w:top w:val="nil"/>
              <w:left w:val="single" w:sz="4" w:space="0" w:color="auto"/>
              <w:bottom w:val="single" w:sz="8" w:space="0" w:color="000000"/>
              <w:right w:val="single" w:sz="8" w:space="0" w:color="auto"/>
            </w:tcBorders>
            <w:vAlign w:val="center"/>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p>
        </w:tc>
      </w:tr>
    </w:tbl>
    <w:p w:rsidR="00E61035" w:rsidRPr="000F2079" w:rsidRDefault="00E61035" w:rsidP="00E61035">
      <w:pPr>
        <w:ind w:firstLine="360"/>
        <w:jc w:val="center"/>
        <w:rPr>
          <w:rFonts w:ascii="Arial" w:hAnsi="Arial" w:cs="Arial"/>
          <w:sz w:val="20"/>
          <w:szCs w:val="20"/>
        </w:rPr>
      </w:pPr>
      <w:r w:rsidRPr="000F2079">
        <w:rPr>
          <w:rFonts w:ascii="Arial" w:hAnsi="Arial" w:cs="Arial"/>
          <w:sz w:val="20"/>
          <w:szCs w:val="20"/>
          <w:highlight w:val="cyan"/>
        </w:rPr>
        <w:fldChar w:fldCharType="end"/>
      </w:r>
      <w:r w:rsidR="00DB4E78" w:rsidRPr="000F2079">
        <w:rPr>
          <w:rFonts w:ascii="Arial" w:hAnsi="Arial" w:cs="Arial"/>
          <w:sz w:val="20"/>
          <w:szCs w:val="20"/>
        </w:rPr>
        <w:t>Tabuľka č. 6</w:t>
      </w:r>
      <w:r w:rsidRPr="000F2079">
        <w:rPr>
          <w:rFonts w:ascii="Arial" w:hAnsi="Arial" w:cs="Arial"/>
          <w:sz w:val="20"/>
          <w:szCs w:val="20"/>
        </w:rPr>
        <w:t>: Odpracované hodiny počas víkendov a sviatkov</w:t>
      </w:r>
      <w:r w:rsidRPr="000F2079">
        <w:rPr>
          <w:rFonts w:ascii="Arial" w:hAnsi="Arial" w:cs="Arial"/>
          <w:sz w:val="20"/>
          <w:szCs w:val="20"/>
          <w:highlight w:val="cyan"/>
        </w:rPr>
        <w:fldChar w:fldCharType="begin"/>
      </w:r>
      <w:r w:rsidRPr="000F2079">
        <w:rPr>
          <w:rFonts w:ascii="Arial" w:hAnsi="Arial" w:cs="Arial"/>
          <w:sz w:val="20"/>
          <w:szCs w:val="20"/>
          <w:highlight w:val="cyan"/>
        </w:rPr>
        <w:instrText xml:space="preserve"> LINK </w:instrText>
      </w:r>
      <w:r w:rsidR="00E468C1">
        <w:rPr>
          <w:rFonts w:ascii="Arial" w:hAnsi="Arial" w:cs="Arial"/>
          <w:sz w:val="20"/>
          <w:szCs w:val="20"/>
          <w:highlight w:val="cyan"/>
        </w:rPr>
        <w:instrText xml:space="preserve">Excel.Sheet.12 "C:\\Users\\kucera\\Desktop\\aSOCIALNY BALICEK\\MSP soc balíček výpočty_boris_final.xlsx" "Matej (3)!R33C1:R36C7" </w:instrText>
      </w:r>
      <w:r w:rsidRPr="000F2079">
        <w:rPr>
          <w:rFonts w:ascii="Arial" w:hAnsi="Arial" w:cs="Arial"/>
          <w:sz w:val="20"/>
          <w:szCs w:val="20"/>
          <w:highlight w:val="cyan"/>
        </w:rPr>
        <w:instrText xml:space="preserve">\a \f 4 \h  \* MERGEFORMAT </w:instrText>
      </w:r>
      <w:r w:rsidRPr="000F2079">
        <w:rPr>
          <w:rFonts w:ascii="Arial" w:hAnsi="Arial" w:cs="Arial"/>
          <w:sz w:val="20"/>
          <w:szCs w:val="20"/>
          <w:highlight w:val="cyan"/>
        </w:rPr>
        <w:fldChar w:fldCharType="separate"/>
      </w:r>
    </w:p>
    <w:tbl>
      <w:tblPr>
        <w:tblW w:w="9359" w:type="dxa"/>
        <w:tblInd w:w="70" w:type="dxa"/>
        <w:tblCellMar>
          <w:left w:w="70" w:type="dxa"/>
          <w:right w:w="70" w:type="dxa"/>
        </w:tblCellMar>
        <w:tblLook w:val="04A0" w:firstRow="1" w:lastRow="0" w:firstColumn="1" w:lastColumn="0" w:noHBand="0" w:noVBand="1"/>
      </w:tblPr>
      <w:tblGrid>
        <w:gridCol w:w="884"/>
        <w:gridCol w:w="884"/>
        <w:gridCol w:w="1639"/>
        <w:gridCol w:w="1694"/>
        <w:gridCol w:w="1584"/>
        <w:gridCol w:w="1326"/>
        <w:gridCol w:w="1385"/>
      </w:tblGrid>
      <w:tr w:rsidR="00E61035" w:rsidRPr="000F2079" w:rsidTr="00420BB3">
        <w:trPr>
          <w:trHeight w:val="656"/>
        </w:trPr>
        <w:tc>
          <w:tcPr>
            <w:tcW w:w="884" w:type="dxa"/>
            <w:tcBorders>
              <w:top w:val="single" w:sz="4" w:space="0" w:color="auto"/>
              <w:left w:val="single" w:sz="4" w:space="0" w:color="auto"/>
              <w:bottom w:val="single" w:sz="4" w:space="0" w:color="auto"/>
              <w:right w:val="single" w:sz="4" w:space="0" w:color="auto"/>
            </w:tcBorders>
            <w:shd w:val="clear" w:color="000000" w:fill="9BC2E6"/>
            <w:noWrap/>
            <w:textDirection w:val="btLr"/>
            <w:vAlign w:val="center"/>
            <w:hideMark/>
          </w:tcPr>
          <w:p w:rsidR="00E61035" w:rsidRPr="000F2079" w:rsidRDefault="00E61035" w:rsidP="00E61035">
            <w:pPr>
              <w:widowControl/>
              <w:adjustRightInd/>
              <w:spacing w:after="0" w:line="240" w:lineRule="auto"/>
              <w:jc w:val="center"/>
              <w:rPr>
                <w:rFonts w:ascii="Arial" w:hAnsi="Arial" w:cs="Arial"/>
                <w:b/>
                <w:bCs/>
                <w:color w:val="FFFFFF"/>
                <w:sz w:val="20"/>
                <w:szCs w:val="20"/>
                <w:lang w:eastAsia="sk-SK"/>
              </w:rPr>
            </w:pPr>
          </w:p>
        </w:tc>
        <w:tc>
          <w:tcPr>
            <w:tcW w:w="884" w:type="dxa"/>
            <w:tcBorders>
              <w:top w:val="single" w:sz="4" w:space="0" w:color="auto"/>
              <w:left w:val="nil"/>
              <w:bottom w:val="single" w:sz="4" w:space="0" w:color="auto"/>
              <w:right w:val="single" w:sz="4" w:space="0" w:color="auto"/>
            </w:tcBorders>
            <w:shd w:val="clear" w:color="000000" w:fill="9BC2E6"/>
            <w:noWrap/>
            <w:vAlign w:val="bottom"/>
            <w:hideMark/>
          </w:tcPr>
          <w:p w:rsidR="00E61035" w:rsidRPr="000F2079" w:rsidRDefault="00E61035" w:rsidP="00E61035">
            <w:pPr>
              <w:widowControl/>
              <w:adjustRightInd/>
              <w:spacing w:after="0" w:line="240" w:lineRule="auto"/>
              <w:jc w:val="center"/>
              <w:rPr>
                <w:rFonts w:ascii="Arial" w:hAnsi="Arial" w:cs="Arial"/>
                <w:color w:val="FFFFFF"/>
                <w:sz w:val="20"/>
                <w:szCs w:val="20"/>
                <w:lang w:eastAsia="sk-SK"/>
              </w:rPr>
            </w:pPr>
          </w:p>
        </w:tc>
        <w:tc>
          <w:tcPr>
            <w:tcW w:w="1639" w:type="dxa"/>
            <w:tcBorders>
              <w:top w:val="single" w:sz="4" w:space="0" w:color="auto"/>
              <w:left w:val="nil"/>
              <w:bottom w:val="single" w:sz="4" w:space="0" w:color="auto"/>
              <w:right w:val="single" w:sz="4" w:space="0" w:color="auto"/>
            </w:tcBorders>
            <w:shd w:val="clear" w:color="000000" w:fill="9BC2E6"/>
            <w:vAlign w:val="bottom"/>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súčet hrubej mzdy</w:t>
            </w:r>
            <w:r w:rsidRPr="000F2079">
              <w:rPr>
                <w:rFonts w:ascii="Arial" w:hAnsi="Arial" w:cs="Arial"/>
                <w:b/>
                <w:bCs/>
                <w:color w:val="000000"/>
                <w:sz w:val="20"/>
                <w:szCs w:val="20"/>
                <w:lang w:eastAsia="sk-SK"/>
              </w:rPr>
              <w:br/>
              <w:t>(A)</w:t>
            </w:r>
          </w:p>
        </w:tc>
        <w:tc>
          <w:tcPr>
            <w:tcW w:w="1694" w:type="dxa"/>
            <w:tcBorders>
              <w:top w:val="single" w:sz="4" w:space="0" w:color="auto"/>
              <w:left w:val="nil"/>
              <w:bottom w:val="single" w:sz="4" w:space="0" w:color="auto"/>
              <w:right w:val="single" w:sz="4" w:space="0" w:color="auto"/>
            </w:tcBorders>
            <w:shd w:val="clear" w:color="000000" w:fill="9BC2E6"/>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koeficient odvodov zamestnávateľa</w:t>
            </w:r>
            <w:r w:rsidRPr="000F2079">
              <w:rPr>
                <w:rFonts w:ascii="Arial" w:hAnsi="Arial" w:cs="Arial"/>
                <w:b/>
                <w:bCs/>
                <w:color w:val="000000"/>
                <w:sz w:val="20"/>
                <w:szCs w:val="20"/>
                <w:lang w:eastAsia="sk-SK"/>
              </w:rPr>
              <w:br/>
              <w:t>(B)</w:t>
            </w:r>
          </w:p>
        </w:tc>
        <w:tc>
          <w:tcPr>
            <w:tcW w:w="1584" w:type="dxa"/>
            <w:tcBorders>
              <w:top w:val="single" w:sz="4" w:space="0" w:color="auto"/>
              <w:left w:val="nil"/>
              <w:bottom w:val="single" w:sz="4" w:space="0" w:color="auto"/>
              <w:right w:val="single" w:sz="4" w:space="0" w:color="auto"/>
            </w:tcBorders>
            <w:shd w:val="clear" w:color="000000" w:fill="9BC2E6"/>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celkové mzdové náklady</w:t>
            </w:r>
            <w:r w:rsidRPr="000F2079">
              <w:rPr>
                <w:rFonts w:ascii="Arial" w:hAnsi="Arial" w:cs="Arial"/>
                <w:b/>
                <w:bCs/>
                <w:color w:val="000000"/>
                <w:sz w:val="20"/>
                <w:szCs w:val="20"/>
                <w:lang w:eastAsia="sk-SK"/>
              </w:rPr>
              <w:br/>
              <w:t>(A)*(B)</w:t>
            </w:r>
          </w:p>
        </w:tc>
        <w:tc>
          <w:tcPr>
            <w:tcW w:w="1326" w:type="dxa"/>
            <w:tcBorders>
              <w:top w:val="single" w:sz="4" w:space="0" w:color="auto"/>
              <w:left w:val="nil"/>
              <w:bottom w:val="single" w:sz="4" w:space="0" w:color="auto"/>
              <w:right w:val="single" w:sz="4" w:space="0" w:color="auto"/>
            </w:tcBorders>
            <w:shd w:val="clear" w:color="000000" w:fill="9BC2E6"/>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rozdiel absolútny</w:t>
            </w:r>
          </w:p>
        </w:tc>
        <w:tc>
          <w:tcPr>
            <w:tcW w:w="1348" w:type="dxa"/>
            <w:tcBorders>
              <w:top w:val="single" w:sz="4" w:space="0" w:color="auto"/>
              <w:left w:val="nil"/>
              <w:bottom w:val="single" w:sz="4" w:space="0" w:color="auto"/>
              <w:right w:val="single" w:sz="4" w:space="0" w:color="auto"/>
            </w:tcBorders>
            <w:shd w:val="clear" w:color="000000" w:fill="9BC2E6"/>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rozdiel percentuálny</w:t>
            </w:r>
          </w:p>
        </w:tc>
      </w:tr>
      <w:tr w:rsidR="00E61035" w:rsidRPr="000F2079" w:rsidTr="00420BB3">
        <w:trPr>
          <w:trHeight w:val="476"/>
        </w:trPr>
        <w:tc>
          <w:tcPr>
            <w:tcW w:w="884" w:type="dxa"/>
            <w:vMerge w:val="restart"/>
            <w:tcBorders>
              <w:top w:val="nil"/>
              <w:left w:val="single" w:sz="4" w:space="0" w:color="auto"/>
              <w:bottom w:val="single" w:sz="4" w:space="0" w:color="000000"/>
              <w:right w:val="single" w:sz="4" w:space="0" w:color="auto"/>
            </w:tcBorders>
            <w:shd w:val="clear" w:color="000000" w:fill="9BC2E6"/>
            <w:noWrap/>
            <w:textDirection w:val="btLr"/>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spolu</w:t>
            </w:r>
          </w:p>
        </w:tc>
        <w:tc>
          <w:tcPr>
            <w:tcW w:w="884" w:type="dxa"/>
            <w:tcBorders>
              <w:top w:val="nil"/>
              <w:left w:val="nil"/>
              <w:bottom w:val="single" w:sz="4" w:space="0" w:color="auto"/>
              <w:right w:val="single" w:sz="4" w:space="0" w:color="auto"/>
            </w:tcBorders>
            <w:shd w:val="clear" w:color="000000" w:fill="9BC2E6"/>
            <w:noWrap/>
            <w:vAlign w:val="bottom"/>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2017</w:t>
            </w:r>
          </w:p>
        </w:tc>
        <w:tc>
          <w:tcPr>
            <w:tcW w:w="1639"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168 810,00</w:t>
            </w:r>
          </w:p>
        </w:tc>
        <w:tc>
          <w:tcPr>
            <w:tcW w:w="1694"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1,352</w:t>
            </w:r>
          </w:p>
        </w:tc>
        <w:tc>
          <w:tcPr>
            <w:tcW w:w="1584"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228 231,12</w:t>
            </w:r>
          </w:p>
        </w:tc>
        <w:tc>
          <w:tcPr>
            <w:tcW w:w="1326"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p>
        </w:tc>
        <w:tc>
          <w:tcPr>
            <w:tcW w:w="1348"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p>
        </w:tc>
      </w:tr>
      <w:tr w:rsidR="00E61035" w:rsidRPr="000F2079" w:rsidTr="00420BB3">
        <w:trPr>
          <w:trHeight w:val="164"/>
        </w:trPr>
        <w:tc>
          <w:tcPr>
            <w:tcW w:w="884" w:type="dxa"/>
            <w:vMerge/>
            <w:tcBorders>
              <w:top w:val="nil"/>
              <w:left w:val="single" w:sz="4" w:space="0" w:color="auto"/>
              <w:bottom w:val="single" w:sz="4" w:space="0" w:color="000000"/>
              <w:right w:val="single" w:sz="4" w:space="0" w:color="auto"/>
            </w:tcBorders>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884" w:type="dxa"/>
            <w:tcBorders>
              <w:top w:val="nil"/>
              <w:left w:val="nil"/>
              <w:bottom w:val="single" w:sz="4" w:space="0" w:color="auto"/>
              <w:right w:val="single" w:sz="4" w:space="0" w:color="auto"/>
            </w:tcBorders>
            <w:shd w:val="clear" w:color="000000" w:fill="9BC2E6"/>
            <w:noWrap/>
            <w:vAlign w:val="bottom"/>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2018</w:t>
            </w:r>
          </w:p>
        </w:tc>
        <w:tc>
          <w:tcPr>
            <w:tcW w:w="1639"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200 171,03</w:t>
            </w:r>
          </w:p>
        </w:tc>
        <w:tc>
          <w:tcPr>
            <w:tcW w:w="1694"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1,352</w:t>
            </w:r>
          </w:p>
        </w:tc>
        <w:tc>
          <w:tcPr>
            <w:tcW w:w="1584"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270 631,24</w:t>
            </w:r>
          </w:p>
        </w:tc>
        <w:tc>
          <w:tcPr>
            <w:tcW w:w="1326"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42 400,12</w:t>
            </w:r>
          </w:p>
        </w:tc>
        <w:tc>
          <w:tcPr>
            <w:tcW w:w="1348"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18,58%</w:t>
            </w:r>
          </w:p>
        </w:tc>
      </w:tr>
      <w:tr w:rsidR="00E61035" w:rsidRPr="000F2079" w:rsidTr="00420BB3">
        <w:trPr>
          <w:trHeight w:val="164"/>
        </w:trPr>
        <w:tc>
          <w:tcPr>
            <w:tcW w:w="884" w:type="dxa"/>
            <w:vMerge/>
            <w:tcBorders>
              <w:top w:val="nil"/>
              <w:left w:val="single" w:sz="4" w:space="0" w:color="auto"/>
              <w:bottom w:val="single" w:sz="4" w:space="0" w:color="000000"/>
              <w:right w:val="single" w:sz="4" w:space="0" w:color="auto"/>
            </w:tcBorders>
            <w:vAlign w:val="center"/>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p>
        </w:tc>
        <w:tc>
          <w:tcPr>
            <w:tcW w:w="884" w:type="dxa"/>
            <w:tcBorders>
              <w:top w:val="nil"/>
              <w:left w:val="nil"/>
              <w:bottom w:val="nil"/>
              <w:right w:val="single" w:sz="4" w:space="0" w:color="auto"/>
            </w:tcBorders>
            <w:shd w:val="clear" w:color="000000" w:fill="9BC2E6"/>
            <w:noWrap/>
            <w:vAlign w:val="bottom"/>
            <w:hideMark/>
          </w:tcPr>
          <w:p w:rsidR="00E61035" w:rsidRPr="000F2079" w:rsidRDefault="00E61035" w:rsidP="00E61035">
            <w:pPr>
              <w:widowControl/>
              <w:adjustRightInd/>
              <w:spacing w:after="0" w:line="240" w:lineRule="auto"/>
              <w:jc w:val="center"/>
              <w:rPr>
                <w:rFonts w:ascii="Arial" w:hAnsi="Arial" w:cs="Arial"/>
                <w:b/>
                <w:bCs/>
                <w:color w:val="000000"/>
                <w:sz w:val="20"/>
                <w:szCs w:val="20"/>
                <w:lang w:eastAsia="sk-SK"/>
              </w:rPr>
            </w:pPr>
            <w:r w:rsidRPr="000F2079">
              <w:rPr>
                <w:rFonts w:ascii="Arial" w:hAnsi="Arial" w:cs="Arial"/>
                <w:b/>
                <w:bCs/>
                <w:color w:val="000000"/>
                <w:sz w:val="20"/>
                <w:szCs w:val="20"/>
                <w:lang w:eastAsia="sk-SK"/>
              </w:rPr>
              <w:t>2019</w:t>
            </w:r>
          </w:p>
        </w:tc>
        <w:tc>
          <w:tcPr>
            <w:tcW w:w="1639"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239 436,09</w:t>
            </w:r>
          </w:p>
        </w:tc>
        <w:tc>
          <w:tcPr>
            <w:tcW w:w="1694"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1,352</w:t>
            </w:r>
          </w:p>
        </w:tc>
        <w:tc>
          <w:tcPr>
            <w:tcW w:w="1584"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323 717,60</w:t>
            </w:r>
          </w:p>
        </w:tc>
        <w:tc>
          <w:tcPr>
            <w:tcW w:w="1326"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53 086,36</w:t>
            </w:r>
          </w:p>
        </w:tc>
        <w:tc>
          <w:tcPr>
            <w:tcW w:w="1348" w:type="dxa"/>
            <w:tcBorders>
              <w:top w:val="nil"/>
              <w:left w:val="nil"/>
              <w:bottom w:val="single" w:sz="4" w:space="0" w:color="auto"/>
              <w:right w:val="single" w:sz="4" w:space="0" w:color="auto"/>
            </w:tcBorders>
            <w:shd w:val="clear" w:color="000000" w:fill="DDEBF7"/>
            <w:noWrap/>
            <w:vAlign w:val="bottom"/>
            <w:hideMark/>
          </w:tcPr>
          <w:p w:rsidR="00E61035" w:rsidRPr="000F2079" w:rsidRDefault="00E61035" w:rsidP="00E61035">
            <w:pPr>
              <w:widowControl/>
              <w:adjustRightInd/>
              <w:spacing w:after="0" w:line="240" w:lineRule="auto"/>
              <w:jc w:val="center"/>
              <w:rPr>
                <w:rFonts w:ascii="Arial" w:hAnsi="Arial" w:cs="Arial"/>
                <w:color w:val="000000"/>
                <w:sz w:val="20"/>
                <w:szCs w:val="20"/>
                <w:lang w:eastAsia="sk-SK"/>
              </w:rPr>
            </w:pPr>
            <w:r w:rsidRPr="000F2079">
              <w:rPr>
                <w:rFonts w:ascii="Arial" w:hAnsi="Arial" w:cs="Arial"/>
                <w:color w:val="000000"/>
                <w:sz w:val="20"/>
                <w:szCs w:val="20"/>
                <w:lang w:eastAsia="sk-SK"/>
              </w:rPr>
              <w:t>19,62%</w:t>
            </w:r>
          </w:p>
        </w:tc>
      </w:tr>
    </w:tbl>
    <w:p w:rsidR="00E61035" w:rsidRPr="000F2079" w:rsidRDefault="00E61035" w:rsidP="00E61035">
      <w:pPr>
        <w:ind w:firstLine="360"/>
        <w:jc w:val="center"/>
        <w:rPr>
          <w:rFonts w:ascii="Arial" w:hAnsi="Arial" w:cs="Arial"/>
          <w:sz w:val="20"/>
          <w:szCs w:val="20"/>
        </w:rPr>
      </w:pPr>
      <w:r w:rsidRPr="000F2079">
        <w:rPr>
          <w:rFonts w:ascii="Arial" w:hAnsi="Arial" w:cs="Arial"/>
          <w:sz w:val="20"/>
          <w:szCs w:val="20"/>
          <w:highlight w:val="cyan"/>
        </w:rPr>
        <w:fldChar w:fldCharType="end"/>
      </w:r>
      <w:r w:rsidR="00DB4E78" w:rsidRPr="000F2079">
        <w:rPr>
          <w:rFonts w:ascii="Arial" w:hAnsi="Arial" w:cs="Arial"/>
          <w:sz w:val="20"/>
          <w:szCs w:val="20"/>
        </w:rPr>
        <w:t>Tabuľka č. 7</w:t>
      </w:r>
      <w:r w:rsidRPr="000F2079">
        <w:rPr>
          <w:rFonts w:ascii="Arial" w:hAnsi="Arial" w:cs="Arial"/>
          <w:sz w:val="20"/>
          <w:szCs w:val="20"/>
        </w:rPr>
        <w:t>: Celkové mzdové náklady (okrem príplatkov za prácu vo sviatok)</w:t>
      </w:r>
    </w:p>
    <w:p w:rsidR="006F0AC2" w:rsidRDefault="00E61035" w:rsidP="00E61035">
      <w:pPr>
        <w:jc w:val="both"/>
        <w:rPr>
          <w:rFonts w:ascii="Arial" w:hAnsi="Arial" w:cs="Arial"/>
          <w:sz w:val="20"/>
          <w:szCs w:val="20"/>
        </w:rPr>
      </w:pPr>
      <w:r w:rsidRPr="000F2079">
        <w:rPr>
          <w:rFonts w:ascii="Arial" w:hAnsi="Arial" w:cs="Arial"/>
          <w:sz w:val="20"/>
          <w:szCs w:val="20"/>
        </w:rPr>
        <w:t xml:space="preserve">Ak pri výpočte príplatkov za roky 2018 a 2019 vychádzame z predpokladu, že napriek zmenám vo výške príplatkov nenastane u zamestnávateľa zmena správania (napr. obmedzený režim prevádzky počas víkendu a počas nočných hodín), čo je v prípade ubytovacieho zariadenia zmysluplný predpoklad, potom celkové mzdové náklady pre roky 2018 a 2019 môžeme vidieť v tabuľke č. 6. Zatiaľ čo minimálna mzda porastie medzi rokmi 2018 a 2019 zo 480 € na 520 €, t.j. „len“ o 8,33%, vplyvom zmien v spôsobe vyplácania príplatkov za prácu počas víkendov a nocí stúpnu celkové mzdové náklady tohto zamestnávateľa medziročne z 270 631,24 € na 323 717,60 €, t.j. celkovo o 19,62%. Je teda zrejmé, že zvyšovanie minimálnej mzdy bude pre zamestnávateľov bolestnejšie než tomu bolo v minulosti, nakoľko sa prostredníctvom novely Zákonníka práce v máji 2018 zmenili percentuálne sadzby, ktoré sa vzťahujú na vyplácanie príplatkov za prácu v noci a počas víkendov. </w:t>
      </w:r>
    </w:p>
    <w:p w:rsidR="00E61035" w:rsidRPr="000F2079" w:rsidRDefault="00E61035" w:rsidP="00721F5A">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0"/>
          <w:szCs w:val="20"/>
        </w:rPr>
      </w:pPr>
      <w:r w:rsidRPr="000F2079">
        <w:rPr>
          <w:rFonts w:ascii="Arial" w:hAnsi="Arial" w:cs="Arial"/>
          <w:sz w:val="20"/>
          <w:szCs w:val="20"/>
        </w:rPr>
        <w:t xml:space="preserve">V porovnaní s rokom 2017 teda v roku 2019 </w:t>
      </w:r>
      <w:r w:rsidRPr="000F2079">
        <w:rPr>
          <w:rFonts w:ascii="Arial" w:hAnsi="Arial" w:cs="Arial"/>
          <w:b/>
          <w:sz w:val="20"/>
          <w:szCs w:val="20"/>
        </w:rPr>
        <w:t>len z titulu zvýšenia minimálnej mzdy a príplatkov za prácu</w:t>
      </w:r>
      <w:r w:rsidRPr="000F2079">
        <w:rPr>
          <w:rFonts w:ascii="Arial" w:hAnsi="Arial" w:cs="Arial"/>
          <w:sz w:val="20"/>
          <w:szCs w:val="20"/>
        </w:rPr>
        <w:t xml:space="preserve"> stúpnu mzdové náklady prevádzkovateľovi tohto ubytovacieho zariadenia o </w:t>
      </w:r>
      <w:r w:rsidRPr="000F2079">
        <w:rPr>
          <w:rFonts w:ascii="Arial" w:hAnsi="Arial" w:cs="Arial"/>
          <w:b/>
          <w:sz w:val="20"/>
          <w:szCs w:val="20"/>
        </w:rPr>
        <w:t>95 486,48 €</w:t>
      </w:r>
      <w:r w:rsidRPr="000F2079">
        <w:rPr>
          <w:rFonts w:ascii="Arial" w:hAnsi="Arial" w:cs="Arial"/>
          <w:sz w:val="20"/>
          <w:szCs w:val="20"/>
        </w:rPr>
        <w:t xml:space="preserve">, čo predstavuje </w:t>
      </w:r>
      <w:r w:rsidRPr="000F2079">
        <w:rPr>
          <w:rFonts w:ascii="Arial" w:hAnsi="Arial" w:cs="Arial"/>
          <w:b/>
          <w:sz w:val="20"/>
          <w:szCs w:val="20"/>
        </w:rPr>
        <w:t>nárast o 41,48 %</w:t>
      </w:r>
      <w:r w:rsidRPr="000F2079">
        <w:rPr>
          <w:rFonts w:ascii="Arial" w:hAnsi="Arial" w:cs="Arial"/>
          <w:sz w:val="20"/>
          <w:szCs w:val="20"/>
        </w:rPr>
        <w:t>.</w:t>
      </w:r>
    </w:p>
    <w:p w:rsidR="00E61035" w:rsidRPr="000F2079" w:rsidRDefault="000F2079" w:rsidP="00E61035">
      <w:pPr>
        <w:jc w:val="both"/>
        <w:rPr>
          <w:rFonts w:ascii="Arial" w:hAnsi="Arial" w:cs="Arial"/>
          <w:b/>
          <w:i/>
          <w:sz w:val="20"/>
          <w:szCs w:val="20"/>
        </w:rPr>
      </w:pPr>
      <w:r w:rsidRPr="000F2079">
        <w:rPr>
          <w:rFonts w:ascii="Arial" w:hAnsi="Arial" w:cs="Arial"/>
          <w:b/>
          <w:i/>
          <w:sz w:val="20"/>
          <w:szCs w:val="20"/>
        </w:rPr>
        <w:t>b4) d</w:t>
      </w:r>
      <w:r w:rsidR="00E61035" w:rsidRPr="000F2079">
        <w:rPr>
          <w:rFonts w:ascii="Arial" w:hAnsi="Arial" w:cs="Arial"/>
          <w:b/>
          <w:i/>
          <w:sz w:val="20"/>
          <w:szCs w:val="20"/>
        </w:rPr>
        <w:t xml:space="preserve">omáci vývoj </w:t>
      </w:r>
      <w:r w:rsidR="002F1D44">
        <w:rPr>
          <w:rFonts w:ascii="Arial" w:hAnsi="Arial" w:cs="Arial"/>
          <w:b/>
          <w:i/>
          <w:sz w:val="20"/>
          <w:szCs w:val="20"/>
        </w:rPr>
        <w:t xml:space="preserve">minimálnej mzdy </w:t>
      </w:r>
      <w:r w:rsidR="00E61035" w:rsidRPr="000F2079">
        <w:rPr>
          <w:rFonts w:ascii="Arial" w:hAnsi="Arial" w:cs="Arial"/>
          <w:b/>
          <w:i/>
          <w:sz w:val="20"/>
          <w:szCs w:val="20"/>
        </w:rPr>
        <w:t xml:space="preserve">a medzinárodné porovnanie </w:t>
      </w:r>
    </w:p>
    <w:p w:rsidR="00E61035" w:rsidRPr="000F2079" w:rsidRDefault="00E61035" w:rsidP="000F2079">
      <w:pPr>
        <w:ind w:firstLine="708"/>
        <w:jc w:val="both"/>
        <w:rPr>
          <w:rFonts w:ascii="Arial" w:hAnsi="Arial" w:cs="Arial"/>
          <w:b/>
          <w:sz w:val="20"/>
          <w:szCs w:val="20"/>
        </w:rPr>
      </w:pPr>
      <w:r w:rsidRPr="000F2079">
        <w:rPr>
          <w:rFonts w:ascii="Arial" w:hAnsi="Arial" w:cs="Arial"/>
          <w:sz w:val="20"/>
          <w:szCs w:val="20"/>
        </w:rPr>
        <w:t>Z vyššie uvedených tabuliek môžeme vidieť, že zvyšovanie minimálnej mzdy bud</w:t>
      </w:r>
      <w:r w:rsidR="000F2079">
        <w:rPr>
          <w:rFonts w:ascii="Arial" w:hAnsi="Arial" w:cs="Arial"/>
          <w:sz w:val="20"/>
          <w:szCs w:val="20"/>
        </w:rPr>
        <w:t>ú</w:t>
      </w:r>
      <w:r w:rsidRPr="000F2079">
        <w:rPr>
          <w:rFonts w:ascii="Arial" w:hAnsi="Arial" w:cs="Arial"/>
          <w:sz w:val="20"/>
          <w:szCs w:val="20"/>
        </w:rPr>
        <w:t>, aj vplyvom iných legislatívnych zmien posledných mesiacov, slovensk</w:t>
      </w:r>
      <w:r w:rsidR="000F2079">
        <w:rPr>
          <w:rFonts w:ascii="Arial" w:hAnsi="Arial" w:cs="Arial"/>
          <w:sz w:val="20"/>
          <w:szCs w:val="20"/>
        </w:rPr>
        <w:t>í</w:t>
      </w:r>
      <w:r w:rsidRPr="000F2079">
        <w:rPr>
          <w:rFonts w:ascii="Arial" w:hAnsi="Arial" w:cs="Arial"/>
          <w:sz w:val="20"/>
          <w:szCs w:val="20"/>
        </w:rPr>
        <w:t xml:space="preserve"> podnikate</w:t>
      </w:r>
      <w:r w:rsidR="000F2079">
        <w:rPr>
          <w:rFonts w:ascii="Arial" w:hAnsi="Arial" w:cs="Arial"/>
          <w:sz w:val="20"/>
          <w:szCs w:val="20"/>
        </w:rPr>
        <w:t>lia</w:t>
      </w:r>
      <w:r w:rsidRPr="000F2079">
        <w:rPr>
          <w:rFonts w:ascii="Arial" w:hAnsi="Arial" w:cs="Arial"/>
          <w:sz w:val="20"/>
          <w:szCs w:val="20"/>
        </w:rPr>
        <w:t xml:space="preserve"> značne </w:t>
      </w:r>
      <w:r w:rsidR="000F2079">
        <w:rPr>
          <w:rFonts w:ascii="Arial" w:hAnsi="Arial" w:cs="Arial"/>
          <w:sz w:val="20"/>
          <w:szCs w:val="20"/>
        </w:rPr>
        <w:t>cítiť na svojich nákladoch</w:t>
      </w:r>
      <w:r w:rsidRPr="000F2079">
        <w:rPr>
          <w:rFonts w:ascii="Arial" w:hAnsi="Arial" w:cs="Arial"/>
          <w:sz w:val="20"/>
          <w:szCs w:val="20"/>
        </w:rPr>
        <w:t xml:space="preserve">. </w:t>
      </w:r>
      <w:r w:rsidRPr="000F2079">
        <w:rPr>
          <w:rFonts w:ascii="Arial" w:hAnsi="Arial" w:cs="Arial"/>
          <w:b/>
          <w:sz w:val="20"/>
          <w:szCs w:val="20"/>
        </w:rPr>
        <w:t xml:space="preserve">Ako ale vyzerá vývoj a súčasná výška slovenskej minimálnej mzdy v porovnaní s kľúčovými hospodárskymi ukazovateľmi, ako aj so zahraničím, a to najmä v porovnaní s krajinami regiónu V4? </w:t>
      </w:r>
    </w:p>
    <w:p w:rsidR="00E61035" w:rsidRPr="000F2079" w:rsidRDefault="00BE40AB" w:rsidP="00E61035">
      <w:pPr>
        <w:jc w:val="both"/>
        <w:rPr>
          <w:rFonts w:ascii="Arial" w:hAnsi="Arial" w:cs="Arial"/>
          <w:sz w:val="20"/>
          <w:szCs w:val="20"/>
        </w:rPr>
      </w:pPr>
      <w:r>
        <w:rPr>
          <w:rFonts w:ascii="Arial" w:hAnsi="Arial" w:cs="Arial"/>
          <w:noProof/>
          <w:sz w:val="20"/>
          <w:szCs w:val="20"/>
          <w:lang w:eastAsia="sk-SK"/>
        </w:rPr>
        <w:drawing>
          <wp:inline distT="0" distB="0" distL="0" distR="0">
            <wp:extent cx="5729605" cy="2486025"/>
            <wp:effectExtent l="0" t="0" r="4445"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605" cy="2486025"/>
                    </a:xfrm>
                    <a:prstGeom prst="rect">
                      <a:avLst/>
                    </a:prstGeom>
                    <a:noFill/>
                  </pic:spPr>
                </pic:pic>
              </a:graphicData>
            </a:graphic>
          </wp:inline>
        </w:drawing>
      </w:r>
    </w:p>
    <w:p w:rsidR="00E61035" w:rsidRPr="000F2079" w:rsidRDefault="00E61035" w:rsidP="00E61035">
      <w:pPr>
        <w:jc w:val="center"/>
        <w:rPr>
          <w:rFonts w:ascii="Arial" w:hAnsi="Arial" w:cs="Arial"/>
          <w:sz w:val="20"/>
          <w:szCs w:val="20"/>
        </w:rPr>
      </w:pPr>
      <w:r w:rsidRPr="000F2079">
        <w:rPr>
          <w:rFonts w:ascii="Arial" w:hAnsi="Arial" w:cs="Arial"/>
          <w:sz w:val="20"/>
          <w:szCs w:val="20"/>
        </w:rPr>
        <w:t>Graf č. 1: Percentuálny rast nominálnej minimálnej mzdy a celková inflácia (zdroj: statistics.sk)</w:t>
      </w:r>
    </w:p>
    <w:p w:rsidR="00E61035" w:rsidRPr="000F2079" w:rsidRDefault="00E61035" w:rsidP="00E61035">
      <w:pPr>
        <w:jc w:val="both"/>
        <w:rPr>
          <w:rFonts w:ascii="Arial" w:hAnsi="Arial" w:cs="Arial"/>
          <w:sz w:val="20"/>
          <w:szCs w:val="20"/>
        </w:rPr>
      </w:pPr>
      <w:r w:rsidRPr="000F2079">
        <w:rPr>
          <w:rFonts w:ascii="Arial" w:hAnsi="Arial" w:cs="Arial"/>
          <w:sz w:val="20"/>
          <w:szCs w:val="20"/>
        </w:rPr>
        <w:t xml:space="preserve">Na grafe č. 1 môžeme vidieť, </w:t>
      </w:r>
      <w:r w:rsidRPr="00A74D63">
        <w:rPr>
          <w:rFonts w:ascii="Arial" w:hAnsi="Arial" w:cs="Arial"/>
          <w:b/>
          <w:sz w:val="20"/>
          <w:szCs w:val="20"/>
        </w:rPr>
        <w:t xml:space="preserve">že od roku 2002 bol percentuálny rast nominálnej minimálnej mzdy </w:t>
      </w:r>
      <w:r w:rsidRPr="00A74D63">
        <w:rPr>
          <w:rFonts w:ascii="Arial" w:hAnsi="Arial" w:cs="Arial"/>
          <w:b/>
          <w:sz w:val="20"/>
          <w:szCs w:val="20"/>
        </w:rPr>
        <w:lastRenderedPageBreak/>
        <w:t>takmer vždy vyšší, ako celková inflácia</w:t>
      </w:r>
      <w:r w:rsidRPr="000F2079">
        <w:rPr>
          <w:rFonts w:ascii="Arial" w:hAnsi="Arial" w:cs="Arial"/>
          <w:sz w:val="20"/>
          <w:szCs w:val="20"/>
        </w:rPr>
        <w:t xml:space="preserve"> (meraná ako medziročná zmena indexu spotrebiteľských cien). To znamená, že minimálna mzda, s výnimkou rokov 2004, 2012 a 2013, každoročne rástla aj v reálnych číslach. Najmä v posledných 4 rokoch sme boli svedkami zásadného zvyšovania nominálnej minimálnej mzdy napriek často zápornej inflácií. V tomto období si teda pracovníci poberajúci minimálnu mzdu v reálnom vyjadrení značne polepšili. </w:t>
      </w:r>
    </w:p>
    <w:p w:rsidR="00E61035" w:rsidRPr="000F2079" w:rsidRDefault="00E61035" w:rsidP="00E61035">
      <w:pPr>
        <w:jc w:val="both"/>
        <w:rPr>
          <w:rFonts w:ascii="Arial" w:hAnsi="Arial" w:cs="Arial"/>
          <w:sz w:val="20"/>
          <w:szCs w:val="20"/>
        </w:rPr>
      </w:pPr>
      <w:r w:rsidRPr="000F2079">
        <w:rPr>
          <w:rFonts w:ascii="Arial" w:hAnsi="Arial" w:cs="Arial"/>
          <w:sz w:val="20"/>
          <w:szCs w:val="20"/>
        </w:rPr>
        <w:t>Zaujímavým nástrojom pre účely skúmania vývinu minimálnej mzdy je aj porovnanie vývoja skutočne ustanovenej mesačnej minimálnej mzdy a vývoja priemernej mesačnej mzdy v národnom hospodárstve SR. Zákon č. 663/2007 Z.</w:t>
      </w:r>
      <w:r w:rsidR="00A74D63">
        <w:rPr>
          <w:rFonts w:ascii="Arial" w:hAnsi="Arial" w:cs="Arial"/>
          <w:sz w:val="20"/>
          <w:szCs w:val="20"/>
        </w:rPr>
        <w:t xml:space="preserve"> </w:t>
      </w:r>
      <w:r w:rsidRPr="000F2079">
        <w:rPr>
          <w:rFonts w:ascii="Arial" w:hAnsi="Arial" w:cs="Arial"/>
          <w:sz w:val="20"/>
          <w:szCs w:val="20"/>
        </w:rPr>
        <w:t>z. o minimálnej mzde, ktorý je účinný od 01.02.2008, ustanovuje v § 8 ods. 2, že „</w:t>
      </w:r>
      <w:r w:rsidRPr="000F2079">
        <w:rPr>
          <w:rFonts w:ascii="Arial" w:hAnsi="Arial" w:cs="Arial"/>
          <w:i/>
          <w:sz w:val="20"/>
          <w:szCs w:val="20"/>
        </w:rPr>
        <w:t xml:space="preserve">suma mesačnej minimálnej mzdy na nasledujúci kalendárny rok sa určí najmenej vo výške súčinu platnej mesačnej minimálnej mzdy a indexu medziročného rastu priemernej mesačnej nominálnej mzdy zamestnanca v hospodárstve Slovenskej republiky zverejneného Štatistickým úradom Slovenskej republiky za kalendárny rok, ktorý predchádza kalendárnemu roku, v ktorom sa predkladá návrh na úpravu sumy minimálnej mzdy.“ </w:t>
      </w:r>
      <w:r w:rsidRPr="000F2079">
        <w:rPr>
          <w:rFonts w:ascii="Arial" w:hAnsi="Arial" w:cs="Arial"/>
          <w:sz w:val="20"/>
          <w:szCs w:val="20"/>
        </w:rPr>
        <w:t>Graf č. 2 porovnáva skutočne ustanovenú mesačnú minimálnu mzdu a fiktívnu minimálnu mzdu, ktorá by pre daný rok zodpovedala zákonom stanovenému mechanizmu minimálneho navyšovania. Z grafu je zrejmé, že zákonom stanovená mesačná minim</w:t>
      </w:r>
      <w:r w:rsidR="00C00F9B">
        <w:rPr>
          <w:rFonts w:ascii="Arial" w:hAnsi="Arial" w:cs="Arial"/>
          <w:sz w:val="20"/>
          <w:szCs w:val="20"/>
        </w:rPr>
        <w:t>álna mzda bola od roku 2013</w:t>
      </w:r>
      <w:r w:rsidRPr="000F2079">
        <w:rPr>
          <w:rFonts w:ascii="Arial" w:hAnsi="Arial" w:cs="Arial"/>
          <w:sz w:val="20"/>
          <w:szCs w:val="20"/>
        </w:rPr>
        <w:t xml:space="preserve"> vždy vyššia ako fiktívna minimálna mzda, ktorá by zodpovedala mechanizmu minimálneho navyšovania ustanoveného zákonom. Rast priemernej mzdy v hospodárstve zväčša reflektuje priemernú produktivitu práce, pričom táto priemerná produktivita zahŕňa aj vysoko produktívne odvetvia (napr. elektrotechnický priemysel). Avšak, pracovné miesta na ktorých sú zamestnanci odmeňovaní minimálnou mzdou zväčša predstavujú miesta s nízkou mierou produktivity práce, pričom táto miera produktivity je v podstate stagnujúca. V princípe teda minimálna mzda, ktorou sú odmeňovaní zamestnanci v odvetviach s nízkou a len málo sa meniacou produktivitou práce, rastie od roku 2013 rýchlejšie ako priemerná mzda, ktorá reflektuje produktivitu práce aj v stále dynamickejších sektoroch hospodárstva, ako sú automobilový a elektrotechnický priemysel. </w:t>
      </w:r>
    </w:p>
    <w:p w:rsidR="00E61035" w:rsidRPr="000F2079" w:rsidRDefault="00BE40AB" w:rsidP="00E61035">
      <w:pPr>
        <w:ind w:firstLine="360"/>
        <w:jc w:val="both"/>
        <w:rPr>
          <w:rFonts w:ascii="Arial" w:hAnsi="Arial" w:cs="Arial"/>
          <w:sz w:val="20"/>
          <w:szCs w:val="20"/>
        </w:rPr>
      </w:pPr>
      <w:r>
        <w:rPr>
          <w:rFonts w:ascii="Arial" w:hAnsi="Arial" w:cs="Arial"/>
          <w:noProof/>
          <w:sz w:val="20"/>
          <w:szCs w:val="20"/>
          <w:lang w:eastAsia="sk-SK"/>
        </w:rPr>
        <w:drawing>
          <wp:inline distT="0" distB="0" distL="0" distR="0">
            <wp:extent cx="5395595" cy="2510155"/>
            <wp:effectExtent l="0" t="0" r="0" b="444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5595" cy="2510155"/>
                    </a:xfrm>
                    <a:prstGeom prst="rect">
                      <a:avLst/>
                    </a:prstGeom>
                    <a:noFill/>
                  </pic:spPr>
                </pic:pic>
              </a:graphicData>
            </a:graphic>
          </wp:inline>
        </w:drawing>
      </w:r>
    </w:p>
    <w:p w:rsidR="00E61035" w:rsidRPr="000F2079" w:rsidRDefault="00E61035" w:rsidP="00E61035">
      <w:pPr>
        <w:ind w:firstLine="360"/>
        <w:jc w:val="center"/>
        <w:rPr>
          <w:rFonts w:ascii="Arial" w:hAnsi="Arial" w:cs="Arial"/>
          <w:sz w:val="20"/>
          <w:szCs w:val="20"/>
        </w:rPr>
      </w:pPr>
      <w:r w:rsidRPr="000F2079">
        <w:rPr>
          <w:rFonts w:ascii="Arial" w:hAnsi="Arial" w:cs="Arial"/>
          <w:sz w:val="20"/>
          <w:szCs w:val="20"/>
        </w:rPr>
        <w:t>Graf č. 2: Skutočná min. mzda a min. mzda v súlade s rastom priem. mzdy (zdroj: statistics.sk)</w:t>
      </w:r>
    </w:p>
    <w:p w:rsidR="006F0AC2" w:rsidRDefault="00E61035" w:rsidP="00721F5A">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0F2079">
        <w:rPr>
          <w:rFonts w:ascii="Arial" w:hAnsi="Arial" w:cs="Arial"/>
          <w:sz w:val="20"/>
          <w:szCs w:val="20"/>
        </w:rPr>
        <w:t xml:space="preserve">Z vyššie uvedených dát teda môžeme vidieť, </w:t>
      </w:r>
      <w:r w:rsidRPr="00A74D63">
        <w:rPr>
          <w:rFonts w:ascii="Arial" w:hAnsi="Arial" w:cs="Arial"/>
          <w:b/>
          <w:sz w:val="20"/>
          <w:szCs w:val="20"/>
        </w:rPr>
        <w:t>že minimálna mzda na Slovensku v posledných rokoch rástla v reálnych číslach a zároveň rástla rýchlejšie ako priemerná mzda.</w:t>
      </w:r>
      <w:r w:rsidRPr="000F2079">
        <w:rPr>
          <w:rFonts w:ascii="Arial" w:hAnsi="Arial" w:cs="Arial"/>
          <w:sz w:val="20"/>
          <w:szCs w:val="20"/>
        </w:rPr>
        <w:t xml:space="preserve"> </w:t>
      </w:r>
    </w:p>
    <w:p w:rsidR="00E61035" w:rsidRPr="00A74D63" w:rsidRDefault="00E61035" w:rsidP="00E61035">
      <w:pPr>
        <w:jc w:val="both"/>
        <w:rPr>
          <w:rFonts w:ascii="Arial" w:hAnsi="Arial" w:cs="Arial"/>
          <w:b/>
          <w:sz w:val="20"/>
          <w:szCs w:val="20"/>
        </w:rPr>
      </w:pPr>
      <w:r w:rsidRPr="000F2079">
        <w:rPr>
          <w:rFonts w:ascii="Arial" w:hAnsi="Arial" w:cs="Arial"/>
          <w:sz w:val="20"/>
          <w:szCs w:val="20"/>
        </w:rPr>
        <w:t xml:space="preserve">Nakoľko je však pre Slovensko príznačná vysoká miera regionálnej nerovnosti, je na mieste pozrieť sa na vývoj minimálnej mzdy </w:t>
      </w:r>
      <w:r w:rsidRPr="00A74D63">
        <w:rPr>
          <w:rFonts w:ascii="Arial" w:hAnsi="Arial" w:cs="Arial"/>
          <w:b/>
          <w:sz w:val="20"/>
          <w:szCs w:val="20"/>
        </w:rPr>
        <w:t>aj z hľadiska jednotlivých regiónov a odvetví</w:t>
      </w:r>
      <w:r w:rsidRPr="000F2079">
        <w:rPr>
          <w:rFonts w:ascii="Arial" w:hAnsi="Arial" w:cs="Arial"/>
          <w:sz w:val="20"/>
          <w:szCs w:val="20"/>
        </w:rPr>
        <w:t xml:space="preserve">. Z tohto dôvodu je na mieste porovnať aj </w:t>
      </w:r>
      <w:r w:rsidRPr="00A74D63">
        <w:rPr>
          <w:rFonts w:ascii="Arial" w:hAnsi="Arial" w:cs="Arial"/>
          <w:b/>
          <w:sz w:val="20"/>
          <w:szCs w:val="20"/>
        </w:rPr>
        <w:t xml:space="preserve">pomer minimálnej a priemernej mzdy, v odbornej literatúre označovaný ako Kaitzov index, v regiónoch Slovenska a v rámci jednotlivých odvetví. </w:t>
      </w:r>
    </w:p>
    <w:p w:rsidR="006F0AC2" w:rsidRDefault="00E61035" w:rsidP="00E61035">
      <w:pPr>
        <w:jc w:val="both"/>
        <w:rPr>
          <w:rFonts w:ascii="Arial" w:hAnsi="Arial" w:cs="Arial"/>
          <w:sz w:val="20"/>
          <w:szCs w:val="20"/>
        </w:rPr>
      </w:pPr>
      <w:r w:rsidRPr="000F2079">
        <w:rPr>
          <w:rFonts w:ascii="Arial" w:hAnsi="Arial" w:cs="Arial"/>
          <w:sz w:val="20"/>
          <w:szCs w:val="20"/>
        </w:rPr>
        <w:t xml:space="preserve">Graf č. 3 zobrazuje vývoj Kaitzov-ho indexu od roku 2009 do roku 2017 pre jednotlivé regióny Slovenska. Z grafu je zrejmé, že </w:t>
      </w:r>
      <w:r w:rsidRPr="00A74D63">
        <w:rPr>
          <w:rFonts w:ascii="Arial" w:hAnsi="Arial" w:cs="Arial"/>
          <w:b/>
          <w:sz w:val="20"/>
          <w:szCs w:val="20"/>
        </w:rPr>
        <w:t xml:space="preserve">pomer minimálnej a priemernej mzdy je značne odlišný </w:t>
      </w:r>
      <w:r w:rsidRPr="00A74D63">
        <w:rPr>
          <w:rFonts w:ascii="Arial" w:hAnsi="Arial" w:cs="Arial"/>
          <w:b/>
          <w:sz w:val="20"/>
          <w:szCs w:val="20"/>
        </w:rPr>
        <w:lastRenderedPageBreak/>
        <w:t>v jednotlivých regiónoch Slovenska.</w:t>
      </w:r>
      <w:r w:rsidRPr="000F2079">
        <w:rPr>
          <w:rFonts w:ascii="Arial" w:hAnsi="Arial" w:cs="Arial"/>
          <w:sz w:val="20"/>
          <w:szCs w:val="20"/>
        </w:rPr>
        <w:t xml:space="preserve"> </w:t>
      </w:r>
    </w:p>
    <w:p w:rsidR="00E61035" w:rsidRPr="000F2079" w:rsidRDefault="00E61035" w:rsidP="00721F5A">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0F2079">
        <w:rPr>
          <w:rFonts w:ascii="Arial" w:hAnsi="Arial" w:cs="Arial"/>
          <w:sz w:val="20"/>
          <w:szCs w:val="20"/>
        </w:rPr>
        <w:t xml:space="preserve">Zatiaľ čo </w:t>
      </w:r>
      <w:r w:rsidRPr="00A74D63">
        <w:rPr>
          <w:rFonts w:ascii="Arial" w:hAnsi="Arial" w:cs="Arial"/>
          <w:b/>
          <w:sz w:val="20"/>
          <w:szCs w:val="20"/>
        </w:rPr>
        <w:t>v Bratislavskom kraji dosiahol tento pomer v roku 2017 niečo vyše 35%, v Prešovskom kraji predstavuje tento pomer takmer 60%.</w:t>
      </w:r>
      <w:r w:rsidRPr="000F2079">
        <w:rPr>
          <w:rFonts w:ascii="Arial" w:hAnsi="Arial" w:cs="Arial"/>
          <w:sz w:val="20"/>
          <w:szCs w:val="20"/>
        </w:rPr>
        <w:t xml:space="preserve"> Ostatné regióny Slovenska sa nachádzajú medzi týmito dvomi extrémnymi hodnotami, no napriek tomu sú bližšie k Prešovskému regiónu. Nad 50% hranicou sa v roku 2017 pohybovali okrem Prešovského aj Banskobystrický a Nitriansky kraji. </w:t>
      </w:r>
    </w:p>
    <w:p w:rsidR="00E61035" w:rsidRPr="000F2079" w:rsidRDefault="00BE40AB" w:rsidP="00E61035">
      <w:pPr>
        <w:jc w:val="both"/>
        <w:rPr>
          <w:rFonts w:ascii="Arial" w:hAnsi="Arial" w:cs="Arial"/>
          <w:sz w:val="20"/>
          <w:szCs w:val="20"/>
        </w:rPr>
      </w:pPr>
      <w:r>
        <w:rPr>
          <w:rFonts w:ascii="Arial" w:hAnsi="Arial" w:cs="Arial"/>
          <w:noProof/>
          <w:sz w:val="20"/>
          <w:szCs w:val="20"/>
          <w:lang w:eastAsia="sk-SK"/>
        </w:rPr>
        <w:drawing>
          <wp:inline distT="0" distB="0" distL="0" distR="0">
            <wp:extent cx="5756910" cy="2413000"/>
            <wp:effectExtent l="0" t="0" r="0" b="635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2413000"/>
                    </a:xfrm>
                    <a:prstGeom prst="rect">
                      <a:avLst/>
                    </a:prstGeom>
                    <a:noFill/>
                  </pic:spPr>
                </pic:pic>
              </a:graphicData>
            </a:graphic>
          </wp:inline>
        </w:drawing>
      </w:r>
    </w:p>
    <w:p w:rsidR="00E61035" w:rsidRPr="000F2079" w:rsidRDefault="00E61035" w:rsidP="00E61035">
      <w:pPr>
        <w:ind w:firstLine="360"/>
        <w:jc w:val="center"/>
        <w:rPr>
          <w:rFonts w:ascii="Arial" w:hAnsi="Arial" w:cs="Arial"/>
          <w:sz w:val="20"/>
          <w:szCs w:val="20"/>
        </w:rPr>
      </w:pPr>
      <w:r w:rsidRPr="000F2079">
        <w:rPr>
          <w:rFonts w:ascii="Arial" w:hAnsi="Arial" w:cs="Arial"/>
          <w:sz w:val="20"/>
          <w:szCs w:val="20"/>
        </w:rPr>
        <w:t>Graf č. 3: Kaitzov index v jednotlivých regiónoch Slovenska (zdroj: statistics.sk)</w:t>
      </w:r>
    </w:p>
    <w:p w:rsidR="006F0AC2" w:rsidRDefault="00E61035" w:rsidP="00E61035">
      <w:pPr>
        <w:jc w:val="both"/>
        <w:rPr>
          <w:rFonts w:ascii="Arial" w:hAnsi="Arial" w:cs="Arial"/>
          <w:sz w:val="20"/>
          <w:szCs w:val="20"/>
        </w:rPr>
      </w:pPr>
      <w:r w:rsidRPr="000F2079">
        <w:rPr>
          <w:rFonts w:ascii="Arial" w:hAnsi="Arial" w:cs="Arial"/>
          <w:sz w:val="20"/>
          <w:szCs w:val="20"/>
        </w:rPr>
        <w:t xml:space="preserve">Čo sa týka vývoja Kaitzov-ho indexu v rámci jednotlivých odvetví hospodárstva SR, tieto údaje sú zosumarizované v grafe č. 4. </w:t>
      </w:r>
    </w:p>
    <w:p w:rsidR="00E61035" w:rsidRPr="000F2079" w:rsidRDefault="00E61035" w:rsidP="00721F5A">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0F2079">
        <w:rPr>
          <w:rFonts w:ascii="Arial" w:hAnsi="Arial" w:cs="Arial"/>
          <w:sz w:val="20"/>
          <w:szCs w:val="20"/>
        </w:rPr>
        <w:t xml:space="preserve">Ako môžeme vidieť, </w:t>
      </w:r>
      <w:r w:rsidRPr="00A74D63">
        <w:rPr>
          <w:rFonts w:ascii="Arial" w:hAnsi="Arial" w:cs="Arial"/>
          <w:b/>
          <w:sz w:val="20"/>
          <w:szCs w:val="20"/>
        </w:rPr>
        <w:t>aj v rámci jednotlivých odvetví je možné pozorovať značné rozdiely v hodnote tejto premennej.</w:t>
      </w:r>
      <w:r w:rsidRPr="000F2079">
        <w:rPr>
          <w:rFonts w:ascii="Arial" w:hAnsi="Arial" w:cs="Arial"/>
          <w:sz w:val="20"/>
          <w:szCs w:val="20"/>
        </w:rPr>
        <w:t xml:space="preserve"> Zatiaľ čo </w:t>
      </w:r>
      <w:r w:rsidRPr="00A74D63">
        <w:rPr>
          <w:rFonts w:ascii="Arial" w:hAnsi="Arial" w:cs="Arial"/>
          <w:b/>
          <w:sz w:val="20"/>
          <w:szCs w:val="20"/>
        </w:rPr>
        <w:t>v IKT sektor</w:t>
      </w:r>
      <w:r w:rsidR="001521CC">
        <w:rPr>
          <w:rFonts w:ascii="Arial" w:hAnsi="Arial" w:cs="Arial"/>
          <w:b/>
          <w:sz w:val="20"/>
          <w:szCs w:val="20"/>
        </w:rPr>
        <w:t xml:space="preserve">e (informácie a komunikácia) </w:t>
      </w:r>
      <w:r w:rsidRPr="00A74D63">
        <w:rPr>
          <w:rFonts w:ascii="Arial" w:hAnsi="Arial" w:cs="Arial"/>
          <w:b/>
          <w:sz w:val="20"/>
          <w:szCs w:val="20"/>
        </w:rPr>
        <w:t xml:space="preserve">predstavuje pomer minimálnej a priemernej mzdy stabilne približne 20%, v sektore </w:t>
      </w:r>
      <w:r w:rsidR="00A74D63">
        <w:rPr>
          <w:rFonts w:ascii="Arial" w:hAnsi="Arial" w:cs="Arial"/>
          <w:b/>
          <w:sz w:val="20"/>
          <w:szCs w:val="20"/>
        </w:rPr>
        <w:t>č</w:t>
      </w:r>
      <w:r w:rsidRPr="00A74D63">
        <w:rPr>
          <w:rFonts w:ascii="Arial" w:hAnsi="Arial" w:cs="Arial"/>
          <w:b/>
          <w:sz w:val="20"/>
          <w:szCs w:val="20"/>
        </w:rPr>
        <w:t>innosti reštaurácii a pohostinstiev predstavuje tento pomer až 100%, t.j. priemerná mzda je v tomto odvetví mzdou minimálnou.</w:t>
      </w:r>
      <w:r w:rsidRPr="000F2079">
        <w:rPr>
          <w:rFonts w:ascii="Arial" w:hAnsi="Arial" w:cs="Arial"/>
          <w:sz w:val="20"/>
          <w:szCs w:val="20"/>
        </w:rPr>
        <w:t xml:space="preserve"> Ostatné odvetvia sa pohybovali medzi týmito extrémnymi hodnotami, a to na úrovni medzi 0,4 až 0,6.</w:t>
      </w:r>
    </w:p>
    <w:p w:rsidR="00E61035" w:rsidRPr="000F2079" w:rsidRDefault="00BE40AB" w:rsidP="00E61035">
      <w:pPr>
        <w:ind w:firstLine="360"/>
        <w:jc w:val="both"/>
        <w:rPr>
          <w:rFonts w:ascii="Arial" w:hAnsi="Arial" w:cs="Arial"/>
          <w:sz w:val="20"/>
          <w:szCs w:val="20"/>
        </w:rPr>
      </w:pPr>
      <w:r>
        <w:rPr>
          <w:rFonts w:ascii="Arial" w:hAnsi="Arial" w:cs="Arial"/>
          <w:noProof/>
          <w:sz w:val="20"/>
          <w:szCs w:val="20"/>
          <w:lang w:eastAsia="sk-SK"/>
        </w:rPr>
        <w:drawing>
          <wp:inline distT="0" distB="0" distL="0" distR="0">
            <wp:extent cx="5567045" cy="24638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7045" cy="2463800"/>
                    </a:xfrm>
                    <a:prstGeom prst="rect">
                      <a:avLst/>
                    </a:prstGeom>
                    <a:noFill/>
                  </pic:spPr>
                </pic:pic>
              </a:graphicData>
            </a:graphic>
          </wp:inline>
        </w:drawing>
      </w:r>
    </w:p>
    <w:p w:rsidR="00E61035" w:rsidRPr="000F2079" w:rsidRDefault="00E61035" w:rsidP="00E61035">
      <w:pPr>
        <w:ind w:firstLine="360"/>
        <w:jc w:val="center"/>
        <w:rPr>
          <w:rFonts w:ascii="Arial" w:hAnsi="Arial" w:cs="Arial"/>
          <w:sz w:val="20"/>
          <w:szCs w:val="20"/>
        </w:rPr>
      </w:pPr>
      <w:r w:rsidRPr="000F2079">
        <w:rPr>
          <w:rFonts w:ascii="Arial" w:hAnsi="Arial" w:cs="Arial"/>
          <w:sz w:val="20"/>
          <w:szCs w:val="20"/>
        </w:rPr>
        <w:t>Graf č. 4: Kaitzov index v jednotlivých regiónoch Slovenska (zdroj: statistics.sk)</w:t>
      </w:r>
    </w:p>
    <w:p w:rsidR="00E61035" w:rsidRPr="00A74D63" w:rsidRDefault="00E61035" w:rsidP="00E61035">
      <w:pPr>
        <w:jc w:val="both"/>
        <w:rPr>
          <w:rFonts w:ascii="Arial" w:hAnsi="Arial" w:cs="Arial"/>
          <w:b/>
          <w:sz w:val="20"/>
          <w:szCs w:val="20"/>
        </w:rPr>
      </w:pPr>
      <w:r w:rsidRPr="000F2079">
        <w:rPr>
          <w:rFonts w:ascii="Arial" w:hAnsi="Arial" w:cs="Arial"/>
          <w:sz w:val="20"/>
          <w:szCs w:val="20"/>
        </w:rPr>
        <w:t xml:space="preserve">Na základe vyššie uvedeného teda môžeme predpokladať, </w:t>
      </w:r>
      <w:r w:rsidRPr="00A74D63">
        <w:rPr>
          <w:rFonts w:ascii="Arial" w:hAnsi="Arial" w:cs="Arial"/>
          <w:b/>
          <w:sz w:val="20"/>
          <w:szCs w:val="20"/>
        </w:rPr>
        <w:t>že zvyšovanie minimálnej mzdy bude mať značne odlišný efekt naprieč regiónmi a odvetviami</w:t>
      </w:r>
      <w:r w:rsidRPr="000F2079">
        <w:rPr>
          <w:rFonts w:ascii="Arial" w:hAnsi="Arial" w:cs="Arial"/>
          <w:sz w:val="20"/>
          <w:szCs w:val="20"/>
        </w:rPr>
        <w:t xml:space="preserve">. I keď vyvodzovanie akéhokoľvek kauzálneho vzťahu medzi výškou minimálnej mzdy a evidovanou mierou nezamestnanosti je mimo </w:t>
      </w:r>
      <w:r w:rsidRPr="000F2079">
        <w:rPr>
          <w:rFonts w:ascii="Arial" w:hAnsi="Arial" w:cs="Arial"/>
          <w:sz w:val="20"/>
          <w:szCs w:val="20"/>
        </w:rPr>
        <w:lastRenderedPageBreak/>
        <w:t xml:space="preserve">záber tohto materiálu, môžeme hypotetizovať, že </w:t>
      </w:r>
      <w:r w:rsidRPr="00A74D63">
        <w:rPr>
          <w:rFonts w:ascii="Arial" w:hAnsi="Arial" w:cs="Arial"/>
          <w:b/>
          <w:sz w:val="20"/>
          <w:szCs w:val="20"/>
        </w:rPr>
        <w:t xml:space="preserve">ďalšie výraznejšie zvyšovanie minimálnej mzdy môže mať negatívny vplyv na zamestnanosť najmä v regiónoch s vysokou nezamestnanosťou a nízkym kvalifikačným profilom uchádzačov o zamestnanie, ako aj v odvetviach s nízkou pridanou hodnotou. </w:t>
      </w:r>
    </w:p>
    <w:p w:rsidR="00E61035" w:rsidRPr="000F2079" w:rsidRDefault="00E61035" w:rsidP="00A74D63">
      <w:pPr>
        <w:ind w:firstLine="708"/>
        <w:jc w:val="both"/>
        <w:rPr>
          <w:rFonts w:ascii="Arial" w:hAnsi="Arial" w:cs="Arial"/>
          <w:sz w:val="20"/>
          <w:szCs w:val="20"/>
        </w:rPr>
      </w:pPr>
      <w:r w:rsidRPr="000F2079">
        <w:rPr>
          <w:rFonts w:ascii="Arial" w:hAnsi="Arial" w:cs="Arial"/>
          <w:sz w:val="20"/>
          <w:szCs w:val="20"/>
        </w:rPr>
        <w:t xml:space="preserve">V predchádzajúcich častiach sme sa pozreli na vplyvy minimálnej mzdy tak na celé podnikateľské prostredie, ako aj na konkrétny podnik. Zároveň sme sa pozreli na jej reálny vývoj v čase, porovnali tento vývoj s mechanizmom minimálneho zvyšovania stanoveného v zákone o minimálnej mzde, a nakoniec sme sa skúmali aj pomer minimálnej a priemernej mzdy naprieč regiónmi a odvetviami. </w:t>
      </w:r>
      <w:r w:rsidRPr="00A74D63">
        <w:rPr>
          <w:rFonts w:ascii="Arial" w:hAnsi="Arial" w:cs="Arial"/>
          <w:b/>
          <w:sz w:val="20"/>
          <w:szCs w:val="20"/>
        </w:rPr>
        <w:t>Ako je na tom ale Slovensko v kontexte medzinárodného porovnania?</w:t>
      </w:r>
      <w:r w:rsidRPr="000F2079">
        <w:rPr>
          <w:rFonts w:ascii="Arial" w:hAnsi="Arial" w:cs="Arial"/>
          <w:sz w:val="20"/>
          <w:szCs w:val="20"/>
        </w:rPr>
        <w:t xml:space="preserve"> Je na Slovensku minimálna mzda nepomerne vysoká v porovnaní s krajinami s podobným ekonomickým výkonom, najmä v porovnaní s ostatnými krajinami Vyšehradskej štvorky (V4)? </w:t>
      </w:r>
    </w:p>
    <w:p w:rsidR="006F0AC2" w:rsidRDefault="00E61035" w:rsidP="00E61035">
      <w:pPr>
        <w:jc w:val="both"/>
        <w:rPr>
          <w:rFonts w:ascii="Arial" w:hAnsi="Arial" w:cs="Arial"/>
          <w:sz w:val="20"/>
          <w:szCs w:val="20"/>
        </w:rPr>
      </w:pPr>
      <w:r w:rsidRPr="000F2079">
        <w:rPr>
          <w:rFonts w:ascii="Arial" w:hAnsi="Arial" w:cs="Arial"/>
          <w:sz w:val="20"/>
          <w:szCs w:val="20"/>
        </w:rPr>
        <w:t xml:space="preserve">Graf č. 5 poskytuje pohľad na </w:t>
      </w:r>
      <w:r w:rsidRPr="00A74D63">
        <w:rPr>
          <w:rFonts w:ascii="Arial" w:hAnsi="Arial" w:cs="Arial"/>
          <w:b/>
          <w:sz w:val="20"/>
          <w:szCs w:val="20"/>
        </w:rPr>
        <w:t>vývoj ročnej minimálnej mzdy v tzv. parite kúpnej sily, v krajinách V4.</w:t>
      </w:r>
      <w:r w:rsidRPr="000F2079">
        <w:rPr>
          <w:rFonts w:ascii="Arial" w:hAnsi="Arial" w:cs="Arial"/>
          <w:sz w:val="20"/>
          <w:szCs w:val="20"/>
        </w:rPr>
        <w:t xml:space="preserve"> Dáta pochádzajú z databanky OECD, pričom údaje o ročnej nominálnej mzde boli najprv premenené do reálneho vyjadrenia s pomocou indexu spotrebiteľských cien (rok 2015 ako báza), a následne boli tieto údaje o reálnej minimálnej mzde premenené do spoločnej meny (amerického dolára) s pomocou metódy parity kúpnej sily (t.j. porovnaním celkovej ceny rovnakého spotrebiteľského koša naprieč porovnávanými krajinami). </w:t>
      </w:r>
    </w:p>
    <w:p w:rsidR="00E61035" w:rsidRPr="000F2079" w:rsidRDefault="00E61035" w:rsidP="00721F5A">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0F2079">
        <w:rPr>
          <w:rFonts w:ascii="Arial" w:hAnsi="Arial" w:cs="Arial"/>
          <w:sz w:val="20"/>
          <w:szCs w:val="20"/>
        </w:rPr>
        <w:t xml:space="preserve">Z grafu je zrejmé, </w:t>
      </w:r>
      <w:r w:rsidRPr="00A74D63">
        <w:rPr>
          <w:rFonts w:ascii="Arial" w:hAnsi="Arial" w:cs="Arial"/>
          <w:b/>
          <w:sz w:val="20"/>
          <w:szCs w:val="20"/>
        </w:rPr>
        <w:t>že minimálna mzda na Slovensku je v rámci krajín V4 druhá najnižšia</w:t>
      </w:r>
      <w:r w:rsidRPr="000F2079">
        <w:rPr>
          <w:rFonts w:ascii="Arial" w:hAnsi="Arial" w:cs="Arial"/>
          <w:sz w:val="20"/>
          <w:szCs w:val="20"/>
        </w:rPr>
        <w:t xml:space="preserve"> a predstavovala pri prepočte na americký dolár pomocou parity kúpnej sily $ 8 980 v roku 2016. Paradoxne najnižšia reálna minimálna mzda v parite kúpnej sily platí v najvýkonnejšej ekonomike regiónu – v Českej republike, kde predstavovala roku 2016 sumu $ 8 399,1. Jednoznačným víťazom v tejto kategórii je Poľsko, kde sa reálna minimálna mzda v parite kúpnej sily pohybovala v roku 2016 až na úrovni $ 11 977,5. Maďarsko sa nachádza tesne nad Slovenskom, pričom ročná minimálna mzda v parite kúpnej sily predstavovala v roku 2016 $ 9 155,1.</w:t>
      </w:r>
    </w:p>
    <w:p w:rsidR="00E61035" w:rsidRPr="000F2079" w:rsidRDefault="00BE40AB" w:rsidP="00E61035">
      <w:pPr>
        <w:ind w:firstLine="360"/>
        <w:jc w:val="both"/>
        <w:rPr>
          <w:rFonts w:ascii="Arial" w:hAnsi="Arial" w:cs="Arial"/>
          <w:sz w:val="20"/>
          <w:szCs w:val="20"/>
        </w:rPr>
      </w:pPr>
      <w:r>
        <w:rPr>
          <w:rFonts w:ascii="Arial" w:hAnsi="Arial" w:cs="Arial"/>
          <w:noProof/>
          <w:sz w:val="20"/>
          <w:szCs w:val="20"/>
          <w:lang w:eastAsia="sk-SK"/>
        </w:rPr>
        <w:drawing>
          <wp:inline distT="0" distB="0" distL="0" distR="0">
            <wp:extent cx="5279390" cy="261302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9390" cy="2613025"/>
                    </a:xfrm>
                    <a:prstGeom prst="rect">
                      <a:avLst/>
                    </a:prstGeom>
                    <a:noFill/>
                  </pic:spPr>
                </pic:pic>
              </a:graphicData>
            </a:graphic>
          </wp:inline>
        </w:drawing>
      </w:r>
    </w:p>
    <w:p w:rsidR="00E61035" w:rsidRDefault="00E61035" w:rsidP="00E61035">
      <w:pPr>
        <w:ind w:firstLine="360"/>
        <w:jc w:val="center"/>
        <w:rPr>
          <w:rFonts w:ascii="Arial" w:hAnsi="Arial" w:cs="Arial"/>
          <w:sz w:val="20"/>
          <w:szCs w:val="20"/>
        </w:rPr>
      </w:pPr>
      <w:r w:rsidRPr="000F2079">
        <w:rPr>
          <w:rFonts w:ascii="Arial" w:hAnsi="Arial" w:cs="Arial"/>
          <w:sz w:val="20"/>
          <w:szCs w:val="20"/>
        </w:rPr>
        <w:t>Graf č. 5: Ročná minimálna mzda v parite kúpnej sily v krajinách V4 (zdroj: stats.oecd.org)</w:t>
      </w:r>
    </w:p>
    <w:p w:rsidR="001C1F3F" w:rsidRDefault="001C1F3F" w:rsidP="001C1F3F">
      <w:pPr>
        <w:jc w:val="both"/>
        <w:rPr>
          <w:rFonts w:ascii="Arial" w:hAnsi="Arial" w:cs="Arial"/>
          <w:sz w:val="20"/>
          <w:szCs w:val="20"/>
        </w:rPr>
      </w:pPr>
      <w:r>
        <w:rPr>
          <w:rFonts w:ascii="Arial" w:hAnsi="Arial" w:cs="Arial"/>
          <w:sz w:val="20"/>
          <w:szCs w:val="20"/>
        </w:rPr>
        <w:t xml:space="preserve">Zaujímavou štatistikou pre účely medzinárodného porovnania je taktiež variácia na už vyššie spomenutý Kaitzov index, konkrétne </w:t>
      </w:r>
      <w:r w:rsidRPr="001C1F3F">
        <w:rPr>
          <w:rFonts w:ascii="Arial" w:hAnsi="Arial" w:cs="Arial"/>
          <w:b/>
          <w:sz w:val="20"/>
          <w:szCs w:val="20"/>
        </w:rPr>
        <w:t>pomer minimálnej mesačnej mzdy a mediánovej mesačnej mzdy</w:t>
      </w:r>
      <w:r>
        <w:rPr>
          <w:rFonts w:ascii="Arial" w:hAnsi="Arial" w:cs="Arial"/>
          <w:sz w:val="20"/>
          <w:szCs w:val="20"/>
        </w:rPr>
        <w:t xml:space="preserve"> (t.j. strednej hodnoty príjmovej distribúcie). Výhodou mediánovej hodnoty príjmu je, že na rozdiel od priemernej hodnoty nie je ovplyvnená extrémnymi hodnotami, t.j. nie je ovplyvnená príjmovou nerovnosťou, ktorá môže byť nezanedbateľná naprieč porovnávanými krajinami. Graf č. 6 zobrazuje tento pomer medzi minimálnou a mediánovou mzdou v krajinách V4. Ako tomu bolo aj v prípade ročnej minimálnej mzdy vyjadrenej v parite kúpnej sily, prvenstvo v tomto ukazovateli patrí Poľsku, kde pomer minimálnej a mediánovej mzdy predstavoval až 54%, pričom na chvoste sa opäť </w:t>
      </w:r>
      <w:r>
        <w:rPr>
          <w:rFonts w:ascii="Arial" w:hAnsi="Arial" w:cs="Arial"/>
          <w:sz w:val="20"/>
          <w:szCs w:val="20"/>
        </w:rPr>
        <w:lastRenderedPageBreak/>
        <w:t xml:space="preserve">nachádza Česká republika, kde tento pomer predstavoval len 40%. Slovensko je s pomerom 48% na treťom mieste spomedzi krajín V4. </w:t>
      </w:r>
    </w:p>
    <w:p w:rsidR="001C1F3F" w:rsidRDefault="00BE40AB" w:rsidP="001C1F3F">
      <w:pPr>
        <w:jc w:val="both"/>
        <w:rPr>
          <w:rFonts w:ascii="Arial" w:hAnsi="Arial" w:cs="Arial"/>
          <w:sz w:val="20"/>
          <w:szCs w:val="20"/>
        </w:rPr>
      </w:pPr>
      <w:r>
        <w:rPr>
          <w:rFonts w:ascii="Arial" w:hAnsi="Arial" w:cs="Arial"/>
          <w:noProof/>
          <w:sz w:val="20"/>
          <w:szCs w:val="20"/>
          <w:lang w:eastAsia="sk-SK"/>
        </w:rPr>
        <w:drawing>
          <wp:inline distT="0" distB="0" distL="0" distR="0">
            <wp:extent cx="5195570" cy="2527300"/>
            <wp:effectExtent l="0" t="0" r="5080" b="635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5570" cy="2527300"/>
                    </a:xfrm>
                    <a:prstGeom prst="rect">
                      <a:avLst/>
                    </a:prstGeom>
                    <a:noFill/>
                  </pic:spPr>
                </pic:pic>
              </a:graphicData>
            </a:graphic>
          </wp:inline>
        </w:drawing>
      </w:r>
    </w:p>
    <w:p w:rsidR="001C1F3F" w:rsidRPr="000F2079" w:rsidRDefault="001C1F3F" w:rsidP="001C1F3F">
      <w:pPr>
        <w:jc w:val="center"/>
        <w:rPr>
          <w:rFonts w:ascii="Arial" w:hAnsi="Arial" w:cs="Arial"/>
          <w:sz w:val="20"/>
          <w:szCs w:val="20"/>
        </w:rPr>
      </w:pPr>
      <w:r>
        <w:rPr>
          <w:rFonts w:ascii="Arial" w:hAnsi="Arial" w:cs="Arial"/>
          <w:sz w:val="20"/>
          <w:szCs w:val="20"/>
        </w:rPr>
        <w:t>Graf č.6: Pomer minimálnej a mediánovej mzdy v krajinách V4</w:t>
      </w:r>
    </w:p>
    <w:p w:rsidR="00DA205D" w:rsidRPr="000F2079" w:rsidRDefault="00E61035" w:rsidP="00A74D63">
      <w:pPr>
        <w:jc w:val="both"/>
        <w:rPr>
          <w:rFonts w:ascii="Arial" w:hAnsi="Arial" w:cs="Arial"/>
          <w:sz w:val="20"/>
          <w:szCs w:val="20"/>
          <w:highlight w:val="cyan"/>
        </w:rPr>
      </w:pPr>
      <w:r w:rsidRPr="000F2079">
        <w:rPr>
          <w:rFonts w:ascii="Arial" w:hAnsi="Arial" w:cs="Arial"/>
          <w:sz w:val="20"/>
          <w:szCs w:val="20"/>
        </w:rPr>
        <w:t xml:space="preserve">Z medzinárodného porovnania teda vyplýva, že </w:t>
      </w:r>
      <w:r w:rsidRPr="00A74D63">
        <w:rPr>
          <w:rFonts w:ascii="Arial" w:hAnsi="Arial" w:cs="Arial"/>
          <w:b/>
          <w:sz w:val="20"/>
          <w:szCs w:val="20"/>
        </w:rPr>
        <w:t>minimálna mzda na Slovensku nie je v porovnaní s ostatnými krajinami V4 neprimerane vysoká, či nízka.</w:t>
      </w:r>
      <w:r w:rsidRPr="000F2079">
        <w:rPr>
          <w:rFonts w:ascii="Arial" w:hAnsi="Arial" w:cs="Arial"/>
          <w:sz w:val="20"/>
          <w:szCs w:val="20"/>
        </w:rPr>
        <w:t xml:space="preserve"> Vzhľadom na ďalšie ukazovatele, ako napr. pomer minimálnej mzdy a priemernej mzdy v rozličných regiónoch a odvetviach, by však bolo nerozumné snažiť sa v tomto ukazovateli vyrovnať napr. našim poľským susedom. Snaha o dosiahnutie reálnej minimálnej mzdy na úrovni nášho poľského suseda by mohla mať nežiadúce následky na zamestnanosť, a to najmä v chudobnejších regiónoch a v sektoroch s nízkou pridanou</w:t>
      </w:r>
      <w:r w:rsidR="00986815">
        <w:rPr>
          <w:rFonts w:ascii="Arial" w:hAnsi="Arial" w:cs="Arial"/>
          <w:sz w:val="20"/>
          <w:szCs w:val="20"/>
        </w:rPr>
        <w:t xml:space="preserve"> hodnotou.</w:t>
      </w:r>
    </w:p>
    <w:p w:rsidR="00820523" w:rsidRPr="000F2079" w:rsidRDefault="00820523" w:rsidP="00FC7D11">
      <w:pPr>
        <w:widowControl/>
        <w:spacing w:after="0"/>
        <w:outlineLvl w:val="0"/>
        <w:rPr>
          <w:rFonts w:ascii="Arial" w:hAnsi="Arial" w:cs="Arial"/>
          <w:b/>
          <w:color w:val="000000"/>
          <w:sz w:val="20"/>
          <w:szCs w:val="20"/>
          <w:highlight w:val="cyan"/>
        </w:rPr>
      </w:pPr>
    </w:p>
    <w:p w:rsidR="001C5EA7" w:rsidRPr="000F2079" w:rsidRDefault="001C5EA7" w:rsidP="00FC7D11">
      <w:pPr>
        <w:pStyle w:val="Odsekzoznamu"/>
        <w:widowControl/>
        <w:spacing w:after="0"/>
        <w:ind w:left="-142" w:firstLine="142"/>
        <w:jc w:val="both"/>
        <w:outlineLvl w:val="0"/>
        <w:rPr>
          <w:rFonts w:ascii="Arial" w:hAnsi="Arial" w:cs="Arial"/>
          <w:color w:val="000000"/>
          <w:sz w:val="20"/>
          <w:szCs w:val="20"/>
          <w:u w:val="single"/>
        </w:rPr>
      </w:pPr>
      <w:r w:rsidRPr="000F2079">
        <w:rPr>
          <w:rFonts w:ascii="Arial" w:hAnsi="Arial" w:cs="Arial"/>
          <w:color w:val="000000"/>
          <w:sz w:val="20"/>
          <w:szCs w:val="20"/>
          <w:u w:val="single"/>
        </w:rPr>
        <w:t>Finančné prínosy</w:t>
      </w:r>
    </w:p>
    <w:p w:rsidR="001C5EA7" w:rsidRPr="000F2079" w:rsidRDefault="001C5EA7" w:rsidP="002F1D44">
      <w:pPr>
        <w:pStyle w:val="Odsekzoznamu"/>
        <w:widowControl/>
        <w:spacing w:after="0"/>
        <w:ind w:left="0"/>
        <w:jc w:val="both"/>
        <w:outlineLvl w:val="0"/>
        <w:rPr>
          <w:rFonts w:ascii="Arial" w:hAnsi="Arial" w:cs="Arial"/>
          <w:color w:val="000000"/>
          <w:sz w:val="20"/>
          <w:szCs w:val="20"/>
          <w:u w:val="single"/>
        </w:rPr>
      </w:pPr>
    </w:p>
    <w:p w:rsidR="00406301" w:rsidRPr="000F2079" w:rsidRDefault="00F07BD7" w:rsidP="00FC7D11">
      <w:pPr>
        <w:pStyle w:val="Odsekzoznamu"/>
        <w:widowControl/>
        <w:spacing w:after="0"/>
        <w:ind w:left="-142" w:firstLine="850"/>
        <w:jc w:val="both"/>
        <w:outlineLvl w:val="0"/>
        <w:rPr>
          <w:rFonts w:ascii="Arial" w:hAnsi="Arial" w:cs="Arial"/>
          <w:i/>
          <w:color w:val="000000"/>
          <w:sz w:val="20"/>
          <w:szCs w:val="20"/>
        </w:rPr>
      </w:pPr>
      <w:r w:rsidRPr="000F2079">
        <w:rPr>
          <w:rFonts w:ascii="Arial" w:hAnsi="Arial" w:cs="Arial"/>
          <w:i/>
          <w:color w:val="000000"/>
          <w:sz w:val="20"/>
          <w:szCs w:val="20"/>
        </w:rPr>
        <w:t>Identifikácia finančných prínosov, ktoré posudzovaná regulácia môže mať na MSP.</w:t>
      </w:r>
    </w:p>
    <w:p w:rsidR="00277E80" w:rsidRPr="000F2079" w:rsidRDefault="00277E80" w:rsidP="00FC7D11">
      <w:pPr>
        <w:pStyle w:val="Odsekzoznamu"/>
        <w:widowControl/>
        <w:spacing w:after="0"/>
        <w:ind w:left="-142" w:firstLine="850"/>
        <w:jc w:val="both"/>
        <w:outlineLvl w:val="0"/>
        <w:rPr>
          <w:rFonts w:ascii="Arial" w:hAnsi="Arial" w:cs="Arial"/>
          <w:color w:val="000000"/>
          <w:sz w:val="20"/>
          <w:szCs w:val="20"/>
        </w:rPr>
      </w:pPr>
    </w:p>
    <w:p w:rsidR="000F6F75" w:rsidRPr="000F2079" w:rsidRDefault="00277E80" w:rsidP="000F6F75">
      <w:pPr>
        <w:pStyle w:val="Odsekzoznamu"/>
        <w:widowControl/>
        <w:spacing w:after="0"/>
        <w:ind w:left="-142" w:firstLine="850"/>
        <w:jc w:val="both"/>
        <w:outlineLvl w:val="0"/>
        <w:rPr>
          <w:rFonts w:ascii="Arial" w:hAnsi="Arial" w:cs="Arial"/>
          <w:b/>
          <w:color w:val="000000"/>
          <w:sz w:val="20"/>
          <w:szCs w:val="20"/>
        </w:rPr>
      </w:pPr>
      <w:r w:rsidRPr="000F2079">
        <w:rPr>
          <w:rFonts w:ascii="Arial" w:hAnsi="Arial" w:cs="Arial"/>
          <w:color w:val="000000"/>
          <w:sz w:val="20"/>
          <w:szCs w:val="20"/>
        </w:rPr>
        <w:t>Žiadne.</w:t>
      </w:r>
      <w:r w:rsidR="000F6F75" w:rsidRPr="000F2079">
        <w:rPr>
          <w:rFonts w:ascii="Arial" w:hAnsi="Arial" w:cs="Arial"/>
          <w:color w:val="000000"/>
          <w:sz w:val="20"/>
          <w:szCs w:val="20"/>
        </w:rPr>
        <w:t xml:space="preserve"> Centrum lepšej regulácie z hľadiska vplyvu na podnikateľské prostredie predpokladá </w:t>
      </w:r>
      <w:r w:rsidR="000F6F75" w:rsidRPr="000F2079">
        <w:rPr>
          <w:rFonts w:ascii="Arial" w:hAnsi="Arial" w:cs="Arial"/>
          <w:b/>
          <w:color w:val="000000"/>
          <w:sz w:val="20"/>
          <w:szCs w:val="20"/>
        </w:rPr>
        <w:t>finanční náklady z dôvodu zvýšenia mzdových nákladov zamestnávateľov</w:t>
      </w:r>
      <w:r w:rsidR="000F6F75" w:rsidRPr="000F2079">
        <w:rPr>
          <w:rFonts w:ascii="Arial" w:hAnsi="Arial" w:cs="Arial"/>
          <w:color w:val="000000"/>
          <w:sz w:val="20"/>
          <w:szCs w:val="20"/>
        </w:rPr>
        <w:t xml:space="preserve">. </w:t>
      </w:r>
    </w:p>
    <w:p w:rsidR="00F07BD7" w:rsidRPr="000F2079" w:rsidRDefault="00F07BD7" w:rsidP="002F1D44">
      <w:pPr>
        <w:pStyle w:val="Odsekzoznamu"/>
        <w:widowControl/>
        <w:spacing w:after="0"/>
        <w:ind w:left="0"/>
        <w:jc w:val="both"/>
        <w:outlineLvl w:val="0"/>
        <w:rPr>
          <w:rFonts w:ascii="Arial" w:hAnsi="Arial" w:cs="Arial"/>
          <w:color w:val="000000"/>
          <w:sz w:val="20"/>
          <w:szCs w:val="20"/>
          <w:highlight w:val="cyan"/>
          <w:u w:val="single"/>
        </w:rPr>
      </w:pPr>
    </w:p>
    <w:p w:rsidR="00406301" w:rsidRPr="000F2079" w:rsidRDefault="00406301" w:rsidP="00FC7D11">
      <w:pPr>
        <w:pStyle w:val="Odsekzoznamu"/>
        <w:widowControl/>
        <w:spacing w:after="0"/>
        <w:ind w:left="-142" w:firstLine="142"/>
        <w:jc w:val="both"/>
        <w:outlineLvl w:val="0"/>
        <w:rPr>
          <w:rFonts w:ascii="Arial" w:hAnsi="Arial" w:cs="Arial"/>
          <w:color w:val="000000"/>
          <w:sz w:val="20"/>
          <w:szCs w:val="20"/>
          <w:highlight w:val="cyan"/>
          <w:u w:val="single"/>
        </w:rPr>
      </w:pPr>
    </w:p>
    <w:p w:rsidR="00742831" w:rsidRPr="000F2079" w:rsidRDefault="001C5EA7" w:rsidP="00FC7D11">
      <w:pPr>
        <w:pStyle w:val="Odsekzoznamu"/>
        <w:widowControl/>
        <w:spacing w:after="0"/>
        <w:ind w:left="-142" w:firstLine="142"/>
        <w:jc w:val="both"/>
        <w:outlineLvl w:val="0"/>
        <w:rPr>
          <w:rFonts w:ascii="Arial" w:hAnsi="Arial" w:cs="Arial"/>
          <w:color w:val="000000"/>
          <w:sz w:val="20"/>
          <w:szCs w:val="20"/>
          <w:u w:val="single"/>
        </w:rPr>
      </w:pPr>
      <w:r w:rsidRPr="000F2079">
        <w:rPr>
          <w:rFonts w:ascii="Arial" w:hAnsi="Arial" w:cs="Arial"/>
          <w:color w:val="000000"/>
          <w:sz w:val="20"/>
          <w:szCs w:val="20"/>
          <w:u w:val="single"/>
        </w:rPr>
        <w:t>Spoločenské prínosy</w:t>
      </w:r>
    </w:p>
    <w:p w:rsidR="00F07BD7" w:rsidRPr="000F2079" w:rsidRDefault="00F07BD7" w:rsidP="002F1D44">
      <w:pPr>
        <w:pStyle w:val="Odsekzoznamu"/>
        <w:widowControl/>
        <w:spacing w:after="0"/>
        <w:ind w:left="0"/>
        <w:jc w:val="both"/>
        <w:outlineLvl w:val="0"/>
        <w:rPr>
          <w:rFonts w:ascii="Arial" w:hAnsi="Arial" w:cs="Arial"/>
          <w:color w:val="000000"/>
          <w:sz w:val="20"/>
          <w:szCs w:val="20"/>
          <w:u w:val="single"/>
        </w:rPr>
      </w:pPr>
    </w:p>
    <w:p w:rsidR="00F07BD7" w:rsidRPr="000F2079" w:rsidRDefault="00F07BD7" w:rsidP="00FC7D11">
      <w:pPr>
        <w:pStyle w:val="Odsekzoznamu"/>
        <w:widowControl/>
        <w:spacing w:after="0"/>
        <w:ind w:left="-142" w:firstLine="850"/>
        <w:jc w:val="both"/>
        <w:outlineLvl w:val="0"/>
        <w:rPr>
          <w:rFonts w:ascii="Arial" w:hAnsi="Arial" w:cs="Arial"/>
          <w:i/>
          <w:color w:val="000000"/>
          <w:sz w:val="20"/>
          <w:szCs w:val="20"/>
        </w:rPr>
      </w:pPr>
      <w:r w:rsidRPr="000F2079">
        <w:rPr>
          <w:rFonts w:ascii="Arial" w:hAnsi="Arial" w:cs="Arial"/>
          <w:i/>
          <w:color w:val="000000"/>
          <w:sz w:val="20"/>
          <w:szCs w:val="20"/>
        </w:rPr>
        <w:t>Identifikácia spoločenských prínosov, ktoré posudzovaná regulácia môže mať na MSP.</w:t>
      </w:r>
    </w:p>
    <w:p w:rsidR="00277E80" w:rsidRPr="000F2079" w:rsidRDefault="00277E80" w:rsidP="00FC7D11">
      <w:pPr>
        <w:pStyle w:val="Odsekzoznamu"/>
        <w:widowControl/>
        <w:spacing w:after="0"/>
        <w:ind w:left="-142" w:firstLine="850"/>
        <w:jc w:val="both"/>
        <w:outlineLvl w:val="0"/>
        <w:rPr>
          <w:rFonts w:ascii="Arial" w:hAnsi="Arial" w:cs="Arial"/>
          <w:color w:val="000000"/>
          <w:sz w:val="20"/>
          <w:szCs w:val="20"/>
        </w:rPr>
      </w:pPr>
    </w:p>
    <w:p w:rsidR="00742831" w:rsidRPr="00787D4D" w:rsidRDefault="009128CD" w:rsidP="00B50725">
      <w:pPr>
        <w:pStyle w:val="Odsekzoznamu"/>
        <w:widowControl/>
        <w:spacing w:after="0"/>
        <w:ind w:left="-142" w:firstLine="850"/>
        <w:jc w:val="both"/>
        <w:outlineLvl w:val="0"/>
        <w:rPr>
          <w:rFonts w:ascii="Arial" w:hAnsi="Arial" w:cs="Arial"/>
          <w:b/>
          <w:sz w:val="20"/>
          <w:szCs w:val="20"/>
        </w:rPr>
      </w:pPr>
      <w:r w:rsidRPr="000F2079">
        <w:rPr>
          <w:rFonts w:ascii="Arial" w:hAnsi="Arial" w:cs="Arial"/>
          <w:color w:val="000000"/>
          <w:sz w:val="20"/>
          <w:szCs w:val="20"/>
        </w:rPr>
        <w:t>Centrum lepšej regulácie</w:t>
      </w:r>
      <w:r w:rsidR="00E8078F" w:rsidRPr="000F2079">
        <w:rPr>
          <w:rFonts w:ascii="Arial" w:hAnsi="Arial" w:cs="Arial"/>
          <w:color w:val="000000"/>
          <w:sz w:val="20"/>
          <w:szCs w:val="20"/>
        </w:rPr>
        <w:t xml:space="preserve"> z hľadiska vplyvu na podnikateľské prostredie </w:t>
      </w:r>
      <w:r w:rsidRPr="000F2079">
        <w:rPr>
          <w:rFonts w:ascii="Arial" w:hAnsi="Arial" w:cs="Arial"/>
          <w:color w:val="000000"/>
          <w:sz w:val="20"/>
          <w:szCs w:val="20"/>
        </w:rPr>
        <w:t>predpokladá</w:t>
      </w:r>
      <w:r w:rsidR="00E8078F" w:rsidRPr="000F2079">
        <w:rPr>
          <w:rFonts w:ascii="Arial" w:hAnsi="Arial" w:cs="Arial"/>
          <w:color w:val="000000"/>
          <w:sz w:val="20"/>
          <w:szCs w:val="20"/>
        </w:rPr>
        <w:t xml:space="preserve"> </w:t>
      </w:r>
      <w:r w:rsidR="00E8078F" w:rsidRPr="000F2079">
        <w:rPr>
          <w:rFonts w:ascii="Arial" w:hAnsi="Arial" w:cs="Arial"/>
          <w:b/>
          <w:color w:val="000000"/>
          <w:sz w:val="20"/>
          <w:szCs w:val="20"/>
        </w:rPr>
        <w:t>negatívny vplyv z dôvodu zvýšenia mzdových nákladov zamestnávateľov</w:t>
      </w:r>
      <w:r w:rsidR="00E8078F" w:rsidRPr="000F2079">
        <w:rPr>
          <w:rFonts w:ascii="Arial" w:hAnsi="Arial" w:cs="Arial"/>
          <w:color w:val="000000"/>
          <w:sz w:val="20"/>
          <w:szCs w:val="20"/>
        </w:rPr>
        <w:t xml:space="preserve">. </w:t>
      </w:r>
      <w:r w:rsidR="007F7B99" w:rsidRPr="00787D4D">
        <w:rPr>
          <w:rFonts w:ascii="Arial" w:hAnsi="Arial" w:cs="Arial"/>
          <w:sz w:val="20"/>
          <w:szCs w:val="20"/>
        </w:rPr>
        <w:t xml:space="preserve">Zároveň však zvýšený príjem, ktorý zamestnanci dostanú na základe legislatívnej úpravy sumy minimálnej mzdy, môžu v prevažnej miere </w:t>
      </w:r>
      <w:r w:rsidR="007F7B99" w:rsidRPr="00787D4D">
        <w:rPr>
          <w:rFonts w:ascii="Arial" w:hAnsi="Arial" w:cs="Arial"/>
          <w:b/>
          <w:sz w:val="20"/>
          <w:szCs w:val="20"/>
        </w:rPr>
        <w:t>použiť na nákup tovarov a služieb, čo môže viesť k nárastu maloobchodného predaja.</w:t>
      </w:r>
      <w:r w:rsidR="007F7B99" w:rsidRPr="00787D4D">
        <w:rPr>
          <w:rFonts w:ascii="Arial" w:hAnsi="Arial" w:cs="Arial"/>
          <w:sz w:val="20"/>
          <w:szCs w:val="20"/>
        </w:rPr>
        <w:t xml:space="preserve"> Zvýšenie mzdového ohodnotenia zamestnancov môže tiež prispieť k zníženiu fluktuácie zamestnancov, ktorá sa prejavuje z dôvodu zvýšeného dopytu po pracovnej sile v dôsledku dlhodobého poklesu nezamestnanosti a rastu zamestnanosti.</w:t>
      </w:r>
      <w:r w:rsidR="00A43BC8" w:rsidRPr="00787D4D">
        <w:rPr>
          <w:rFonts w:ascii="Arial" w:hAnsi="Arial" w:cs="Arial"/>
          <w:sz w:val="20"/>
          <w:szCs w:val="20"/>
        </w:rPr>
        <w:t xml:space="preserve"> Tieto skutočnosti možno považovať za </w:t>
      </w:r>
      <w:r w:rsidR="007F7B99" w:rsidRPr="00787D4D">
        <w:rPr>
          <w:rFonts w:ascii="Arial" w:hAnsi="Arial" w:cs="Arial"/>
          <w:b/>
          <w:sz w:val="20"/>
          <w:szCs w:val="20"/>
        </w:rPr>
        <w:t xml:space="preserve">pozitívne vplyvy na podnikateľské prostredie. </w:t>
      </w:r>
    </w:p>
    <w:p w:rsidR="00742831" w:rsidRPr="000F2079" w:rsidRDefault="00742831" w:rsidP="00FC7D11">
      <w:pPr>
        <w:pStyle w:val="Odsekzoznamu"/>
        <w:widowControl/>
        <w:spacing w:after="0"/>
        <w:ind w:left="-142" w:firstLine="142"/>
        <w:jc w:val="both"/>
        <w:outlineLvl w:val="0"/>
        <w:rPr>
          <w:rFonts w:ascii="Arial" w:hAnsi="Arial" w:cs="Arial"/>
          <w:color w:val="000000"/>
          <w:sz w:val="20"/>
          <w:szCs w:val="20"/>
          <w:u w:val="single"/>
        </w:rPr>
      </w:pPr>
    </w:p>
    <w:p w:rsidR="001C5EA7" w:rsidRPr="000F2079" w:rsidRDefault="001C5EA7" w:rsidP="00FC7D11">
      <w:pPr>
        <w:pStyle w:val="Odsekzoznamu"/>
        <w:widowControl/>
        <w:spacing w:after="0"/>
        <w:ind w:left="-142" w:firstLine="142"/>
        <w:jc w:val="both"/>
        <w:outlineLvl w:val="0"/>
        <w:rPr>
          <w:rFonts w:ascii="Arial" w:hAnsi="Arial" w:cs="Arial"/>
          <w:color w:val="000000"/>
          <w:sz w:val="20"/>
          <w:szCs w:val="20"/>
          <w:u w:val="single"/>
        </w:rPr>
      </w:pPr>
      <w:r w:rsidRPr="000F2079">
        <w:rPr>
          <w:rFonts w:ascii="Arial" w:hAnsi="Arial" w:cs="Arial"/>
          <w:color w:val="000000"/>
          <w:sz w:val="20"/>
          <w:szCs w:val="20"/>
          <w:u w:val="single"/>
        </w:rPr>
        <w:t>Iné prínosy</w:t>
      </w:r>
    </w:p>
    <w:p w:rsidR="00F07BD7" w:rsidRPr="000F2079" w:rsidRDefault="00F07BD7" w:rsidP="00FC7D11">
      <w:pPr>
        <w:pStyle w:val="Odsekzoznamu"/>
        <w:widowControl/>
        <w:spacing w:after="0"/>
        <w:ind w:left="-142" w:firstLine="142"/>
        <w:jc w:val="both"/>
        <w:outlineLvl w:val="0"/>
        <w:rPr>
          <w:rFonts w:ascii="Arial" w:hAnsi="Arial" w:cs="Arial"/>
          <w:color w:val="000000"/>
          <w:sz w:val="20"/>
          <w:szCs w:val="20"/>
        </w:rPr>
      </w:pPr>
    </w:p>
    <w:p w:rsidR="00F07BD7" w:rsidRPr="000F2079" w:rsidRDefault="00F07BD7" w:rsidP="00FC7D11">
      <w:pPr>
        <w:pStyle w:val="Odsekzoznamu"/>
        <w:widowControl/>
        <w:spacing w:after="0"/>
        <w:ind w:left="-142" w:firstLine="850"/>
        <w:jc w:val="both"/>
        <w:outlineLvl w:val="0"/>
        <w:rPr>
          <w:rFonts w:ascii="Arial" w:hAnsi="Arial" w:cs="Arial"/>
          <w:i/>
          <w:color w:val="000000"/>
          <w:sz w:val="20"/>
          <w:szCs w:val="20"/>
        </w:rPr>
      </w:pPr>
      <w:r w:rsidRPr="000F2079">
        <w:rPr>
          <w:rFonts w:ascii="Arial" w:hAnsi="Arial" w:cs="Arial"/>
          <w:i/>
          <w:color w:val="000000"/>
          <w:sz w:val="20"/>
          <w:szCs w:val="20"/>
        </w:rPr>
        <w:t>Identifikácia iných prínosov, ktoré posudzovaná regulácia môže mať na MSP.</w:t>
      </w:r>
    </w:p>
    <w:p w:rsidR="000A3B57" w:rsidRPr="000F2079" w:rsidRDefault="000A3B57" w:rsidP="00FC7D11">
      <w:pPr>
        <w:pStyle w:val="Odsekzoznamu"/>
        <w:widowControl/>
        <w:spacing w:after="0"/>
        <w:ind w:left="-142" w:firstLine="850"/>
        <w:jc w:val="both"/>
        <w:outlineLvl w:val="0"/>
        <w:rPr>
          <w:rFonts w:ascii="Arial" w:hAnsi="Arial" w:cs="Arial"/>
          <w:color w:val="000000"/>
          <w:sz w:val="20"/>
          <w:szCs w:val="20"/>
        </w:rPr>
      </w:pPr>
    </w:p>
    <w:p w:rsidR="0083624C" w:rsidRPr="000F2079" w:rsidRDefault="00E8078F" w:rsidP="00E45D87">
      <w:pPr>
        <w:pStyle w:val="Odsekzoznamu"/>
        <w:widowControl/>
        <w:spacing w:after="0"/>
        <w:ind w:left="-142" w:firstLine="850"/>
        <w:jc w:val="both"/>
        <w:outlineLvl w:val="0"/>
        <w:rPr>
          <w:rFonts w:ascii="Arial" w:hAnsi="Arial" w:cs="Arial"/>
          <w:b/>
          <w:color w:val="000000"/>
          <w:sz w:val="20"/>
          <w:szCs w:val="20"/>
        </w:rPr>
      </w:pPr>
      <w:r w:rsidRPr="002F1D44">
        <w:rPr>
          <w:rFonts w:ascii="Arial" w:hAnsi="Arial" w:cs="Arial"/>
          <w:color w:val="000000"/>
          <w:sz w:val="20"/>
          <w:szCs w:val="20"/>
        </w:rPr>
        <w:t>Centrum lepšej regulácie neidentifikovalo</w:t>
      </w:r>
      <w:r w:rsidRPr="000F2079">
        <w:rPr>
          <w:rFonts w:ascii="Arial" w:hAnsi="Arial" w:cs="Arial"/>
          <w:b/>
          <w:color w:val="000000"/>
          <w:sz w:val="20"/>
          <w:szCs w:val="20"/>
        </w:rPr>
        <w:t xml:space="preserve"> žiadne iné prínosy pre MSP.</w:t>
      </w:r>
    </w:p>
    <w:p w:rsidR="001754A9" w:rsidRPr="000F2079" w:rsidRDefault="001754A9" w:rsidP="00E45D87">
      <w:pPr>
        <w:pStyle w:val="Odsekzoznamu"/>
        <w:widowControl/>
        <w:spacing w:after="0"/>
        <w:ind w:left="-142" w:firstLine="850"/>
        <w:jc w:val="both"/>
        <w:outlineLvl w:val="0"/>
        <w:rPr>
          <w:rFonts w:ascii="Arial" w:hAnsi="Arial" w:cs="Arial"/>
          <w:color w:val="000000"/>
          <w:sz w:val="20"/>
          <w:szCs w:val="20"/>
          <w:highlight w:val="cyan"/>
        </w:rPr>
      </w:pPr>
    </w:p>
    <w:p w:rsidR="00B25754" w:rsidRPr="000F2079" w:rsidRDefault="00B25754" w:rsidP="00FC7D11">
      <w:pPr>
        <w:spacing w:after="0"/>
        <w:ind w:left="360"/>
        <w:rPr>
          <w:rFonts w:ascii="Arial" w:hAnsi="Arial" w:cs="Arial"/>
          <w:b/>
          <w:color w:val="000000"/>
          <w:sz w:val="20"/>
          <w:szCs w:val="20"/>
          <w:highlight w:val="cyan"/>
        </w:rPr>
      </w:pPr>
    </w:p>
    <w:p w:rsidR="00B25754" w:rsidRPr="000F2079" w:rsidRDefault="00B25754" w:rsidP="00BD34B9">
      <w:pPr>
        <w:pStyle w:val="Odsekzoznamu"/>
        <w:numPr>
          <w:ilvl w:val="0"/>
          <w:numId w:val="30"/>
        </w:numPr>
        <w:spacing w:after="0"/>
        <w:rPr>
          <w:rFonts w:ascii="Arial" w:hAnsi="Arial" w:cs="Arial"/>
          <w:b/>
          <w:color w:val="000000"/>
          <w:sz w:val="20"/>
          <w:szCs w:val="20"/>
        </w:rPr>
      </w:pPr>
      <w:r w:rsidRPr="000F2079">
        <w:rPr>
          <w:rFonts w:ascii="Arial" w:hAnsi="Arial" w:cs="Arial"/>
          <w:b/>
          <w:bCs/>
          <w:color w:val="000000"/>
          <w:sz w:val="20"/>
          <w:szCs w:val="20"/>
        </w:rPr>
        <w:t>Návrh alternatívnych možností</w:t>
      </w:r>
      <w:r w:rsidRPr="000F2079">
        <w:rPr>
          <w:rFonts w:ascii="Arial" w:hAnsi="Arial" w:cs="Arial"/>
          <w:b/>
          <w:sz w:val="20"/>
          <w:szCs w:val="20"/>
          <w:lang w:eastAsia="sk-SK"/>
        </w:rPr>
        <w:t xml:space="preserve"> </w:t>
      </w:r>
      <w:r w:rsidRPr="000F2079">
        <w:rPr>
          <w:rFonts w:ascii="Arial" w:hAnsi="Arial" w:cs="Arial"/>
          <w:b/>
          <w:bCs/>
          <w:color w:val="000000"/>
          <w:sz w:val="20"/>
          <w:szCs w:val="20"/>
        </w:rPr>
        <w:t>a zmierňujúcich opatrení</w:t>
      </w:r>
    </w:p>
    <w:p w:rsidR="00736CE7" w:rsidRPr="000F2079" w:rsidRDefault="00736CE7" w:rsidP="00FC7D11">
      <w:pPr>
        <w:pStyle w:val="Odsekzoznamu"/>
        <w:widowControl/>
        <w:spacing w:after="0"/>
        <w:outlineLvl w:val="0"/>
        <w:rPr>
          <w:rFonts w:ascii="Arial" w:hAnsi="Arial" w:cs="Arial"/>
          <w:b/>
          <w:bCs/>
          <w:color w:val="000000"/>
          <w:sz w:val="20"/>
          <w:szCs w:val="20"/>
          <w:u w:val="single"/>
        </w:rPr>
      </w:pPr>
    </w:p>
    <w:p w:rsidR="006D1ED6" w:rsidRPr="00787D4D" w:rsidRDefault="00392B9A" w:rsidP="002F1D44">
      <w:pPr>
        <w:pStyle w:val="Odsekzoznamu"/>
        <w:widowControl/>
        <w:spacing w:after="0"/>
        <w:ind w:left="0" w:firstLine="708"/>
        <w:jc w:val="both"/>
        <w:outlineLvl w:val="0"/>
        <w:rPr>
          <w:rFonts w:ascii="Arial" w:hAnsi="Arial" w:cs="Arial"/>
          <w:sz w:val="20"/>
          <w:szCs w:val="20"/>
        </w:rPr>
      </w:pPr>
      <w:r w:rsidRPr="000F2079">
        <w:rPr>
          <w:rFonts w:ascii="Arial" w:hAnsi="Arial" w:cs="Arial"/>
          <w:color w:val="000000"/>
          <w:sz w:val="20"/>
          <w:szCs w:val="20"/>
        </w:rPr>
        <w:t>Centrum lepšej regulácie</w:t>
      </w:r>
      <w:r w:rsidR="00FD793E" w:rsidRPr="000F2079">
        <w:rPr>
          <w:rFonts w:ascii="Arial" w:hAnsi="Arial" w:cs="Arial"/>
          <w:color w:val="000000"/>
          <w:sz w:val="20"/>
          <w:szCs w:val="20"/>
        </w:rPr>
        <w:t>, napriek absencii konzultácií s podnikateľským prostredím</w:t>
      </w:r>
      <w:r w:rsidR="009128CD" w:rsidRPr="000F2079">
        <w:rPr>
          <w:rFonts w:ascii="Arial" w:hAnsi="Arial" w:cs="Arial"/>
          <w:color w:val="000000"/>
          <w:sz w:val="20"/>
          <w:szCs w:val="20"/>
        </w:rPr>
        <w:t xml:space="preserve"> (nie z dôvodu porušenia procesu podľa Jedn</w:t>
      </w:r>
      <w:r w:rsidR="006A7F37" w:rsidRPr="000F2079">
        <w:rPr>
          <w:rFonts w:ascii="Arial" w:hAnsi="Arial" w:cs="Arial"/>
          <w:color w:val="000000"/>
          <w:sz w:val="20"/>
          <w:szCs w:val="20"/>
        </w:rPr>
        <w:t>otnej metodiky, ale pre odlišný p</w:t>
      </w:r>
      <w:r w:rsidR="000F6F75" w:rsidRPr="000F2079">
        <w:rPr>
          <w:rFonts w:ascii="Arial" w:hAnsi="Arial" w:cs="Arial"/>
          <w:color w:val="000000"/>
          <w:sz w:val="20"/>
          <w:szCs w:val="20"/>
        </w:rPr>
        <w:t>roces</w:t>
      </w:r>
      <w:r w:rsidR="006A7F37" w:rsidRPr="000F2079">
        <w:rPr>
          <w:rFonts w:ascii="Arial" w:hAnsi="Arial" w:cs="Arial"/>
          <w:color w:val="000000"/>
          <w:sz w:val="20"/>
          <w:szCs w:val="20"/>
        </w:rPr>
        <w:t xml:space="preserve"> podľa právneho predpisu vyššej právnej sily, ktorý ustanovuje špecifický postup trojstranných konzultácií - štát, zástupcovia zamestnávateľov, zástupcovia zamestnancov – tzv. rokovania tripartity)</w:t>
      </w:r>
      <w:r w:rsidR="00F73187" w:rsidRPr="000F2079">
        <w:rPr>
          <w:rFonts w:ascii="Arial" w:hAnsi="Arial" w:cs="Arial"/>
          <w:color w:val="000000"/>
          <w:sz w:val="20"/>
          <w:szCs w:val="20"/>
        </w:rPr>
        <w:t xml:space="preserve"> </w:t>
      </w:r>
      <w:r w:rsidR="00D951A1" w:rsidRPr="000F2079">
        <w:rPr>
          <w:rFonts w:ascii="Arial" w:hAnsi="Arial" w:cs="Arial"/>
          <w:color w:val="000000"/>
          <w:sz w:val="20"/>
          <w:szCs w:val="20"/>
        </w:rPr>
        <w:t xml:space="preserve">vypracovalo </w:t>
      </w:r>
      <w:r w:rsidR="00D951A1" w:rsidRPr="000F2079">
        <w:rPr>
          <w:rFonts w:ascii="Arial" w:hAnsi="Arial" w:cs="Arial"/>
          <w:color w:val="000000"/>
          <w:sz w:val="20"/>
          <w:szCs w:val="20"/>
          <w:u w:val="single"/>
        </w:rPr>
        <w:t>zoznam nasledujúcich alternatívnych možností</w:t>
      </w:r>
      <w:r w:rsidR="00307A28" w:rsidRPr="000F2079">
        <w:rPr>
          <w:rFonts w:ascii="Arial" w:hAnsi="Arial" w:cs="Arial"/>
          <w:color w:val="000000"/>
          <w:sz w:val="20"/>
          <w:szCs w:val="20"/>
        </w:rPr>
        <w:t xml:space="preserve">, </w:t>
      </w:r>
      <w:r w:rsidR="000F6F75" w:rsidRPr="000F2079">
        <w:rPr>
          <w:rFonts w:ascii="Arial" w:hAnsi="Arial" w:cs="Arial"/>
          <w:color w:val="000000"/>
          <w:sz w:val="20"/>
          <w:szCs w:val="20"/>
        </w:rPr>
        <w:t xml:space="preserve">ktoré vychádzajú z úpravy minimálnej mzdy v iných štátoch resp. majú pôvod v celospoločenskej diskusii, ktorá sa na Slovensku vedia už niekoľko rokov. Centrum lepšej regulácie si pri zozbieraní týchto alternatív uvedomuje, že predmetom úpravy je </w:t>
      </w:r>
      <w:r w:rsidR="00680E3D" w:rsidRPr="000F2079">
        <w:rPr>
          <w:rFonts w:ascii="Arial" w:hAnsi="Arial" w:cs="Arial"/>
          <w:color w:val="000000"/>
          <w:sz w:val="20"/>
          <w:szCs w:val="20"/>
        </w:rPr>
        <w:t xml:space="preserve">nariadenie vlády, ktoré určuje každoročné zvyšovanie sumy minimálnej mzdy a nie zákon o minimálnej mzde, ktorý minimálnu mzdu ustanovuje ako inštitút. </w:t>
      </w:r>
      <w:r w:rsidR="00727A37" w:rsidRPr="000F2079">
        <w:rPr>
          <w:rFonts w:ascii="Arial" w:hAnsi="Arial" w:cs="Arial"/>
          <w:color w:val="000000"/>
          <w:sz w:val="20"/>
          <w:szCs w:val="20"/>
        </w:rPr>
        <w:t>Preto, aj napriek skutočnosti, že návrh na zrušenie inštitútu minimálnej mzdy sa v spoločnosti skloňuje aj v súvislosti s podporou MSP, sme tento medzi alternatívy neuviedli, keďže otázka existencie tohto inštitútu nie je predmetom návrhu, ktorého vplyvy na MSP prostredníctvom  testu MSP má za úlohu Centrum le</w:t>
      </w:r>
      <w:r w:rsidR="0017302B">
        <w:rPr>
          <w:rFonts w:ascii="Arial" w:hAnsi="Arial" w:cs="Arial"/>
          <w:color w:val="000000"/>
          <w:sz w:val="20"/>
          <w:szCs w:val="20"/>
        </w:rPr>
        <w:t xml:space="preserve">pšej regulácie identifikovať. </w:t>
      </w:r>
      <w:r w:rsidR="0017302B" w:rsidRPr="00787D4D">
        <w:rPr>
          <w:rFonts w:ascii="Arial" w:hAnsi="Arial" w:cs="Arial"/>
          <w:sz w:val="20"/>
          <w:szCs w:val="20"/>
        </w:rPr>
        <w:t xml:space="preserve">Zároveň si však Centrum lepšej regulácie dovolilo </w:t>
      </w:r>
      <w:r w:rsidR="0017302B" w:rsidRPr="00787D4D">
        <w:rPr>
          <w:rFonts w:ascii="Arial" w:hAnsi="Arial" w:cs="Arial"/>
          <w:b/>
          <w:sz w:val="20"/>
          <w:szCs w:val="20"/>
        </w:rPr>
        <w:t>dotknúť sa aj samotného zákona č. 663/2007 Z. z. o minimálnej mzde</w:t>
      </w:r>
      <w:r w:rsidR="00B004C2" w:rsidRPr="00787D4D">
        <w:rPr>
          <w:rFonts w:ascii="Arial" w:hAnsi="Arial" w:cs="Arial"/>
          <w:b/>
          <w:sz w:val="20"/>
          <w:szCs w:val="20"/>
        </w:rPr>
        <w:t xml:space="preserve"> </w:t>
      </w:r>
      <w:r w:rsidR="0017302B" w:rsidRPr="00787D4D">
        <w:rPr>
          <w:rFonts w:ascii="Arial" w:hAnsi="Arial" w:cs="Arial"/>
          <w:b/>
          <w:sz w:val="20"/>
          <w:szCs w:val="20"/>
        </w:rPr>
        <w:t>v znení neskorších predpisov</w:t>
      </w:r>
      <w:r w:rsidR="0017745E" w:rsidRPr="00787D4D">
        <w:rPr>
          <w:rFonts w:ascii="Arial" w:hAnsi="Arial" w:cs="Arial"/>
          <w:b/>
          <w:sz w:val="20"/>
          <w:szCs w:val="20"/>
        </w:rPr>
        <w:t xml:space="preserve"> </w:t>
      </w:r>
      <w:r w:rsidR="0017745E" w:rsidRPr="00787D4D">
        <w:rPr>
          <w:rFonts w:ascii="Arial" w:hAnsi="Arial" w:cs="Arial"/>
          <w:sz w:val="20"/>
          <w:szCs w:val="20"/>
        </w:rPr>
        <w:t>(a taktiež ďalších právnych predpisov, ktoré ovplyvňujú výšku mzdových nákladov zamestnávateľov)</w:t>
      </w:r>
      <w:r w:rsidR="0017302B" w:rsidRPr="00787D4D">
        <w:rPr>
          <w:rFonts w:ascii="Arial" w:hAnsi="Arial" w:cs="Arial"/>
          <w:sz w:val="20"/>
          <w:szCs w:val="20"/>
        </w:rPr>
        <w:t>, pričom zozbieralo a nižšie uvádza niekoľko alternatív k samotnému nastaveniu minimálnej mzdy, kt</w:t>
      </w:r>
      <w:r w:rsidR="008808FC" w:rsidRPr="00787D4D">
        <w:rPr>
          <w:rFonts w:ascii="Arial" w:hAnsi="Arial" w:cs="Arial"/>
          <w:sz w:val="20"/>
          <w:szCs w:val="20"/>
        </w:rPr>
        <w:t>or</w:t>
      </w:r>
      <w:r w:rsidR="006151D4" w:rsidRPr="00787D4D">
        <w:rPr>
          <w:rFonts w:ascii="Arial" w:hAnsi="Arial" w:cs="Arial"/>
          <w:sz w:val="20"/>
          <w:szCs w:val="20"/>
        </w:rPr>
        <w:t>é sú zamerané v prospech MSP. Podotýkame, že ak</w:t>
      </w:r>
      <w:r w:rsidR="008808FC" w:rsidRPr="00787D4D">
        <w:rPr>
          <w:rFonts w:ascii="Arial" w:hAnsi="Arial" w:cs="Arial"/>
          <w:sz w:val="20"/>
          <w:szCs w:val="20"/>
        </w:rPr>
        <w:t xml:space="preserve"> by malo Centrum lepšej regulácie uviesť len alternatívy k nariadeniu vlády, ktoré určuje každoročné zvyšovanie sumy minimálnej mzdy, jedinou alternatívou by bola iná suma. Z toho dôvodu sa Centrum lepšej regulácie ro</w:t>
      </w:r>
      <w:r w:rsidR="002C5D1E" w:rsidRPr="00787D4D">
        <w:rPr>
          <w:rFonts w:ascii="Arial" w:hAnsi="Arial" w:cs="Arial"/>
          <w:sz w:val="20"/>
          <w:szCs w:val="20"/>
        </w:rPr>
        <w:t>zhodlo ísť s alternatívami ďalej</w:t>
      </w:r>
      <w:r w:rsidR="008808FC" w:rsidRPr="00787D4D">
        <w:rPr>
          <w:rFonts w:ascii="Arial" w:hAnsi="Arial" w:cs="Arial"/>
          <w:sz w:val="20"/>
          <w:szCs w:val="20"/>
        </w:rPr>
        <w:t xml:space="preserve"> a</w:t>
      </w:r>
      <w:r w:rsidR="00616BC2" w:rsidRPr="00787D4D">
        <w:rPr>
          <w:rFonts w:ascii="Arial" w:hAnsi="Arial" w:cs="Arial"/>
          <w:sz w:val="20"/>
          <w:szCs w:val="20"/>
        </w:rPr>
        <w:t xml:space="preserve"> v </w:t>
      </w:r>
      <w:r w:rsidR="008808FC" w:rsidRPr="00787D4D">
        <w:rPr>
          <w:rFonts w:ascii="Arial" w:hAnsi="Arial" w:cs="Arial"/>
          <w:sz w:val="20"/>
          <w:szCs w:val="20"/>
        </w:rPr>
        <w:t xml:space="preserve">takom prípade je už nemožné nedotknúť sa aj samotného zákona o minimálnej mzde. </w:t>
      </w:r>
    </w:p>
    <w:p w:rsidR="00D951A1" w:rsidRPr="000F2079" w:rsidRDefault="00D951A1" w:rsidP="000F284B">
      <w:pPr>
        <w:pStyle w:val="Odsekzoznamu"/>
        <w:widowControl/>
        <w:spacing w:after="0"/>
        <w:ind w:left="0"/>
        <w:outlineLvl w:val="0"/>
        <w:rPr>
          <w:rFonts w:ascii="Arial" w:hAnsi="Arial" w:cs="Arial"/>
          <w:b/>
          <w:bCs/>
          <w:color w:val="000000"/>
          <w:sz w:val="20"/>
          <w:szCs w:val="20"/>
          <w:highlight w:val="yellow"/>
          <w:u w:val="single"/>
        </w:rPr>
      </w:pPr>
    </w:p>
    <w:p w:rsidR="00D951A1" w:rsidRPr="000F2079" w:rsidRDefault="00D951A1" w:rsidP="00FC7D11">
      <w:pPr>
        <w:pStyle w:val="Odsekzoznamu"/>
        <w:widowControl/>
        <w:spacing w:after="0"/>
        <w:outlineLvl w:val="0"/>
        <w:rPr>
          <w:rFonts w:ascii="Arial" w:hAnsi="Arial" w:cs="Arial"/>
          <w:b/>
          <w:bCs/>
          <w:color w:val="000000"/>
          <w:sz w:val="20"/>
          <w:szCs w:val="20"/>
          <w:u w:val="single"/>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02"/>
      </w:tblGrid>
      <w:tr w:rsidR="00DB5383" w:rsidRPr="000F2079" w:rsidTr="00DC086A">
        <w:trPr>
          <w:trHeight w:val="1417"/>
        </w:trPr>
        <w:tc>
          <w:tcPr>
            <w:tcW w:w="2410" w:type="dxa"/>
          </w:tcPr>
          <w:p w:rsidR="00DB5383" w:rsidRPr="000F2079" w:rsidRDefault="00DB5383" w:rsidP="00DB5383">
            <w:pPr>
              <w:spacing w:after="0"/>
              <w:outlineLvl w:val="0"/>
              <w:rPr>
                <w:rFonts w:ascii="Arial" w:hAnsi="Arial" w:cs="Arial"/>
                <w:bCs/>
                <w:color w:val="000000"/>
                <w:sz w:val="20"/>
                <w:szCs w:val="20"/>
              </w:rPr>
            </w:pPr>
            <w:r w:rsidRPr="000F2079">
              <w:rPr>
                <w:rFonts w:ascii="Arial" w:hAnsi="Arial" w:cs="Arial"/>
                <w:bCs/>
                <w:color w:val="000000"/>
                <w:sz w:val="20"/>
                <w:szCs w:val="20"/>
              </w:rPr>
              <w:t xml:space="preserve">1. Alternatívne alebo zmierňujúce opatrenie </w:t>
            </w:r>
            <w:r w:rsidRPr="000F2079">
              <w:rPr>
                <w:rFonts w:ascii="Arial" w:hAnsi="Arial" w:cs="Arial"/>
                <w:color w:val="000000"/>
                <w:sz w:val="20"/>
                <w:szCs w:val="20"/>
              </w:rPr>
              <w:t>združenia na podporu MSP</w:t>
            </w:r>
          </w:p>
          <w:p w:rsidR="00DB5383" w:rsidRPr="000F2079" w:rsidRDefault="00DB5383" w:rsidP="00DB5383">
            <w:pPr>
              <w:spacing w:after="0"/>
              <w:outlineLvl w:val="0"/>
              <w:rPr>
                <w:rFonts w:ascii="Arial" w:hAnsi="Arial" w:cs="Arial"/>
                <w:bCs/>
                <w:color w:val="000000"/>
                <w:sz w:val="20"/>
                <w:szCs w:val="20"/>
              </w:rPr>
            </w:pPr>
          </w:p>
          <w:p w:rsidR="00DB5383" w:rsidRPr="000F2079" w:rsidRDefault="00DB5383" w:rsidP="00DB5383">
            <w:pPr>
              <w:spacing w:after="0"/>
              <w:outlineLvl w:val="0"/>
              <w:rPr>
                <w:rFonts w:ascii="Arial" w:hAnsi="Arial" w:cs="Arial"/>
                <w:bCs/>
                <w:color w:val="000000"/>
                <w:sz w:val="20"/>
                <w:szCs w:val="20"/>
              </w:rPr>
            </w:pPr>
          </w:p>
          <w:p w:rsidR="00DB5383" w:rsidRPr="000F2079" w:rsidRDefault="00DB5383" w:rsidP="00DB5383">
            <w:pPr>
              <w:spacing w:after="0"/>
              <w:outlineLvl w:val="0"/>
              <w:rPr>
                <w:rFonts w:ascii="Arial" w:hAnsi="Arial" w:cs="Arial"/>
                <w:bCs/>
                <w:color w:val="000000"/>
                <w:sz w:val="20"/>
                <w:szCs w:val="20"/>
              </w:rPr>
            </w:pPr>
          </w:p>
          <w:p w:rsidR="00DB5383" w:rsidRPr="000F2079" w:rsidRDefault="00DB5383" w:rsidP="00DB5383">
            <w:pPr>
              <w:spacing w:after="0"/>
              <w:outlineLvl w:val="0"/>
              <w:rPr>
                <w:rFonts w:ascii="Arial" w:hAnsi="Arial" w:cs="Arial"/>
                <w:bCs/>
                <w:color w:val="000000"/>
                <w:sz w:val="20"/>
                <w:szCs w:val="20"/>
              </w:rPr>
            </w:pPr>
          </w:p>
          <w:p w:rsidR="00DB5383" w:rsidRPr="000F2079" w:rsidRDefault="00DB5383" w:rsidP="00DB5383">
            <w:pPr>
              <w:spacing w:after="0"/>
              <w:outlineLvl w:val="0"/>
              <w:rPr>
                <w:rFonts w:ascii="Arial" w:hAnsi="Arial" w:cs="Arial"/>
                <w:bCs/>
                <w:color w:val="000000"/>
                <w:sz w:val="20"/>
                <w:szCs w:val="20"/>
              </w:rPr>
            </w:pPr>
          </w:p>
          <w:p w:rsidR="00DB5383" w:rsidRPr="000F2079" w:rsidRDefault="00DB5383" w:rsidP="00DB5383">
            <w:pPr>
              <w:spacing w:after="0"/>
              <w:outlineLvl w:val="0"/>
              <w:rPr>
                <w:rFonts w:ascii="Arial" w:hAnsi="Arial" w:cs="Arial"/>
                <w:bCs/>
                <w:color w:val="000000"/>
                <w:sz w:val="20"/>
                <w:szCs w:val="20"/>
              </w:rPr>
            </w:pPr>
          </w:p>
        </w:tc>
        <w:tc>
          <w:tcPr>
            <w:tcW w:w="6802" w:type="dxa"/>
          </w:tcPr>
          <w:p w:rsidR="00CA7495" w:rsidRPr="000F2079" w:rsidRDefault="00CA7495" w:rsidP="00DC086A">
            <w:pPr>
              <w:jc w:val="both"/>
              <w:rPr>
                <w:rFonts w:ascii="Arial" w:hAnsi="Arial" w:cs="Arial"/>
                <w:b/>
                <w:sz w:val="20"/>
                <w:szCs w:val="20"/>
                <w:u w:val="single"/>
              </w:rPr>
            </w:pPr>
            <w:r w:rsidRPr="000F2079">
              <w:rPr>
                <w:rFonts w:ascii="Arial" w:hAnsi="Arial" w:cs="Arial"/>
                <w:b/>
                <w:sz w:val="20"/>
                <w:szCs w:val="20"/>
                <w:u w:val="single"/>
              </w:rPr>
              <w:t>Princíp „Najskôr myslieť v malom“ vo vzťahu k MSP</w:t>
            </w:r>
          </w:p>
          <w:p w:rsidR="00680E3D" w:rsidRPr="000F2079" w:rsidRDefault="00DB5383" w:rsidP="00DC086A">
            <w:pPr>
              <w:jc w:val="both"/>
              <w:rPr>
                <w:rFonts w:ascii="Arial" w:hAnsi="Arial" w:cs="Arial"/>
                <w:sz w:val="20"/>
                <w:szCs w:val="20"/>
              </w:rPr>
            </w:pPr>
            <w:r w:rsidRPr="000F2079">
              <w:rPr>
                <w:rFonts w:ascii="Arial" w:hAnsi="Arial" w:cs="Arial"/>
                <w:sz w:val="20"/>
                <w:szCs w:val="20"/>
              </w:rPr>
              <w:t xml:space="preserve">Centrum lepšej regulácie hneď v úvode návrhu riešení chce poukázať na potrebu prihliadať na agendu lepšej regulácie v prospech </w:t>
            </w:r>
            <w:r w:rsidR="00DC086A" w:rsidRPr="000F2079">
              <w:rPr>
                <w:rFonts w:ascii="Arial" w:hAnsi="Arial" w:cs="Arial"/>
                <w:sz w:val="20"/>
                <w:szCs w:val="20"/>
              </w:rPr>
              <w:t>MSP</w:t>
            </w:r>
            <w:r w:rsidRPr="000F2079">
              <w:rPr>
                <w:rFonts w:ascii="Arial" w:hAnsi="Arial" w:cs="Arial"/>
                <w:sz w:val="20"/>
                <w:szCs w:val="20"/>
              </w:rPr>
              <w:t>, ktorú zastrešuje Iniciatíva Európskej Komisie „Small Business Act“ pre Európu, spolu s Odporúčaním "Lepšia regulácia" ako aj Odporúčanie Rady OECD pre regulačnú politiku a vládnutie. Sprievodným heslom tejto agendy je vytváranie regulačných pravidiel podľa zásady „najskôr myslieť v malom“, t. j. aby orgány verejnej správy reagovali na potreby MSP, aby sa prispôsobili nástroje verejnej politiky práve ich potrebám – a to je možné najmä prostredníctvom regulácie z obsahovej stránky nastavenej tak, aby prihliadala na špecifiká MSP (</w:t>
            </w:r>
            <w:r w:rsidRPr="000F2079">
              <w:rPr>
                <w:rFonts w:ascii="Arial" w:hAnsi="Arial" w:cs="Arial"/>
                <w:b/>
                <w:sz w:val="20"/>
                <w:szCs w:val="20"/>
              </w:rPr>
              <w:t>zjednodušené pravidlá napr. vo forme výnimiek z povinností, prechodných období, znížených sadzieb, zjednodušených formulárov, atď.</w:t>
            </w:r>
            <w:r w:rsidRPr="000F2079">
              <w:rPr>
                <w:rFonts w:ascii="Arial" w:hAnsi="Arial" w:cs="Arial"/>
                <w:sz w:val="20"/>
                <w:szCs w:val="20"/>
              </w:rPr>
              <w:t>). Preto cieľom predložených návrhov je nachádzanie kompromisu v prospech uplatnenia princípu „najskôr myslieť v malom“ vo vzťahu k MSP.</w:t>
            </w:r>
          </w:p>
          <w:p w:rsidR="00680E3D" w:rsidRPr="000F2079" w:rsidRDefault="00A74D63" w:rsidP="00DC086A">
            <w:pPr>
              <w:jc w:val="both"/>
              <w:rPr>
                <w:rFonts w:ascii="Arial" w:hAnsi="Arial" w:cs="Arial"/>
                <w:sz w:val="20"/>
                <w:szCs w:val="20"/>
                <w:u w:val="single"/>
              </w:rPr>
            </w:pPr>
            <w:r>
              <w:rPr>
                <w:rFonts w:ascii="Arial" w:hAnsi="Arial" w:cs="Arial"/>
                <w:sz w:val="20"/>
                <w:szCs w:val="20"/>
              </w:rPr>
              <w:t>Inšpirá</w:t>
            </w:r>
            <w:r w:rsidR="002F1D44">
              <w:rPr>
                <w:rFonts w:ascii="Arial" w:hAnsi="Arial" w:cs="Arial"/>
                <w:sz w:val="20"/>
                <w:szCs w:val="20"/>
              </w:rPr>
              <w:t>c</w:t>
            </w:r>
            <w:r w:rsidR="00680E3D" w:rsidRPr="000F2079">
              <w:rPr>
                <w:rFonts w:ascii="Arial" w:hAnsi="Arial" w:cs="Arial"/>
                <w:sz w:val="20"/>
                <w:szCs w:val="20"/>
              </w:rPr>
              <w:t xml:space="preserve">iou </w:t>
            </w:r>
            <w:r w:rsidR="00680E3D" w:rsidRPr="000F2079">
              <w:rPr>
                <w:rFonts w:ascii="Arial" w:hAnsi="Arial" w:cs="Arial"/>
                <w:sz w:val="20"/>
                <w:szCs w:val="20"/>
                <w:u w:val="single"/>
              </w:rPr>
              <w:t xml:space="preserve">pre výnimky </w:t>
            </w:r>
            <w:r w:rsidR="00C235B1" w:rsidRPr="000F2079">
              <w:rPr>
                <w:rFonts w:ascii="Arial" w:hAnsi="Arial" w:cs="Arial"/>
                <w:sz w:val="20"/>
                <w:szCs w:val="20"/>
                <w:u w:val="single"/>
              </w:rPr>
              <w:t xml:space="preserve">voči MSP </w:t>
            </w:r>
            <w:r w:rsidR="00680E3D" w:rsidRPr="000F2079">
              <w:rPr>
                <w:rFonts w:ascii="Arial" w:hAnsi="Arial" w:cs="Arial"/>
                <w:sz w:val="20"/>
                <w:szCs w:val="20"/>
                <w:u w:val="single"/>
              </w:rPr>
              <w:t>môže byť:</w:t>
            </w:r>
          </w:p>
          <w:p w:rsidR="00680E3D" w:rsidRPr="000F2079" w:rsidRDefault="00C235B1" w:rsidP="00680E3D">
            <w:pPr>
              <w:numPr>
                <w:ilvl w:val="0"/>
                <w:numId w:val="32"/>
              </w:numPr>
              <w:jc w:val="both"/>
              <w:rPr>
                <w:rFonts w:ascii="Arial" w:hAnsi="Arial" w:cs="Arial"/>
                <w:sz w:val="20"/>
                <w:szCs w:val="20"/>
              </w:rPr>
            </w:pPr>
            <w:r w:rsidRPr="000F2079">
              <w:rPr>
                <w:rFonts w:ascii="Arial" w:hAnsi="Arial" w:cs="Arial"/>
                <w:b/>
                <w:sz w:val="20"/>
                <w:szCs w:val="20"/>
              </w:rPr>
              <w:t>% zníženie základnej minimálnej mzdy</w:t>
            </w:r>
            <w:r w:rsidR="005531C1">
              <w:rPr>
                <w:rStyle w:val="Odkaznapoznmkupodiarou"/>
                <w:rFonts w:ascii="Arial" w:hAnsi="Arial" w:cs="Arial"/>
                <w:b/>
                <w:sz w:val="20"/>
                <w:szCs w:val="20"/>
              </w:rPr>
              <w:footnoteReference w:id="2"/>
            </w:r>
            <w:r w:rsidRPr="000F2079">
              <w:rPr>
                <w:rFonts w:ascii="Arial" w:hAnsi="Arial" w:cs="Arial"/>
                <w:b/>
                <w:sz w:val="20"/>
                <w:szCs w:val="20"/>
              </w:rPr>
              <w:t xml:space="preserve"> pre zamestnancov </w:t>
            </w:r>
            <w:r w:rsidRPr="000F2079">
              <w:rPr>
                <w:rFonts w:ascii="Arial" w:hAnsi="Arial" w:cs="Arial"/>
                <w:b/>
                <w:sz w:val="20"/>
                <w:szCs w:val="20"/>
              </w:rPr>
              <w:lastRenderedPageBreak/>
              <w:t>v závislosti od rôznych faktorov</w:t>
            </w:r>
            <w:r w:rsidRPr="000F2079">
              <w:rPr>
                <w:rStyle w:val="Odkaznapoznmkupodiarou"/>
                <w:rFonts w:ascii="Arial" w:hAnsi="Arial" w:cs="Arial"/>
                <w:b/>
                <w:sz w:val="20"/>
                <w:szCs w:val="20"/>
              </w:rPr>
              <w:footnoteReference w:id="3"/>
            </w:r>
            <w:r w:rsidRPr="000F2079">
              <w:rPr>
                <w:rFonts w:ascii="Arial" w:hAnsi="Arial" w:cs="Arial"/>
                <w:sz w:val="20"/>
                <w:szCs w:val="20"/>
              </w:rPr>
              <w:t>, akými je napr.:</w:t>
            </w:r>
          </w:p>
          <w:p w:rsidR="00C235B1" w:rsidRPr="000F2079" w:rsidRDefault="00CC6746" w:rsidP="00C235B1">
            <w:pPr>
              <w:numPr>
                <w:ilvl w:val="0"/>
                <w:numId w:val="33"/>
              </w:numPr>
              <w:jc w:val="both"/>
              <w:rPr>
                <w:rFonts w:ascii="Arial" w:hAnsi="Arial" w:cs="Arial"/>
                <w:sz w:val="20"/>
                <w:szCs w:val="20"/>
              </w:rPr>
            </w:pPr>
            <w:r w:rsidRPr="000F2079">
              <w:rPr>
                <w:rFonts w:ascii="Arial" w:hAnsi="Arial" w:cs="Arial"/>
                <w:b/>
                <w:sz w:val="20"/>
                <w:szCs w:val="20"/>
              </w:rPr>
              <w:t xml:space="preserve">dĺžka </w:t>
            </w:r>
            <w:r w:rsidR="00C235B1" w:rsidRPr="000F2079">
              <w:rPr>
                <w:rFonts w:ascii="Arial" w:hAnsi="Arial" w:cs="Arial"/>
                <w:b/>
                <w:sz w:val="20"/>
                <w:szCs w:val="20"/>
              </w:rPr>
              <w:t>trvani</w:t>
            </w:r>
            <w:r w:rsidRPr="000F2079">
              <w:rPr>
                <w:rFonts w:ascii="Arial" w:hAnsi="Arial" w:cs="Arial"/>
                <w:b/>
                <w:sz w:val="20"/>
                <w:szCs w:val="20"/>
              </w:rPr>
              <w:t>a</w:t>
            </w:r>
            <w:r w:rsidR="00C235B1" w:rsidRPr="000F2079">
              <w:rPr>
                <w:rFonts w:ascii="Arial" w:hAnsi="Arial" w:cs="Arial"/>
                <w:b/>
                <w:sz w:val="20"/>
                <w:szCs w:val="20"/>
              </w:rPr>
              <w:t xml:space="preserve"> pracovného pomeru</w:t>
            </w:r>
            <w:r w:rsidR="00C235B1" w:rsidRPr="000F2079">
              <w:rPr>
                <w:rFonts w:ascii="Arial" w:hAnsi="Arial" w:cs="Arial"/>
                <w:sz w:val="20"/>
                <w:szCs w:val="20"/>
              </w:rPr>
              <w:t xml:space="preserve"> (napr. 1. rok zamestnania v Poľsku môže zamestnávateľ minimálnu mzdu znížiť na 80 % jej zákonnej sumy, v Írsku dokonca aj v 2. roku zamestnania na 90 %)</w:t>
            </w:r>
          </w:p>
          <w:p w:rsidR="00C235B1" w:rsidRPr="000F2079" w:rsidRDefault="00C235B1" w:rsidP="00C235B1">
            <w:pPr>
              <w:numPr>
                <w:ilvl w:val="0"/>
                <w:numId w:val="33"/>
              </w:numPr>
              <w:jc w:val="both"/>
              <w:rPr>
                <w:rFonts w:ascii="Arial" w:hAnsi="Arial" w:cs="Arial"/>
                <w:sz w:val="20"/>
                <w:szCs w:val="20"/>
              </w:rPr>
            </w:pPr>
            <w:r w:rsidRPr="000F2079">
              <w:rPr>
                <w:rFonts w:ascii="Arial" w:hAnsi="Arial" w:cs="Arial"/>
                <w:b/>
                <w:sz w:val="20"/>
                <w:szCs w:val="20"/>
              </w:rPr>
              <w:t>vek zamestnanca</w:t>
            </w:r>
            <w:r w:rsidRPr="000F2079">
              <w:rPr>
                <w:rFonts w:ascii="Arial" w:hAnsi="Arial" w:cs="Arial"/>
                <w:sz w:val="20"/>
                <w:szCs w:val="20"/>
              </w:rPr>
              <w:t xml:space="preserve"> (napr. zamestnancom mladším ako 18 rokov  môže zamestnávateľ v Luxembursku minimálnu mzdu znížiť v rozmedzí 75-80 % jej zákonnej sumy, vo Francúzsku sú % podobné, v Holandsku, Belgicku  sú % pri veku zamestnanca do 18 rokov ešte nižšie)</w:t>
            </w:r>
          </w:p>
          <w:p w:rsidR="00C235B1" w:rsidRPr="000F2079" w:rsidRDefault="00C235B1" w:rsidP="00C235B1">
            <w:pPr>
              <w:numPr>
                <w:ilvl w:val="0"/>
                <w:numId w:val="33"/>
              </w:numPr>
              <w:jc w:val="both"/>
              <w:rPr>
                <w:rFonts w:ascii="Arial" w:hAnsi="Arial" w:cs="Arial"/>
                <w:sz w:val="20"/>
                <w:szCs w:val="20"/>
              </w:rPr>
            </w:pPr>
            <w:r w:rsidRPr="000F2079">
              <w:rPr>
                <w:rFonts w:ascii="Arial" w:hAnsi="Arial" w:cs="Arial"/>
                <w:b/>
                <w:sz w:val="20"/>
                <w:szCs w:val="20"/>
              </w:rPr>
              <w:t>kvalifikácia zamestnanca</w:t>
            </w:r>
            <w:r w:rsidRPr="000F2079">
              <w:rPr>
                <w:rFonts w:ascii="Arial" w:hAnsi="Arial" w:cs="Arial"/>
                <w:sz w:val="20"/>
                <w:szCs w:val="20"/>
              </w:rPr>
              <w:t xml:space="preserve"> (napr. vo Francúzsku podľa rôznych kritérií možné zníženie až na 55 % zo základnej sumy minimálnej mzdy</w:t>
            </w:r>
            <w:r w:rsidR="00767221" w:rsidRPr="000F2079">
              <w:rPr>
                <w:rFonts w:ascii="Arial" w:hAnsi="Arial" w:cs="Arial"/>
                <w:sz w:val="20"/>
                <w:szCs w:val="20"/>
              </w:rPr>
              <w:t>, v Írsku podľa absolvovania vzdelávania – napr. formou kurzov, ale i štúdia</w:t>
            </w:r>
            <w:r w:rsidRPr="000F2079">
              <w:rPr>
                <w:rFonts w:ascii="Arial" w:hAnsi="Arial" w:cs="Arial"/>
                <w:sz w:val="20"/>
                <w:szCs w:val="20"/>
              </w:rPr>
              <w:t>)</w:t>
            </w:r>
          </w:p>
          <w:p w:rsidR="005F6EE8" w:rsidRPr="000F2079" w:rsidRDefault="005F6EE8" w:rsidP="00C235B1">
            <w:pPr>
              <w:numPr>
                <w:ilvl w:val="0"/>
                <w:numId w:val="33"/>
              </w:numPr>
              <w:jc w:val="both"/>
              <w:rPr>
                <w:rFonts w:ascii="Arial" w:hAnsi="Arial" w:cs="Arial"/>
                <w:sz w:val="20"/>
                <w:szCs w:val="20"/>
              </w:rPr>
            </w:pPr>
            <w:r w:rsidRPr="000F2079">
              <w:rPr>
                <w:rFonts w:ascii="Arial" w:hAnsi="Arial" w:cs="Arial"/>
                <w:b/>
                <w:sz w:val="20"/>
                <w:szCs w:val="20"/>
              </w:rPr>
              <w:t xml:space="preserve">miera nezamestnanosti v konkrétnom regióne </w:t>
            </w:r>
            <w:r w:rsidRPr="000F2079">
              <w:rPr>
                <w:rFonts w:ascii="Arial" w:hAnsi="Arial" w:cs="Arial"/>
                <w:sz w:val="20"/>
                <w:szCs w:val="20"/>
              </w:rPr>
              <w:t>(napr. určenie konkrétnej % hranice miery evidovanej nezamestnanosti, v prípade hodnôt vyšších sa v konkrétnom regióne umožní % zníženie zo základnej sumy minimálnej mzdy)</w:t>
            </w:r>
          </w:p>
          <w:p w:rsidR="00930B26" w:rsidRPr="000F2079" w:rsidRDefault="00930B26" w:rsidP="00930B26">
            <w:pPr>
              <w:numPr>
                <w:ilvl w:val="0"/>
                <w:numId w:val="33"/>
              </w:numPr>
              <w:jc w:val="both"/>
              <w:rPr>
                <w:rFonts w:ascii="Arial" w:hAnsi="Arial" w:cs="Arial"/>
                <w:sz w:val="20"/>
                <w:szCs w:val="20"/>
              </w:rPr>
            </w:pPr>
            <w:r w:rsidRPr="000F2079">
              <w:rPr>
                <w:rFonts w:ascii="Arial" w:hAnsi="Arial" w:cs="Arial"/>
                <w:b/>
                <w:sz w:val="20"/>
                <w:szCs w:val="20"/>
              </w:rPr>
              <w:t xml:space="preserve">druh pracovného pomeru/typ pracovného úväzku </w:t>
            </w:r>
            <w:r w:rsidRPr="000F2079">
              <w:rPr>
                <w:rFonts w:ascii="Arial" w:hAnsi="Arial" w:cs="Arial"/>
                <w:sz w:val="20"/>
                <w:szCs w:val="20"/>
              </w:rPr>
              <w:t>(napr. % zníženie zo základnej sumy minimálnej mzdy pri krátkodobých brigádach či čiastočných úväzkoch)</w:t>
            </w:r>
          </w:p>
        </w:tc>
      </w:tr>
      <w:tr w:rsidR="00DB5383" w:rsidRPr="000F2079" w:rsidTr="008A2E0D">
        <w:trPr>
          <w:trHeight w:val="557"/>
        </w:trPr>
        <w:tc>
          <w:tcPr>
            <w:tcW w:w="2410" w:type="dxa"/>
          </w:tcPr>
          <w:p w:rsidR="00DC086A" w:rsidRPr="000F2079" w:rsidRDefault="00DC086A" w:rsidP="00DC086A">
            <w:pPr>
              <w:spacing w:after="0"/>
              <w:outlineLvl w:val="0"/>
              <w:rPr>
                <w:rFonts w:ascii="Arial" w:hAnsi="Arial" w:cs="Arial"/>
                <w:bCs/>
                <w:sz w:val="20"/>
                <w:szCs w:val="20"/>
              </w:rPr>
            </w:pPr>
            <w:r w:rsidRPr="000F2079">
              <w:rPr>
                <w:rFonts w:ascii="Arial" w:hAnsi="Arial" w:cs="Arial"/>
                <w:bCs/>
                <w:sz w:val="20"/>
                <w:szCs w:val="20"/>
              </w:rPr>
              <w:lastRenderedPageBreak/>
              <w:t xml:space="preserve">2. Alternatívne alebo zmierňujúce opatrenie </w:t>
            </w:r>
            <w:r w:rsidRPr="000F2079">
              <w:rPr>
                <w:rFonts w:ascii="Arial" w:hAnsi="Arial" w:cs="Arial"/>
                <w:sz w:val="20"/>
                <w:szCs w:val="20"/>
              </w:rPr>
              <w:t>združenia na podporu MSP</w:t>
            </w:r>
          </w:p>
          <w:p w:rsidR="00DB5383" w:rsidRPr="000F2079" w:rsidRDefault="00DB5383" w:rsidP="00DB5383">
            <w:pPr>
              <w:spacing w:after="0"/>
              <w:outlineLvl w:val="0"/>
              <w:rPr>
                <w:rFonts w:ascii="Arial" w:hAnsi="Arial" w:cs="Arial"/>
                <w:bCs/>
                <w:color w:val="000000"/>
                <w:sz w:val="20"/>
                <w:szCs w:val="20"/>
              </w:rPr>
            </w:pPr>
          </w:p>
          <w:p w:rsidR="00DB5383" w:rsidRPr="000F2079" w:rsidRDefault="00DB5383" w:rsidP="00DB5383">
            <w:pPr>
              <w:spacing w:after="0"/>
              <w:outlineLvl w:val="0"/>
              <w:rPr>
                <w:rFonts w:ascii="Arial" w:hAnsi="Arial" w:cs="Arial"/>
                <w:bCs/>
                <w:color w:val="000000"/>
                <w:sz w:val="20"/>
                <w:szCs w:val="20"/>
              </w:rPr>
            </w:pPr>
          </w:p>
          <w:p w:rsidR="00DB5383" w:rsidRPr="000F2079" w:rsidRDefault="00DB5383" w:rsidP="00DB5383">
            <w:pPr>
              <w:spacing w:after="0"/>
              <w:outlineLvl w:val="0"/>
              <w:rPr>
                <w:rFonts w:ascii="Arial" w:hAnsi="Arial" w:cs="Arial"/>
                <w:bCs/>
                <w:color w:val="000000"/>
                <w:sz w:val="20"/>
                <w:szCs w:val="20"/>
              </w:rPr>
            </w:pPr>
          </w:p>
          <w:p w:rsidR="00DB5383" w:rsidRPr="000F2079" w:rsidRDefault="00DB5383" w:rsidP="00DB5383">
            <w:pPr>
              <w:spacing w:after="0"/>
              <w:outlineLvl w:val="0"/>
              <w:rPr>
                <w:rFonts w:ascii="Arial" w:hAnsi="Arial" w:cs="Arial"/>
                <w:bCs/>
                <w:color w:val="000000"/>
                <w:sz w:val="20"/>
                <w:szCs w:val="20"/>
              </w:rPr>
            </w:pPr>
          </w:p>
          <w:p w:rsidR="00DB5383" w:rsidRPr="000F2079" w:rsidRDefault="00DB5383" w:rsidP="00DB5383">
            <w:pPr>
              <w:spacing w:after="0"/>
              <w:outlineLvl w:val="0"/>
              <w:rPr>
                <w:rFonts w:ascii="Arial" w:hAnsi="Arial" w:cs="Arial"/>
                <w:bCs/>
                <w:color w:val="000000"/>
                <w:sz w:val="20"/>
                <w:szCs w:val="20"/>
              </w:rPr>
            </w:pPr>
          </w:p>
          <w:p w:rsidR="00DB5383" w:rsidRPr="000F2079" w:rsidRDefault="00DB5383" w:rsidP="00DB5383">
            <w:pPr>
              <w:spacing w:after="0"/>
              <w:outlineLvl w:val="0"/>
              <w:rPr>
                <w:rFonts w:ascii="Arial" w:hAnsi="Arial" w:cs="Arial"/>
                <w:bCs/>
                <w:color w:val="000000"/>
                <w:sz w:val="20"/>
                <w:szCs w:val="20"/>
              </w:rPr>
            </w:pPr>
          </w:p>
        </w:tc>
        <w:tc>
          <w:tcPr>
            <w:tcW w:w="6802" w:type="dxa"/>
          </w:tcPr>
          <w:p w:rsidR="00DB5383" w:rsidRPr="000F2079" w:rsidRDefault="00C72788" w:rsidP="00DC086A">
            <w:pPr>
              <w:pStyle w:val="Odsekzoznamu"/>
              <w:ind w:left="0"/>
              <w:jc w:val="both"/>
              <w:rPr>
                <w:rFonts w:ascii="Arial" w:hAnsi="Arial" w:cs="Arial"/>
                <w:b/>
                <w:sz w:val="20"/>
                <w:szCs w:val="20"/>
                <w:u w:val="single"/>
                <w:lang w:eastAsia="sk-SK"/>
              </w:rPr>
            </w:pPr>
            <w:r>
              <w:rPr>
                <w:rFonts w:ascii="Arial" w:hAnsi="Arial" w:cs="Arial"/>
                <w:b/>
                <w:sz w:val="20"/>
                <w:szCs w:val="20"/>
                <w:u w:val="single"/>
                <w:lang w:eastAsia="sk-SK"/>
              </w:rPr>
              <w:t>Č</w:t>
            </w:r>
            <w:r w:rsidR="00767221" w:rsidRPr="000F2079">
              <w:rPr>
                <w:rFonts w:ascii="Arial" w:hAnsi="Arial" w:cs="Arial"/>
                <w:b/>
                <w:sz w:val="20"/>
                <w:szCs w:val="20"/>
                <w:u w:val="single"/>
                <w:lang w:eastAsia="sk-SK"/>
              </w:rPr>
              <w:t>iastočné oslobodenie minimálnej mzdy</w:t>
            </w:r>
            <w:r w:rsidR="00CA7495" w:rsidRPr="000F2079">
              <w:rPr>
                <w:rFonts w:ascii="Arial" w:hAnsi="Arial" w:cs="Arial"/>
                <w:b/>
                <w:sz w:val="20"/>
                <w:szCs w:val="20"/>
                <w:u w:val="single"/>
                <w:lang w:eastAsia="sk-SK"/>
              </w:rPr>
              <w:t xml:space="preserve"> od povinných platieb štátu</w:t>
            </w:r>
          </w:p>
          <w:p w:rsidR="00CA7495" w:rsidRPr="000F2079" w:rsidRDefault="00CA7495" w:rsidP="00DC086A">
            <w:pPr>
              <w:pStyle w:val="Odsekzoznamu"/>
              <w:ind w:left="0"/>
              <w:jc w:val="both"/>
              <w:rPr>
                <w:rFonts w:ascii="Arial" w:hAnsi="Arial" w:cs="Arial"/>
                <w:sz w:val="20"/>
                <w:szCs w:val="20"/>
                <w:lang w:eastAsia="sk-SK"/>
              </w:rPr>
            </w:pPr>
            <w:r w:rsidRPr="000F2079">
              <w:rPr>
                <w:rFonts w:ascii="Arial" w:hAnsi="Arial" w:cs="Arial"/>
                <w:sz w:val="20"/>
                <w:szCs w:val="20"/>
                <w:lang w:eastAsia="sk-SK"/>
              </w:rPr>
              <w:t>Riešením</w:t>
            </w:r>
            <w:r w:rsidR="000F284B" w:rsidRPr="000F2079">
              <w:rPr>
                <w:rFonts w:ascii="Arial" w:hAnsi="Arial" w:cs="Arial"/>
                <w:sz w:val="20"/>
                <w:szCs w:val="20"/>
                <w:lang w:eastAsia="sk-SK"/>
              </w:rPr>
              <w:t xml:space="preserve"> zníženia nákladov MSP a zároveň ponechaním tej podstaty návrhu, ktorá spočíva vo zvýšení miezd zamestnancov</w:t>
            </w:r>
            <w:r w:rsidR="00767221" w:rsidRPr="000F2079">
              <w:rPr>
                <w:rFonts w:ascii="Arial" w:hAnsi="Arial" w:cs="Arial"/>
                <w:sz w:val="20"/>
                <w:szCs w:val="20"/>
                <w:lang w:eastAsia="sk-SK"/>
              </w:rPr>
              <w:t xml:space="preserve"> a vyrovnaním pomeru zisku vo vzťahu zamestnanec vs. štát</w:t>
            </w:r>
            <w:r w:rsidR="000F284B" w:rsidRPr="000F2079">
              <w:rPr>
                <w:rFonts w:ascii="Arial" w:hAnsi="Arial" w:cs="Arial"/>
                <w:sz w:val="20"/>
                <w:szCs w:val="20"/>
                <w:lang w:eastAsia="sk-SK"/>
              </w:rPr>
              <w:t>, je</w:t>
            </w:r>
            <w:r w:rsidR="00767221" w:rsidRPr="000F2079">
              <w:rPr>
                <w:rFonts w:ascii="Arial" w:hAnsi="Arial" w:cs="Arial"/>
                <w:sz w:val="20"/>
                <w:szCs w:val="20"/>
                <w:lang w:eastAsia="sk-SK"/>
              </w:rPr>
              <w:t xml:space="preserve"> </w:t>
            </w:r>
            <w:r w:rsidR="00767221" w:rsidRPr="000F2079">
              <w:rPr>
                <w:rFonts w:ascii="Arial" w:hAnsi="Arial" w:cs="Arial"/>
                <w:b/>
                <w:sz w:val="20"/>
                <w:szCs w:val="20"/>
                <w:lang w:eastAsia="sk-SK"/>
              </w:rPr>
              <w:t>čiastočné</w:t>
            </w:r>
            <w:r w:rsidR="000F284B" w:rsidRPr="000F2079">
              <w:rPr>
                <w:rFonts w:ascii="Arial" w:hAnsi="Arial" w:cs="Arial"/>
                <w:b/>
                <w:sz w:val="20"/>
                <w:szCs w:val="20"/>
                <w:lang w:eastAsia="sk-SK"/>
              </w:rPr>
              <w:t xml:space="preserve"> oslobodenie </w:t>
            </w:r>
            <w:r w:rsidR="00767221" w:rsidRPr="000F2079">
              <w:rPr>
                <w:rFonts w:ascii="Arial" w:hAnsi="Arial" w:cs="Arial"/>
                <w:b/>
                <w:sz w:val="20"/>
                <w:szCs w:val="20"/>
                <w:lang w:eastAsia="sk-SK"/>
              </w:rPr>
              <w:t xml:space="preserve">minimálnej mzdy od povinných platieb štátu </w:t>
            </w:r>
            <w:r w:rsidR="00EE0DC1" w:rsidRPr="000F2079">
              <w:rPr>
                <w:rFonts w:ascii="Arial" w:hAnsi="Arial" w:cs="Arial"/>
                <w:b/>
                <w:sz w:val="20"/>
                <w:szCs w:val="20"/>
                <w:lang w:eastAsia="sk-SK"/>
              </w:rPr>
              <w:t xml:space="preserve">napr. </w:t>
            </w:r>
            <w:r w:rsidR="00767221" w:rsidRPr="000F2079">
              <w:rPr>
                <w:rFonts w:ascii="Arial" w:hAnsi="Arial" w:cs="Arial"/>
                <w:b/>
                <w:sz w:val="20"/>
                <w:szCs w:val="20"/>
                <w:lang w:eastAsia="sk-SK"/>
              </w:rPr>
              <w:t xml:space="preserve">cez </w:t>
            </w:r>
            <w:r w:rsidR="00EE0DC1" w:rsidRPr="000F2079">
              <w:rPr>
                <w:rFonts w:ascii="Arial" w:hAnsi="Arial" w:cs="Arial"/>
                <w:b/>
                <w:sz w:val="20"/>
                <w:szCs w:val="20"/>
                <w:lang w:eastAsia="sk-SK"/>
              </w:rPr>
              <w:t>vhodne zvolenú</w:t>
            </w:r>
          </w:p>
          <w:p w:rsidR="000F284B" w:rsidRPr="000F2079" w:rsidRDefault="00767221" w:rsidP="000F284B">
            <w:pPr>
              <w:pStyle w:val="Odsekzoznamu"/>
              <w:numPr>
                <w:ilvl w:val="0"/>
                <w:numId w:val="29"/>
              </w:numPr>
              <w:spacing w:after="0"/>
              <w:jc w:val="both"/>
              <w:rPr>
                <w:rFonts w:ascii="Arial" w:hAnsi="Arial" w:cs="Arial"/>
                <w:sz w:val="20"/>
                <w:szCs w:val="20"/>
                <w:lang w:eastAsia="sk-SK"/>
              </w:rPr>
            </w:pPr>
            <w:r w:rsidRPr="000F2079">
              <w:rPr>
                <w:rFonts w:ascii="Arial" w:hAnsi="Arial" w:cs="Arial"/>
                <w:sz w:val="20"/>
                <w:szCs w:val="20"/>
                <w:lang w:eastAsia="sk-SK"/>
              </w:rPr>
              <w:t>nezdaniteľnú časť základu dane</w:t>
            </w:r>
            <w:r w:rsidR="00EE0DC1" w:rsidRPr="000F2079">
              <w:rPr>
                <w:rFonts w:ascii="Arial" w:hAnsi="Arial" w:cs="Arial"/>
                <w:sz w:val="20"/>
                <w:szCs w:val="20"/>
                <w:lang w:eastAsia="sk-SK"/>
              </w:rPr>
              <w:t xml:space="preserve"> a/alebo</w:t>
            </w:r>
          </w:p>
          <w:p w:rsidR="000F284B" w:rsidRPr="000F2079" w:rsidRDefault="00767221" w:rsidP="00EE0DC1">
            <w:pPr>
              <w:pStyle w:val="Odsekzoznamu"/>
              <w:numPr>
                <w:ilvl w:val="0"/>
                <w:numId w:val="29"/>
              </w:numPr>
              <w:spacing w:after="0"/>
              <w:jc w:val="both"/>
              <w:rPr>
                <w:rFonts w:ascii="Arial" w:hAnsi="Arial" w:cs="Arial"/>
                <w:sz w:val="20"/>
                <w:szCs w:val="20"/>
                <w:lang w:eastAsia="sk-SK"/>
              </w:rPr>
            </w:pPr>
            <w:r w:rsidRPr="000F2079">
              <w:rPr>
                <w:rFonts w:ascii="Arial" w:hAnsi="Arial" w:cs="Arial"/>
                <w:sz w:val="20"/>
                <w:szCs w:val="20"/>
                <w:lang w:eastAsia="sk-SK"/>
              </w:rPr>
              <w:t>odpočítateľnú položku na zdravotné odvody</w:t>
            </w:r>
            <w:r w:rsidR="00EE0DC1" w:rsidRPr="000F2079">
              <w:rPr>
                <w:rFonts w:ascii="Arial" w:hAnsi="Arial" w:cs="Arial"/>
                <w:sz w:val="20"/>
                <w:szCs w:val="20"/>
                <w:lang w:eastAsia="sk-SK"/>
              </w:rPr>
              <w:t>.</w:t>
            </w:r>
          </w:p>
          <w:p w:rsidR="00EE0DC1" w:rsidRPr="000F2079" w:rsidRDefault="00EE0DC1" w:rsidP="00EE0DC1">
            <w:pPr>
              <w:pStyle w:val="Odsekzoznamu"/>
              <w:spacing w:after="0"/>
              <w:ind w:left="0"/>
              <w:jc w:val="both"/>
              <w:rPr>
                <w:rFonts w:ascii="Arial" w:hAnsi="Arial" w:cs="Arial"/>
                <w:sz w:val="20"/>
                <w:szCs w:val="20"/>
                <w:lang w:eastAsia="sk-SK"/>
              </w:rPr>
            </w:pPr>
          </w:p>
        </w:tc>
      </w:tr>
      <w:tr w:rsidR="005F6EE8" w:rsidRPr="000F2079" w:rsidTr="008A2E0D">
        <w:trPr>
          <w:trHeight w:val="557"/>
        </w:trPr>
        <w:tc>
          <w:tcPr>
            <w:tcW w:w="2410" w:type="dxa"/>
          </w:tcPr>
          <w:p w:rsidR="005F6EE8" w:rsidRPr="000F2079" w:rsidRDefault="005F6EE8" w:rsidP="005F6EE8">
            <w:pPr>
              <w:spacing w:after="0"/>
              <w:outlineLvl w:val="0"/>
              <w:rPr>
                <w:rFonts w:ascii="Arial" w:hAnsi="Arial" w:cs="Arial"/>
                <w:bCs/>
                <w:sz w:val="20"/>
                <w:szCs w:val="20"/>
              </w:rPr>
            </w:pPr>
            <w:r w:rsidRPr="000F2079">
              <w:rPr>
                <w:rFonts w:ascii="Arial" w:hAnsi="Arial" w:cs="Arial"/>
                <w:bCs/>
                <w:sz w:val="20"/>
                <w:szCs w:val="20"/>
              </w:rPr>
              <w:t xml:space="preserve">3. Alternatívne alebo zmierňujúce opatrenie </w:t>
            </w:r>
            <w:r w:rsidRPr="000F2079">
              <w:rPr>
                <w:rFonts w:ascii="Arial" w:hAnsi="Arial" w:cs="Arial"/>
                <w:sz w:val="20"/>
                <w:szCs w:val="20"/>
              </w:rPr>
              <w:t>združenia na podporu MSP</w:t>
            </w:r>
          </w:p>
          <w:p w:rsidR="005F6EE8" w:rsidRPr="000F2079" w:rsidRDefault="005F6EE8" w:rsidP="005F6EE8">
            <w:pPr>
              <w:spacing w:after="0"/>
              <w:outlineLvl w:val="0"/>
              <w:rPr>
                <w:rFonts w:ascii="Arial" w:hAnsi="Arial" w:cs="Arial"/>
                <w:bCs/>
                <w:color w:val="000000"/>
                <w:sz w:val="20"/>
                <w:szCs w:val="20"/>
              </w:rPr>
            </w:pPr>
          </w:p>
          <w:p w:rsidR="005F6EE8" w:rsidRPr="000F2079" w:rsidRDefault="005F6EE8" w:rsidP="005F6EE8">
            <w:pPr>
              <w:spacing w:after="0"/>
              <w:outlineLvl w:val="0"/>
              <w:rPr>
                <w:rFonts w:ascii="Arial" w:hAnsi="Arial" w:cs="Arial"/>
                <w:bCs/>
                <w:color w:val="000000"/>
                <w:sz w:val="20"/>
                <w:szCs w:val="20"/>
              </w:rPr>
            </w:pPr>
          </w:p>
          <w:p w:rsidR="005F6EE8" w:rsidRPr="000F2079" w:rsidRDefault="005F6EE8" w:rsidP="005F6EE8">
            <w:pPr>
              <w:spacing w:after="0"/>
              <w:outlineLvl w:val="0"/>
              <w:rPr>
                <w:rFonts w:ascii="Arial" w:hAnsi="Arial" w:cs="Arial"/>
                <w:bCs/>
                <w:color w:val="000000"/>
                <w:sz w:val="20"/>
                <w:szCs w:val="20"/>
              </w:rPr>
            </w:pPr>
          </w:p>
          <w:p w:rsidR="005F6EE8" w:rsidRPr="000F2079" w:rsidRDefault="005F6EE8" w:rsidP="005F6EE8">
            <w:pPr>
              <w:spacing w:after="0"/>
              <w:outlineLvl w:val="0"/>
              <w:rPr>
                <w:rFonts w:ascii="Arial" w:hAnsi="Arial" w:cs="Arial"/>
                <w:bCs/>
                <w:color w:val="000000"/>
                <w:sz w:val="20"/>
                <w:szCs w:val="20"/>
              </w:rPr>
            </w:pPr>
          </w:p>
          <w:p w:rsidR="005F6EE8" w:rsidRPr="000F2079" w:rsidRDefault="005F6EE8" w:rsidP="005F6EE8">
            <w:pPr>
              <w:spacing w:after="0"/>
              <w:outlineLvl w:val="0"/>
              <w:rPr>
                <w:rFonts w:ascii="Arial" w:hAnsi="Arial" w:cs="Arial"/>
                <w:bCs/>
                <w:color w:val="000000"/>
                <w:sz w:val="20"/>
                <w:szCs w:val="20"/>
              </w:rPr>
            </w:pPr>
          </w:p>
          <w:p w:rsidR="005F6EE8" w:rsidRPr="000F2079" w:rsidRDefault="005F6EE8" w:rsidP="005F6EE8">
            <w:pPr>
              <w:spacing w:after="0"/>
              <w:outlineLvl w:val="0"/>
              <w:rPr>
                <w:rFonts w:ascii="Arial" w:hAnsi="Arial" w:cs="Arial"/>
                <w:bCs/>
                <w:color w:val="000000"/>
                <w:sz w:val="20"/>
                <w:szCs w:val="20"/>
              </w:rPr>
            </w:pPr>
          </w:p>
        </w:tc>
        <w:tc>
          <w:tcPr>
            <w:tcW w:w="6802" w:type="dxa"/>
          </w:tcPr>
          <w:p w:rsidR="005F6EE8" w:rsidRPr="000F2079" w:rsidRDefault="005F6EE8" w:rsidP="005F6EE8">
            <w:pPr>
              <w:pStyle w:val="Odsekzoznamu"/>
              <w:ind w:left="0"/>
              <w:jc w:val="both"/>
              <w:rPr>
                <w:rFonts w:ascii="Arial" w:hAnsi="Arial" w:cs="Arial"/>
                <w:b/>
                <w:sz w:val="20"/>
                <w:szCs w:val="20"/>
                <w:u w:val="single"/>
                <w:lang w:eastAsia="sk-SK"/>
              </w:rPr>
            </w:pPr>
            <w:r w:rsidRPr="000F2079">
              <w:rPr>
                <w:rFonts w:ascii="Arial" w:hAnsi="Arial" w:cs="Arial"/>
                <w:b/>
                <w:sz w:val="20"/>
                <w:szCs w:val="20"/>
                <w:u w:val="single"/>
                <w:lang w:eastAsia="sk-SK"/>
              </w:rPr>
              <w:lastRenderedPageBreak/>
              <w:t>Zmena spôsobu prijímania novej sumy minimálnej mzdy</w:t>
            </w:r>
          </w:p>
          <w:p w:rsidR="00F03C2F" w:rsidRPr="00A74D63" w:rsidRDefault="00F03C2F" w:rsidP="00A74D63">
            <w:pPr>
              <w:pStyle w:val="Odsekzoznamu"/>
              <w:ind w:left="0"/>
              <w:jc w:val="both"/>
              <w:rPr>
                <w:rFonts w:ascii="Arial" w:hAnsi="Arial" w:cs="Arial"/>
                <w:sz w:val="20"/>
                <w:szCs w:val="20"/>
                <w:lang w:eastAsia="sk-SK"/>
              </w:rPr>
            </w:pPr>
            <w:r w:rsidRPr="000F2079">
              <w:rPr>
                <w:rFonts w:ascii="Arial" w:hAnsi="Arial" w:cs="Arial"/>
                <w:sz w:val="20"/>
                <w:szCs w:val="20"/>
                <w:lang w:eastAsia="sk-SK"/>
              </w:rPr>
              <w:t xml:space="preserve">Nakoľko už niekoľko rokov na Slovensku sme svedkami skutočnosti, že vláda sa so sociálnymi partnermi (najmä zástupcami zamestnávateľov) nedohodne na novej sume minimálnej mzdy, a teda určí jej výšku svojvoľne, keďže jej túto kompetenciu zveruje nariadenie. Ak má byť suma minimálnej mzdy každoročne ustanovená čo najviac objektívne vzhľadom na ekonomický vývoj krajiny a čo najmenej subjektívne </w:t>
            </w:r>
            <w:r w:rsidRPr="000F2079">
              <w:rPr>
                <w:rFonts w:ascii="Arial" w:hAnsi="Arial" w:cs="Arial"/>
                <w:sz w:val="20"/>
                <w:szCs w:val="20"/>
                <w:lang w:eastAsia="sk-SK"/>
              </w:rPr>
              <w:lastRenderedPageBreak/>
              <w:t xml:space="preserve">vzhľadom na politickú stratégiu vlády, </w:t>
            </w:r>
            <w:r w:rsidRPr="000F2079">
              <w:rPr>
                <w:rFonts w:ascii="Arial" w:hAnsi="Arial" w:cs="Arial"/>
                <w:sz w:val="20"/>
                <w:szCs w:val="20"/>
                <w:u w:val="single"/>
                <w:lang w:eastAsia="sk-SK"/>
              </w:rPr>
              <w:t>spôsobom, ako to dosi</w:t>
            </w:r>
            <w:r w:rsidR="00A74D63">
              <w:rPr>
                <w:rFonts w:ascii="Arial" w:hAnsi="Arial" w:cs="Arial"/>
                <w:sz w:val="20"/>
                <w:szCs w:val="20"/>
                <w:u w:val="single"/>
                <w:lang w:eastAsia="sk-SK"/>
              </w:rPr>
              <w:t>ahnuť môže byť</w:t>
            </w:r>
            <w:r w:rsidR="00A74D63">
              <w:rPr>
                <w:rFonts w:ascii="Arial" w:hAnsi="Arial" w:cs="Arial"/>
                <w:sz w:val="20"/>
                <w:szCs w:val="20"/>
                <w:lang w:eastAsia="sk-SK"/>
              </w:rPr>
              <w:t xml:space="preserve"> </w:t>
            </w:r>
            <w:r w:rsidRPr="000F2079">
              <w:rPr>
                <w:rFonts w:ascii="Arial" w:hAnsi="Arial" w:cs="Arial"/>
                <w:b/>
                <w:sz w:val="20"/>
                <w:szCs w:val="20"/>
                <w:lang w:eastAsia="sk-SK"/>
              </w:rPr>
              <w:t>exaktnejšia a striktnejšia úprava formy prijímania kompromisu medzi vládou a sociálnymi partnermi</w:t>
            </w:r>
            <w:r w:rsidRPr="000F2079">
              <w:rPr>
                <w:rFonts w:ascii="Arial" w:hAnsi="Arial" w:cs="Arial"/>
                <w:sz w:val="20"/>
                <w:szCs w:val="20"/>
                <w:lang w:eastAsia="sk-SK"/>
              </w:rPr>
              <w:t xml:space="preserve"> (napr. hlasovanie, v ktorého pravidlách sa zohľadní skutočnosť, že zástupcovia zamestnancov majú vždy totožný názor ako vláda priklonená k maximálnemu zvýšeniu minimálnej mzdy a naopak, t. j. </w:t>
            </w:r>
            <w:r w:rsidRPr="000F2079">
              <w:rPr>
                <w:rFonts w:ascii="Arial" w:hAnsi="Arial" w:cs="Arial"/>
                <w:b/>
                <w:sz w:val="20"/>
                <w:szCs w:val="20"/>
                <w:lang w:eastAsia="sk-SK"/>
              </w:rPr>
              <w:t>napr. ak sa nedosiahne absolútna väčšina hlasov, minimálna mzda sa zvýši podľa zákonom ustanoveného vzorca</w:t>
            </w:r>
            <w:r w:rsidRPr="000F2079">
              <w:rPr>
                <w:rFonts w:ascii="Arial" w:hAnsi="Arial" w:cs="Arial"/>
                <w:sz w:val="20"/>
                <w:szCs w:val="20"/>
                <w:lang w:eastAsia="sk-SK"/>
              </w:rPr>
              <w:t>)</w:t>
            </w:r>
            <w:r w:rsidR="00A74D63">
              <w:rPr>
                <w:rFonts w:ascii="Arial" w:hAnsi="Arial" w:cs="Arial"/>
                <w:sz w:val="20"/>
                <w:szCs w:val="20"/>
                <w:lang w:eastAsia="sk-SK"/>
              </w:rPr>
              <w:t>.</w:t>
            </w:r>
          </w:p>
        </w:tc>
      </w:tr>
    </w:tbl>
    <w:p w:rsidR="001F1A04" w:rsidRPr="000F2079" w:rsidRDefault="001F1A04" w:rsidP="00FC7D11">
      <w:pPr>
        <w:pStyle w:val="Odsekzoznamu"/>
        <w:widowControl/>
        <w:spacing w:after="0"/>
        <w:ind w:left="851"/>
        <w:outlineLvl w:val="0"/>
        <w:rPr>
          <w:rFonts w:ascii="Arial" w:hAnsi="Arial" w:cs="Arial"/>
          <w:b/>
          <w:bCs/>
          <w:color w:val="000000"/>
          <w:sz w:val="20"/>
          <w:szCs w:val="20"/>
          <w:highlight w:val="yellow"/>
          <w:u w:val="single"/>
        </w:rPr>
      </w:pPr>
    </w:p>
    <w:p w:rsidR="00F51924" w:rsidRPr="000F2079" w:rsidRDefault="00F51924" w:rsidP="00F51924">
      <w:pPr>
        <w:ind w:left="1080"/>
        <w:rPr>
          <w:rFonts w:ascii="Arial" w:hAnsi="Arial" w:cs="Arial"/>
          <w:b/>
          <w:bCs/>
          <w:color w:val="000000"/>
          <w:sz w:val="20"/>
          <w:szCs w:val="20"/>
          <w:u w:val="single"/>
        </w:rPr>
      </w:pPr>
    </w:p>
    <w:p w:rsidR="00736CE7" w:rsidRPr="000F2079" w:rsidRDefault="00464510" w:rsidP="00F51924">
      <w:pPr>
        <w:numPr>
          <w:ilvl w:val="0"/>
          <w:numId w:val="1"/>
        </w:numPr>
        <w:rPr>
          <w:rFonts w:ascii="Arial" w:hAnsi="Arial" w:cs="Arial"/>
          <w:b/>
          <w:bCs/>
          <w:color w:val="000000"/>
          <w:sz w:val="20"/>
          <w:szCs w:val="20"/>
          <w:u w:val="single"/>
        </w:rPr>
      </w:pPr>
      <w:r w:rsidRPr="000F2079">
        <w:rPr>
          <w:rFonts w:ascii="Arial" w:hAnsi="Arial" w:cs="Arial"/>
          <w:b/>
          <w:color w:val="000000"/>
          <w:sz w:val="20"/>
          <w:szCs w:val="20"/>
          <w:u w:val="single"/>
        </w:rPr>
        <w:t>č</w:t>
      </w:r>
      <w:r w:rsidR="00736CE7" w:rsidRPr="000F2079">
        <w:rPr>
          <w:rFonts w:ascii="Arial" w:hAnsi="Arial" w:cs="Arial"/>
          <w:b/>
          <w:color w:val="000000"/>
          <w:sz w:val="20"/>
          <w:szCs w:val="20"/>
          <w:u w:val="single"/>
        </w:rPr>
        <w:t xml:space="preserve">asť:  </w:t>
      </w:r>
      <w:r w:rsidR="00F51924" w:rsidRPr="000F2079">
        <w:rPr>
          <w:rFonts w:ascii="Arial" w:hAnsi="Arial" w:cs="Arial"/>
          <w:b/>
          <w:bCs/>
          <w:color w:val="000000"/>
          <w:sz w:val="20"/>
          <w:szCs w:val="20"/>
          <w:u w:val="single"/>
        </w:rPr>
        <w:t>Medzinárodné porovnanie a best practices členských štátov EÚ</w:t>
      </w:r>
    </w:p>
    <w:p w:rsidR="00736CE7" w:rsidRPr="000F2079" w:rsidRDefault="00736CE7" w:rsidP="00FC7D11">
      <w:pPr>
        <w:pStyle w:val="Odsekzoznamu"/>
        <w:widowControl/>
        <w:spacing w:after="0"/>
        <w:outlineLvl w:val="0"/>
        <w:rPr>
          <w:rFonts w:ascii="Arial" w:hAnsi="Arial" w:cs="Arial"/>
          <w:b/>
          <w:bCs/>
          <w:color w:val="000000"/>
          <w:sz w:val="20"/>
          <w:szCs w:val="20"/>
          <w:highlight w:val="magenta"/>
          <w:u w:val="single"/>
        </w:rPr>
      </w:pPr>
    </w:p>
    <w:p w:rsidR="005D47A0" w:rsidRPr="000F2079" w:rsidRDefault="005D47A0" w:rsidP="00910DAC">
      <w:pPr>
        <w:ind w:firstLine="708"/>
        <w:jc w:val="both"/>
        <w:rPr>
          <w:rFonts w:ascii="Arial" w:hAnsi="Arial" w:cs="Arial"/>
          <w:bCs/>
          <w:color w:val="000000"/>
          <w:sz w:val="20"/>
          <w:szCs w:val="20"/>
        </w:rPr>
      </w:pPr>
      <w:r w:rsidRPr="000F2079">
        <w:rPr>
          <w:rFonts w:ascii="Arial" w:hAnsi="Arial" w:cs="Arial"/>
          <w:bCs/>
          <w:color w:val="000000"/>
          <w:sz w:val="20"/>
          <w:szCs w:val="20"/>
        </w:rPr>
        <w:t xml:space="preserve">Centrum lepšej regulácie vykonalo </w:t>
      </w:r>
      <w:r w:rsidRPr="000F2079">
        <w:rPr>
          <w:rFonts w:ascii="Arial" w:hAnsi="Arial" w:cs="Arial"/>
          <w:b/>
          <w:bCs/>
          <w:color w:val="000000"/>
          <w:sz w:val="20"/>
          <w:szCs w:val="20"/>
        </w:rPr>
        <w:t>medzinárodné porovnanie predmetnej regulácie vo vybraných členských štátoch EÚ</w:t>
      </w:r>
      <w:r w:rsidRPr="000F2079">
        <w:rPr>
          <w:rFonts w:ascii="Arial" w:hAnsi="Arial" w:cs="Arial"/>
          <w:bCs/>
          <w:color w:val="000000"/>
          <w:sz w:val="20"/>
          <w:szCs w:val="20"/>
        </w:rPr>
        <w:t xml:space="preserve">, ktorého výsledkom je: </w:t>
      </w:r>
    </w:p>
    <w:p w:rsidR="005D47A0" w:rsidRPr="000F2079" w:rsidRDefault="005D47A0" w:rsidP="005D47A0">
      <w:pPr>
        <w:ind w:firstLine="282"/>
        <w:jc w:val="both"/>
        <w:rPr>
          <w:rFonts w:ascii="Arial" w:hAnsi="Arial" w:cs="Arial"/>
          <w:bCs/>
          <w:color w:val="000000"/>
          <w:sz w:val="20"/>
          <w:szCs w:val="20"/>
        </w:rPr>
      </w:pPr>
      <w:r w:rsidRPr="000F2079">
        <w:rPr>
          <w:rFonts w:ascii="Arial" w:hAnsi="Arial" w:cs="Arial"/>
          <w:bCs/>
          <w:color w:val="000000"/>
          <w:sz w:val="20"/>
          <w:szCs w:val="20"/>
        </w:rPr>
        <w:t xml:space="preserve">K 1. januáru 2018 malo </w:t>
      </w:r>
      <w:r w:rsidRPr="000F2079">
        <w:rPr>
          <w:rFonts w:ascii="Arial" w:hAnsi="Arial" w:cs="Arial"/>
          <w:b/>
          <w:bCs/>
          <w:color w:val="000000"/>
          <w:sz w:val="20"/>
          <w:szCs w:val="20"/>
        </w:rPr>
        <w:t>22 z aktuálne 28 členských štátov zákonom stanovenú minimálnu mzdu</w:t>
      </w:r>
      <w:r w:rsidRPr="000F2079">
        <w:rPr>
          <w:rFonts w:ascii="Arial" w:hAnsi="Arial" w:cs="Arial"/>
          <w:bCs/>
          <w:color w:val="000000"/>
          <w:sz w:val="20"/>
          <w:szCs w:val="20"/>
        </w:rPr>
        <w:t xml:space="preserve">. Krajinami tvoriacimi výnimku sú </w:t>
      </w:r>
      <w:r w:rsidRPr="000F2079">
        <w:rPr>
          <w:rFonts w:ascii="Arial" w:hAnsi="Arial" w:cs="Arial"/>
          <w:b/>
          <w:bCs/>
          <w:color w:val="000000"/>
          <w:sz w:val="20"/>
          <w:szCs w:val="20"/>
        </w:rPr>
        <w:t>Dánsko, Taliansko, Cyprus, Rakúsko, Fínsko a Švédsko</w:t>
      </w:r>
      <w:r w:rsidRPr="000F2079">
        <w:rPr>
          <w:rFonts w:ascii="Arial" w:hAnsi="Arial" w:cs="Arial"/>
          <w:bCs/>
          <w:color w:val="000000"/>
          <w:sz w:val="20"/>
          <w:szCs w:val="20"/>
        </w:rPr>
        <w:t xml:space="preserve">. Napriek tomu, že v daných krajinách nie je minimálna mzda stanovená zákonom, neznamená to, že tu minimálna mzda neexistuje. Napr. v Rakúsku, prevažne u väčších zamestnávateľov, je minimálna mzda zakotvená v kolektívnej zmluve, a teda daná oblasť je vecou dohody medzi zamestnávateľom a zamestnancami. To isté platí aj pre Dánsko, Taliansko, Fínsko, Švédsko (mimo EÚ pre Island, Nórsko a Švajčiarsko) – </w:t>
      </w:r>
      <w:r w:rsidRPr="000F2079">
        <w:rPr>
          <w:rFonts w:ascii="Arial" w:hAnsi="Arial" w:cs="Arial"/>
          <w:b/>
          <w:bCs/>
          <w:color w:val="000000"/>
          <w:sz w:val="20"/>
          <w:szCs w:val="20"/>
        </w:rPr>
        <w:t>minimálne mzdy sú stanovené na základe kolektívnych zmlúv pre viaceré konkrétne sektory</w:t>
      </w:r>
      <w:r w:rsidRPr="000F2079">
        <w:rPr>
          <w:rFonts w:ascii="Arial" w:hAnsi="Arial" w:cs="Arial"/>
          <w:bCs/>
          <w:color w:val="000000"/>
          <w:sz w:val="20"/>
          <w:szCs w:val="20"/>
        </w:rPr>
        <w:t>. Znamená to, že minimálna mzda pre tú ktorú profesiu nie je vecou legislatívy, ale vecou dohody medzi dvomi stranami. Rozdiel teda spočíva v tom, že zatiaľ čo štátom určená minimálna mzda platí pre všetkých zamestnancov nezávisle od toho, akú prácu vykonávajú, kolektívne zmluvy sa týkajú určitých hospodárskych odvetví a profesií. Môže sa tak stať (a je to celkom bežné), že pracovníci majú v rôznych odvetviach rôznu minimálnu mzdu. Touto cestou donedávna šlo aj Nemecko, ale v roku 2015 zaviedlo minimálnu mzdu, ktorá je momentálne (rok 2018) na úrovni 8,84 EUR/hod, čo predstavuje približne 1 498 EUR mesačne.</w:t>
      </w:r>
    </w:p>
    <w:p w:rsidR="005D47A0" w:rsidRPr="000F2079" w:rsidRDefault="005D47A0" w:rsidP="00910DAC">
      <w:pPr>
        <w:ind w:firstLine="708"/>
        <w:jc w:val="both"/>
        <w:rPr>
          <w:rFonts w:ascii="Arial" w:hAnsi="Arial" w:cs="Arial"/>
          <w:bCs/>
          <w:color w:val="000000"/>
          <w:sz w:val="20"/>
          <w:szCs w:val="20"/>
        </w:rPr>
      </w:pPr>
      <w:r w:rsidRPr="000F2079">
        <w:rPr>
          <w:rFonts w:ascii="Arial" w:hAnsi="Arial" w:cs="Arial"/>
          <w:b/>
          <w:bCs/>
          <w:color w:val="000000"/>
          <w:sz w:val="20"/>
          <w:szCs w:val="20"/>
        </w:rPr>
        <w:t>Medzinárodné porovnanie, ktoré v rámci testu MSP vykonávame sa však bude týkať</w:t>
      </w:r>
      <w:r w:rsidRPr="000F2079">
        <w:rPr>
          <w:rFonts w:ascii="Arial" w:hAnsi="Arial" w:cs="Arial"/>
          <w:bCs/>
          <w:color w:val="000000"/>
          <w:sz w:val="20"/>
          <w:szCs w:val="20"/>
        </w:rPr>
        <w:t xml:space="preserve"> krajín, kde je minimálna mzda stanovená z</w:t>
      </w:r>
      <w:r w:rsidR="001C24B7">
        <w:rPr>
          <w:rFonts w:ascii="Arial" w:hAnsi="Arial" w:cs="Arial"/>
          <w:bCs/>
          <w:color w:val="000000"/>
          <w:sz w:val="20"/>
          <w:szCs w:val="20"/>
        </w:rPr>
        <w:t>ákonom po konzultácii s členmi t</w:t>
      </w:r>
      <w:r w:rsidRPr="000F2079">
        <w:rPr>
          <w:rFonts w:ascii="Arial" w:hAnsi="Arial" w:cs="Arial"/>
          <w:bCs/>
          <w:color w:val="000000"/>
          <w:sz w:val="20"/>
          <w:szCs w:val="20"/>
        </w:rPr>
        <w:t xml:space="preserve">ripartity, teda tzv. </w:t>
      </w:r>
      <w:r w:rsidRPr="000F2079">
        <w:rPr>
          <w:rFonts w:ascii="Arial" w:hAnsi="Arial" w:cs="Arial"/>
          <w:b/>
          <w:bCs/>
          <w:color w:val="000000"/>
          <w:sz w:val="20"/>
          <w:szCs w:val="20"/>
        </w:rPr>
        <w:t>zákonných minimálnych miezd</w:t>
      </w:r>
      <w:r w:rsidRPr="000F2079">
        <w:rPr>
          <w:rFonts w:ascii="Arial" w:hAnsi="Arial" w:cs="Arial"/>
          <w:bCs/>
          <w:color w:val="000000"/>
          <w:sz w:val="20"/>
          <w:szCs w:val="20"/>
        </w:rPr>
        <w:t xml:space="preserve"> </w:t>
      </w:r>
      <w:r w:rsidRPr="000F2079">
        <w:rPr>
          <w:rFonts w:ascii="Arial" w:hAnsi="Arial" w:cs="Arial"/>
          <w:b/>
          <w:bCs/>
          <w:color w:val="000000"/>
          <w:sz w:val="20"/>
          <w:szCs w:val="20"/>
        </w:rPr>
        <w:t>a rozdielov v ich výške medzi jednotlivými členskými štátmi EÚ</w:t>
      </w:r>
      <w:r w:rsidRPr="000F2079">
        <w:rPr>
          <w:rFonts w:ascii="Arial" w:hAnsi="Arial" w:cs="Arial"/>
          <w:bCs/>
          <w:color w:val="000000"/>
          <w:sz w:val="20"/>
          <w:szCs w:val="20"/>
        </w:rPr>
        <w:t xml:space="preserve">. V rámci porovnávania výšky minimálnej mzdy pritom treba zdôrazniť, že od mesačných sadzieb za hrubé príjmy sa odpočítava daň z príjmu a príspevky na sociálne zabezpečenie – výška týchto súm je, samozrejme, v jednotlivých krajinách odlišná. </w:t>
      </w:r>
    </w:p>
    <w:p w:rsidR="005D47A0" w:rsidRPr="000F2079" w:rsidRDefault="005D47A0" w:rsidP="005D47A0">
      <w:pPr>
        <w:ind w:firstLine="282"/>
        <w:jc w:val="both"/>
        <w:rPr>
          <w:rFonts w:ascii="Arial" w:hAnsi="Arial" w:cs="Arial"/>
          <w:b/>
          <w:bCs/>
          <w:color w:val="000000"/>
          <w:sz w:val="20"/>
          <w:szCs w:val="20"/>
          <w:u w:val="single"/>
        </w:rPr>
      </w:pPr>
      <w:r w:rsidRPr="000F2079">
        <w:rPr>
          <w:rFonts w:ascii="Arial" w:hAnsi="Arial" w:cs="Arial"/>
          <w:b/>
          <w:bCs/>
          <w:color w:val="000000"/>
          <w:sz w:val="20"/>
          <w:szCs w:val="20"/>
          <w:u w:val="single"/>
        </w:rPr>
        <w:t>Rozdiely v zákonných minimálnych mzdách</w:t>
      </w:r>
    </w:p>
    <w:p w:rsidR="005D47A0" w:rsidRPr="000F2079" w:rsidRDefault="005D47A0" w:rsidP="00910DAC">
      <w:pPr>
        <w:ind w:firstLine="708"/>
        <w:jc w:val="both"/>
        <w:rPr>
          <w:rFonts w:ascii="Arial" w:hAnsi="Arial" w:cs="Arial"/>
          <w:sz w:val="20"/>
          <w:szCs w:val="20"/>
        </w:rPr>
      </w:pPr>
      <w:r w:rsidRPr="000F2079">
        <w:rPr>
          <w:rFonts w:ascii="Arial" w:hAnsi="Arial" w:cs="Arial"/>
          <w:b/>
          <w:bCs/>
          <w:color w:val="000000"/>
          <w:sz w:val="20"/>
          <w:szCs w:val="20"/>
        </w:rPr>
        <w:t>Členské štáty EÚ možno na základe výšky zákonných hrubých mesačných minimálnych miezd vyjadrených v eurách rozdeliť</w:t>
      </w:r>
      <w:r w:rsidRPr="000F2079">
        <w:rPr>
          <w:rFonts w:ascii="Arial" w:hAnsi="Arial" w:cs="Arial"/>
          <w:bCs/>
          <w:color w:val="000000"/>
          <w:sz w:val="20"/>
          <w:szCs w:val="20"/>
        </w:rPr>
        <w:t xml:space="preserve"> </w:t>
      </w:r>
      <w:r w:rsidRPr="000F2079">
        <w:rPr>
          <w:rFonts w:ascii="Arial" w:hAnsi="Arial" w:cs="Arial"/>
          <w:b/>
          <w:bCs/>
          <w:color w:val="000000"/>
          <w:sz w:val="20"/>
          <w:szCs w:val="20"/>
        </w:rPr>
        <w:t>do troch skupín</w:t>
      </w:r>
      <w:r w:rsidRPr="000F2079">
        <w:rPr>
          <w:rFonts w:ascii="Arial" w:hAnsi="Arial" w:cs="Arial"/>
          <w:bCs/>
          <w:color w:val="000000"/>
          <w:sz w:val="20"/>
          <w:szCs w:val="20"/>
        </w:rPr>
        <w:t xml:space="preserve">. Je potrebné zdôrazniť, že v prípade členských štátov EÚ mimo eurozóny vplýva na uvedenú výšku minimálnej mzdy v eurách a na zodpovedajúce poradie jednak výmenný kurz, ktorý sa používa pri prepočte národných mien na euro, v rámci celej EÚ bez ohľadu na súčasť eurozóny fakt, že nie všetky krajiny majú 40 hodinový pracovný čas a tiež skutočnosť, že v niektorých krajinách je minimálna mzda stanovená ako hodinová, v iných ako </w:t>
      </w:r>
      <w:r w:rsidRPr="000F2079">
        <w:rPr>
          <w:rFonts w:ascii="Arial" w:hAnsi="Arial" w:cs="Arial"/>
          <w:sz w:val="20"/>
          <w:szCs w:val="20"/>
        </w:rPr>
        <w:t xml:space="preserve">mesačná. </w:t>
      </w:r>
    </w:p>
    <w:p w:rsidR="005D47A0" w:rsidRPr="000F2079" w:rsidRDefault="005D47A0" w:rsidP="00910DAC">
      <w:pPr>
        <w:ind w:firstLine="708"/>
        <w:jc w:val="both"/>
        <w:rPr>
          <w:rFonts w:ascii="Arial" w:hAnsi="Arial" w:cs="Arial"/>
          <w:bCs/>
          <w:color w:val="000000"/>
          <w:sz w:val="20"/>
          <w:szCs w:val="20"/>
        </w:rPr>
      </w:pPr>
      <w:r w:rsidRPr="000F2079">
        <w:rPr>
          <w:rFonts w:ascii="Arial" w:hAnsi="Arial" w:cs="Arial"/>
          <w:b/>
          <w:bCs/>
          <w:color w:val="000000"/>
          <w:sz w:val="20"/>
          <w:szCs w:val="20"/>
          <w:u w:val="single"/>
        </w:rPr>
        <w:t>Prvú skupinu</w:t>
      </w:r>
      <w:r w:rsidRPr="000F2079">
        <w:rPr>
          <w:rFonts w:ascii="Arial" w:hAnsi="Arial" w:cs="Arial"/>
          <w:bCs/>
          <w:color w:val="000000"/>
          <w:sz w:val="20"/>
          <w:szCs w:val="20"/>
        </w:rPr>
        <w:t xml:space="preserve"> tvoria krajiny, v ktorých boli zákonné minimálne mzdy v januári 2018 nižšie ako 500 EUR mesačne. Patria sem: Bulharsko, Litva, Rumunsko, Lotyšsko, Maďarsko, Chorvátsko, Česká</w:t>
      </w:r>
      <w:r w:rsidRPr="000F2079">
        <w:rPr>
          <w:rFonts w:ascii="Arial" w:hAnsi="Arial" w:cs="Arial"/>
          <w:sz w:val="20"/>
          <w:szCs w:val="20"/>
        </w:rPr>
        <w:t xml:space="preserve"> </w:t>
      </w:r>
      <w:r w:rsidRPr="000F2079">
        <w:rPr>
          <w:rFonts w:ascii="Arial" w:hAnsi="Arial" w:cs="Arial"/>
          <w:bCs/>
          <w:color w:val="000000"/>
          <w:sz w:val="20"/>
          <w:szCs w:val="20"/>
        </w:rPr>
        <w:t xml:space="preserve">republika a Slovensko. Ich zákonné minimálne mzdy dosahovali </w:t>
      </w:r>
      <w:r w:rsidRPr="000F2079">
        <w:rPr>
          <w:rFonts w:ascii="Arial" w:hAnsi="Arial" w:cs="Arial"/>
          <w:b/>
          <w:bCs/>
          <w:color w:val="000000"/>
          <w:sz w:val="20"/>
          <w:szCs w:val="20"/>
        </w:rPr>
        <w:t>261 EUR v Bulharsku až 480 EUR na Slovensku</w:t>
      </w:r>
      <w:r w:rsidRPr="000F2079">
        <w:rPr>
          <w:rFonts w:ascii="Arial" w:hAnsi="Arial" w:cs="Arial"/>
          <w:bCs/>
          <w:color w:val="000000"/>
          <w:sz w:val="20"/>
          <w:szCs w:val="20"/>
        </w:rPr>
        <w:t>.</w:t>
      </w:r>
    </w:p>
    <w:p w:rsidR="005D47A0" w:rsidRPr="000F2079" w:rsidRDefault="005D47A0" w:rsidP="00910DAC">
      <w:pPr>
        <w:ind w:firstLine="708"/>
        <w:jc w:val="both"/>
        <w:rPr>
          <w:rFonts w:ascii="Arial" w:hAnsi="Arial" w:cs="Arial"/>
          <w:bCs/>
          <w:color w:val="000000"/>
          <w:sz w:val="20"/>
          <w:szCs w:val="20"/>
        </w:rPr>
      </w:pPr>
      <w:r w:rsidRPr="000F2079">
        <w:rPr>
          <w:rFonts w:ascii="Arial" w:hAnsi="Arial" w:cs="Arial"/>
          <w:bCs/>
          <w:color w:val="000000"/>
          <w:sz w:val="20"/>
          <w:szCs w:val="20"/>
        </w:rPr>
        <w:lastRenderedPageBreak/>
        <w:t xml:space="preserve">Do </w:t>
      </w:r>
      <w:r w:rsidRPr="000F2079">
        <w:rPr>
          <w:rFonts w:ascii="Arial" w:hAnsi="Arial" w:cs="Arial"/>
          <w:b/>
          <w:bCs/>
          <w:color w:val="000000"/>
          <w:sz w:val="20"/>
          <w:szCs w:val="20"/>
          <w:u w:val="single"/>
        </w:rPr>
        <w:t>druhej skupiny</w:t>
      </w:r>
      <w:r w:rsidRPr="000F2079">
        <w:rPr>
          <w:rFonts w:ascii="Arial" w:hAnsi="Arial" w:cs="Arial"/>
          <w:bCs/>
          <w:color w:val="000000"/>
          <w:sz w:val="20"/>
          <w:szCs w:val="20"/>
        </w:rPr>
        <w:t xml:space="preserve"> sme zaradili krajiny, v ktorých boli zákonné minimálne mzdy v januári 2018 aspoň 500 EUR, ale nižšie ako 1 000 EUR mesačne. Ide o: Estónsko, Poľsko, Portugalsko, Grécko, Maltu, Slovinsko a Španielsko. Ich zákonné minimálne mzdy sa pohybovali </w:t>
      </w:r>
      <w:r w:rsidRPr="000F2079">
        <w:rPr>
          <w:rFonts w:ascii="Arial" w:hAnsi="Arial" w:cs="Arial"/>
          <w:b/>
          <w:bCs/>
          <w:color w:val="000000"/>
          <w:sz w:val="20"/>
          <w:szCs w:val="20"/>
        </w:rPr>
        <w:t>od 500 EUR v Estónsku do 859 EUR v Španielsku</w:t>
      </w:r>
      <w:r w:rsidRPr="000F2079">
        <w:rPr>
          <w:rFonts w:ascii="Arial" w:hAnsi="Arial" w:cs="Arial"/>
          <w:bCs/>
          <w:color w:val="000000"/>
          <w:sz w:val="20"/>
          <w:szCs w:val="20"/>
        </w:rPr>
        <w:t>.</w:t>
      </w:r>
    </w:p>
    <w:p w:rsidR="005D47A0" w:rsidRPr="000F2079" w:rsidRDefault="005D47A0" w:rsidP="00910DAC">
      <w:pPr>
        <w:ind w:firstLine="708"/>
        <w:jc w:val="both"/>
        <w:rPr>
          <w:rFonts w:ascii="Arial" w:hAnsi="Arial" w:cs="Arial"/>
          <w:bCs/>
          <w:color w:val="000000"/>
          <w:sz w:val="20"/>
          <w:szCs w:val="20"/>
        </w:rPr>
      </w:pPr>
      <w:r w:rsidRPr="000F2079">
        <w:rPr>
          <w:rFonts w:ascii="Arial" w:hAnsi="Arial" w:cs="Arial"/>
          <w:b/>
          <w:bCs/>
          <w:color w:val="000000"/>
          <w:sz w:val="20"/>
          <w:szCs w:val="20"/>
          <w:u w:val="single"/>
        </w:rPr>
        <w:t>Tretia skupina</w:t>
      </w:r>
      <w:r w:rsidRPr="000F2079">
        <w:rPr>
          <w:rFonts w:ascii="Arial" w:hAnsi="Arial" w:cs="Arial"/>
          <w:bCs/>
          <w:color w:val="000000"/>
          <w:sz w:val="20"/>
          <w:szCs w:val="20"/>
        </w:rPr>
        <w:t xml:space="preserve"> zahŕňa štáty, kde boli v januári 2018 zákonné minimálne mzdy aspoň 1 000 EUR mesačne. Do tejto skupiny patria nasledujúce členské štáty EÚ: Veľká Británia, Nemecko, Francúzsko, Belgicko, Holandsko, Írsko a Luxembursko. Tu sa zákonné minimálne mzdy  pohybovali </w:t>
      </w:r>
      <w:r w:rsidRPr="000F2079">
        <w:rPr>
          <w:rFonts w:ascii="Arial" w:hAnsi="Arial" w:cs="Arial"/>
          <w:b/>
          <w:bCs/>
          <w:color w:val="000000"/>
          <w:sz w:val="20"/>
          <w:szCs w:val="20"/>
        </w:rPr>
        <w:t>od 1 401 EUR vo Veľkej Británii do 1 999 EUR v Luxembursku</w:t>
      </w:r>
      <w:r w:rsidRPr="000F2079">
        <w:rPr>
          <w:rFonts w:ascii="Arial" w:hAnsi="Arial" w:cs="Arial"/>
          <w:bCs/>
          <w:color w:val="000000"/>
          <w:sz w:val="20"/>
          <w:szCs w:val="20"/>
        </w:rPr>
        <w:t>.</w:t>
      </w:r>
    </w:p>
    <w:p w:rsidR="005D47A0" w:rsidRPr="000F2079" w:rsidRDefault="005D47A0" w:rsidP="00910DAC">
      <w:pPr>
        <w:ind w:firstLine="708"/>
        <w:jc w:val="both"/>
        <w:rPr>
          <w:rFonts w:ascii="Arial" w:hAnsi="Arial" w:cs="Arial"/>
          <w:bCs/>
          <w:color w:val="000000"/>
          <w:sz w:val="20"/>
          <w:szCs w:val="20"/>
        </w:rPr>
      </w:pPr>
      <w:r w:rsidRPr="000F2079">
        <w:rPr>
          <w:rFonts w:ascii="Arial" w:hAnsi="Arial" w:cs="Arial"/>
          <w:bCs/>
          <w:color w:val="000000"/>
          <w:sz w:val="20"/>
          <w:szCs w:val="20"/>
        </w:rPr>
        <w:t xml:space="preserve">Z vyššie uvedeného vyplýva, že kým v členských štátoch </w:t>
      </w:r>
      <w:r w:rsidRPr="000F2079">
        <w:rPr>
          <w:rFonts w:ascii="Arial" w:hAnsi="Arial" w:cs="Arial"/>
          <w:b/>
          <w:bCs/>
          <w:color w:val="000000"/>
          <w:sz w:val="20"/>
          <w:szCs w:val="20"/>
        </w:rPr>
        <w:t>na východe EÚ sa minimálna mzda pohybuje bežne pod hranicou 500 EUR, severozápadne presahuje aj 1 000 EUR</w:t>
      </w:r>
      <w:r w:rsidRPr="000F2079">
        <w:rPr>
          <w:rFonts w:ascii="Arial" w:hAnsi="Arial" w:cs="Arial"/>
          <w:bCs/>
          <w:color w:val="000000"/>
          <w:sz w:val="20"/>
          <w:szCs w:val="20"/>
        </w:rPr>
        <w:t xml:space="preserve">. Aktuálne má </w:t>
      </w:r>
      <w:r w:rsidRPr="000F2079">
        <w:rPr>
          <w:rFonts w:ascii="Arial" w:hAnsi="Arial" w:cs="Arial"/>
          <w:b/>
          <w:bCs/>
          <w:color w:val="000000"/>
          <w:sz w:val="20"/>
          <w:szCs w:val="20"/>
        </w:rPr>
        <w:t>najnižšiu minimálnu mzdu Bulharsko vo výške 261 EUR</w:t>
      </w:r>
      <w:r w:rsidRPr="000F2079">
        <w:rPr>
          <w:rFonts w:ascii="Arial" w:hAnsi="Arial" w:cs="Arial"/>
          <w:bCs/>
          <w:color w:val="000000"/>
          <w:sz w:val="20"/>
          <w:szCs w:val="20"/>
        </w:rPr>
        <w:t>, po ňom nasleduje Litva so 400 EUR, Rumunsko 408 EUR, Lotyšsko 430 EUR a </w:t>
      </w:r>
      <w:r w:rsidRPr="000F2079">
        <w:rPr>
          <w:rFonts w:ascii="Arial" w:hAnsi="Arial" w:cs="Arial"/>
          <w:b/>
          <w:bCs/>
          <w:color w:val="000000"/>
          <w:sz w:val="20"/>
          <w:szCs w:val="20"/>
        </w:rPr>
        <w:t>naopak najvyššia je</w:t>
      </w:r>
      <w:r w:rsidRPr="000F2079">
        <w:rPr>
          <w:rFonts w:ascii="Arial" w:hAnsi="Arial" w:cs="Arial"/>
          <w:bCs/>
          <w:color w:val="000000"/>
          <w:sz w:val="20"/>
          <w:szCs w:val="20"/>
        </w:rPr>
        <w:t xml:space="preserve"> stále </w:t>
      </w:r>
      <w:r w:rsidRPr="000F2079">
        <w:rPr>
          <w:rFonts w:ascii="Arial" w:hAnsi="Arial" w:cs="Arial"/>
          <w:b/>
          <w:bCs/>
          <w:color w:val="000000"/>
          <w:sz w:val="20"/>
          <w:szCs w:val="20"/>
        </w:rPr>
        <w:t>v Luxembursku, a to 1 999 EUR</w:t>
      </w:r>
      <w:r w:rsidRPr="000F2079">
        <w:rPr>
          <w:rFonts w:ascii="Arial" w:hAnsi="Arial" w:cs="Arial"/>
          <w:bCs/>
          <w:color w:val="000000"/>
          <w:sz w:val="20"/>
          <w:szCs w:val="20"/>
        </w:rPr>
        <w:t>, na druhom mieste s najvyššou minimálnou mzdou sú Íri s 1 614 EUR a tretie miesto patrí Holandsku, ktoré má v súčasnosti zákonom stanovenú minimálnu mzdu na úrovni 1 578 EUR.</w:t>
      </w:r>
    </w:p>
    <w:p w:rsidR="005D47A0" w:rsidRPr="000F2079" w:rsidRDefault="005D47A0" w:rsidP="00910DAC">
      <w:pPr>
        <w:ind w:firstLine="708"/>
        <w:jc w:val="both"/>
        <w:rPr>
          <w:rFonts w:ascii="Arial" w:hAnsi="Arial" w:cs="Arial"/>
          <w:bCs/>
          <w:color w:val="000000"/>
          <w:sz w:val="20"/>
          <w:szCs w:val="20"/>
        </w:rPr>
      </w:pPr>
      <w:r w:rsidRPr="000F2079">
        <w:rPr>
          <w:rFonts w:ascii="Arial" w:hAnsi="Arial" w:cs="Arial"/>
          <w:bCs/>
          <w:color w:val="000000"/>
          <w:sz w:val="20"/>
          <w:szCs w:val="20"/>
        </w:rPr>
        <w:t xml:space="preserve">V rámci </w:t>
      </w:r>
      <w:r w:rsidRPr="000F2079">
        <w:rPr>
          <w:rFonts w:ascii="Arial" w:hAnsi="Arial" w:cs="Arial"/>
          <w:b/>
          <w:bCs/>
          <w:color w:val="000000"/>
          <w:sz w:val="20"/>
          <w:szCs w:val="20"/>
        </w:rPr>
        <w:t>krajín V4 vyhráva Poľsko s 503 EUR</w:t>
      </w:r>
      <w:r w:rsidRPr="000F2079">
        <w:rPr>
          <w:rFonts w:ascii="Arial" w:hAnsi="Arial" w:cs="Arial"/>
          <w:bCs/>
          <w:color w:val="000000"/>
          <w:sz w:val="20"/>
          <w:szCs w:val="20"/>
        </w:rPr>
        <w:t xml:space="preserve">, na druhom mieste za rok 2018 je Slovensko so stále aktuálnymi 480 EUR, Česká republika má zákonom stanovenú minimálnu mzdu na úrovni 478 EUR a napokon </w:t>
      </w:r>
      <w:r w:rsidRPr="000F2079">
        <w:rPr>
          <w:rFonts w:ascii="Arial" w:hAnsi="Arial" w:cs="Arial"/>
          <w:b/>
          <w:bCs/>
          <w:color w:val="000000"/>
          <w:sz w:val="20"/>
          <w:szCs w:val="20"/>
        </w:rPr>
        <w:t>najnižšie v rámci V4 je Maďarsko s minimálnou mzdou 445 EUR</w:t>
      </w:r>
      <w:r w:rsidRPr="000F2079">
        <w:rPr>
          <w:rFonts w:ascii="Arial" w:hAnsi="Arial" w:cs="Arial"/>
          <w:bCs/>
          <w:color w:val="000000"/>
          <w:sz w:val="20"/>
          <w:szCs w:val="20"/>
        </w:rPr>
        <w:t>.</w:t>
      </w:r>
    </w:p>
    <w:p w:rsidR="005D47A0" w:rsidRPr="000F2079" w:rsidRDefault="005D47A0" w:rsidP="00910DAC">
      <w:pPr>
        <w:ind w:firstLine="708"/>
        <w:jc w:val="both"/>
        <w:rPr>
          <w:rFonts w:ascii="Arial" w:hAnsi="Arial" w:cs="Arial"/>
          <w:bCs/>
          <w:color w:val="000000"/>
          <w:sz w:val="20"/>
          <w:szCs w:val="20"/>
        </w:rPr>
      </w:pPr>
      <w:r w:rsidRPr="000F2079">
        <w:rPr>
          <w:rFonts w:ascii="Arial" w:hAnsi="Arial" w:cs="Arial"/>
          <w:bCs/>
          <w:color w:val="000000"/>
          <w:sz w:val="20"/>
          <w:szCs w:val="20"/>
        </w:rPr>
        <w:t>Dôležitým faktorom, na ktorý nemôžeme pri po</w:t>
      </w:r>
      <w:r w:rsidR="00910DAC" w:rsidRPr="000F2079">
        <w:rPr>
          <w:rFonts w:ascii="Arial" w:hAnsi="Arial" w:cs="Arial"/>
          <w:bCs/>
          <w:color w:val="000000"/>
          <w:sz w:val="20"/>
          <w:szCs w:val="20"/>
        </w:rPr>
        <w:t xml:space="preserve">rovnávaní výšky minimálnej mzdy </w:t>
      </w:r>
      <w:r w:rsidRPr="000F2079">
        <w:rPr>
          <w:rFonts w:ascii="Arial" w:hAnsi="Arial" w:cs="Arial"/>
          <w:bCs/>
          <w:color w:val="000000"/>
          <w:sz w:val="20"/>
          <w:szCs w:val="20"/>
        </w:rPr>
        <w:t xml:space="preserve">zabúdať, je však aj cenová úroveň tej ktorej krajiny. Rozdiely v minimálnej mzde v členských štátoch EÚ sú totiž výrazne nižšie po odstránení rozdielov v cenových úrovniach. Napr. </w:t>
      </w:r>
      <w:r w:rsidRPr="000F2079">
        <w:rPr>
          <w:rFonts w:ascii="Arial" w:hAnsi="Arial" w:cs="Arial"/>
          <w:b/>
          <w:bCs/>
          <w:color w:val="000000"/>
          <w:sz w:val="20"/>
          <w:szCs w:val="20"/>
        </w:rPr>
        <w:t xml:space="preserve">v Luxembursku je nominálne mzda takmer osemnásobne vyššia ako tá v Bulharsku, ale pri zohľadnení parity kúpnej sily by bola vyššia len </w:t>
      </w:r>
      <w:r w:rsidRPr="000F2079">
        <w:rPr>
          <w:rFonts w:ascii="Arial" w:hAnsi="Arial" w:cs="Arial"/>
          <w:bCs/>
          <w:color w:val="000000"/>
          <w:sz w:val="20"/>
          <w:szCs w:val="20"/>
        </w:rPr>
        <w:t>trojnásobne.</w:t>
      </w:r>
    </w:p>
    <w:p w:rsidR="00B20AB5" w:rsidRPr="000F2079" w:rsidRDefault="00B20AB5" w:rsidP="00855957">
      <w:pPr>
        <w:widowControl/>
        <w:spacing w:after="0"/>
        <w:outlineLvl w:val="0"/>
        <w:rPr>
          <w:rFonts w:ascii="Arial" w:hAnsi="Arial" w:cs="Arial"/>
          <w:b/>
          <w:color w:val="000000"/>
          <w:sz w:val="20"/>
          <w:szCs w:val="20"/>
          <w:u w:val="single"/>
        </w:rPr>
      </w:pPr>
    </w:p>
    <w:sectPr w:rsidR="00B20AB5" w:rsidRPr="000F2079" w:rsidSect="009F057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91" w:rsidRDefault="00181F91" w:rsidP="00EF1063">
      <w:pPr>
        <w:spacing w:after="0" w:line="240" w:lineRule="auto"/>
      </w:pPr>
      <w:r>
        <w:separator/>
      </w:r>
    </w:p>
  </w:endnote>
  <w:endnote w:type="continuationSeparator" w:id="0">
    <w:p w:rsidR="00181F91" w:rsidRDefault="00181F91" w:rsidP="00EF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91" w:rsidRDefault="00181F91" w:rsidP="00EF1063">
      <w:pPr>
        <w:spacing w:after="0" w:line="240" w:lineRule="auto"/>
      </w:pPr>
      <w:r>
        <w:separator/>
      </w:r>
    </w:p>
  </w:footnote>
  <w:footnote w:type="continuationSeparator" w:id="0">
    <w:p w:rsidR="00181F91" w:rsidRDefault="00181F91" w:rsidP="00EF1063">
      <w:pPr>
        <w:spacing w:after="0" w:line="240" w:lineRule="auto"/>
      </w:pPr>
      <w:r>
        <w:continuationSeparator/>
      </w:r>
    </w:p>
  </w:footnote>
  <w:footnote w:id="1">
    <w:p w:rsidR="00D25974" w:rsidRPr="00787D4D" w:rsidRDefault="00D25974">
      <w:pPr>
        <w:pStyle w:val="Textpoznmkypodiarou"/>
      </w:pPr>
      <w:r w:rsidRPr="00787D4D">
        <w:rPr>
          <w:rStyle w:val="Odkaznapoznmkupodiarou"/>
        </w:rPr>
        <w:footnoteRef/>
      </w:r>
      <w:r w:rsidRPr="00787D4D">
        <w:t xml:space="preserve"> Pri uplatnení odvodovej odpočítateľnej položky pre platenie odvodov na zdravotné poistenie zamestnancom</w:t>
      </w:r>
    </w:p>
  </w:footnote>
  <w:footnote w:id="2">
    <w:p w:rsidR="005531C1" w:rsidRPr="00787D4D" w:rsidRDefault="005531C1" w:rsidP="005531C1">
      <w:pPr>
        <w:pStyle w:val="Textpoznmkypodiarou"/>
        <w:jc w:val="both"/>
      </w:pPr>
      <w:r w:rsidRPr="00787D4D">
        <w:rPr>
          <w:rStyle w:val="Odkaznapoznmkupodiarou"/>
        </w:rPr>
        <w:footnoteRef/>
      </w:r>
      <w:r w:rsidRPr="00787D4D">
        <w:t xml:space="preserve"> V rámci tohto návrhu alternatívy bolo Centrum lepšej regulácie zo strany Ministerstva práce v rámci konzultácií počas vypracovania tejto Správy o výsledkoch Testu MSP upozornené na </w:t>
      </w:r>
      <w:r w:rsidRPr="00787D4D">
        <w:rPr>
          <w:b/>
        </w:rPr>
        <w:t>zásadu nediskriminácie a rovnakého zaobchádzania v pracovnoprávnych vzťahoch.</w:t>
      </w:r>
      <w:r w:rsidRPr="00787D4D">
        <w:t xml:space="preserve"> Podľa slov Ministerstva práce v slovenskom právnom poriadku sú v súlade s legislatívou EÚ zakomponované antidiskriminačné opatrenia, avšak tá zároveň umožňuje pri splnení istých kritérií na národnej úrovni uplatňovať „výnimky“ zo všeobecných pravidiel. Pri zavádzaní „výnimiek“ </w:t>
      </w:r>
      <w:r w:rsidRPr="00787D4D">
        <w:rPr>
          <w:b/>
        </w:rPr>
        <w:t>je predovšetkým potrebné skúmať, či navrhované odlišné opatrenia pre istú vybratú skupinu zamestnancov je možné odôvodniť sledovaním zásady legálnosti, legitimity a proporcionality</w:t>
      </w:r>
      <w:r w:rsidRPr="00787D4D">
        <w:t xml:space="preserve">. Ak by tieto zásady neboli naplnené, predmetné obmedzujúce ustanovenia by boli nezákonné. Preto aj v prípade zvažovania uvedenej alternatívy si je Centrum lepšej regulácie vedomé skutočnosti. že </w:t>
      </w:r>
      <w:r w:rsidRPr="00787D4D">
        <w:rPr>
          <w:b/>
        </w:rPr>
        <w:t>súlad s horeuvedenými zásadami by musel byť najskôr preskúman</w:t>
      </w:r>
      <w:r w:rsidR="00C27470" w:rsidRPr="00787D4D">
        <w:rPr>
          <w:b/>
        </w:rPr>
        <w:t>ý.</w:t>
      </w:r>
      <w:r w:rsidR="00C27470" w:rsidRPr="00787D4D">
        <w:t xml:space="preserve"> </w:t>
      </w:r>
    </w:p>
  </w:footnote>
  <w:footnote w:id="3">
    <w:p w:rsidR="00C235B1" w:rsidRDefault="00C235B1">
      <w:pPr>
        <w:pStyle w:val="Textpoznmkypodiarou"/>
      </w:pPr>
      <w:r>
        <w:rPr>
          <w:rStyle w:val="Odkaznapoznmkupodiarou"/>
        </w:rPr>
        <w:footnoteRef/>
      </w:r>
      <w:r>
        <w:t xml:space="preserve"> </w:t>
      </w:r>
      <w:hyperlink r:id="rId1" w:history="1">
        <w:r w:rsidRPr="00F54693">
          <w:rPr>
            <w:rStyle w:val="Hypertextovprepojenie"/>
          </w:rPr>
          <w:t>https://www.eurofound.europa.eu/publications/report/2016/eu-member-states/statutory-minimum-wages-in-the-eu-2016</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F7F"/>
    <w:multiLevelType w:val="hybridMultilevel"/>
    <w:tmpl w:val="A554116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59257B"/>
    <w:multiLevelType w:val="hybridMultilevel"/>
    <w:tmpl w:val="3BA0BD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F44492"/>
    <w:multiLevelType w:val="hybridMultilevel"/>
    <w:tmpl w:val="D96CC21C"/>
    <w:lvl w:ilvl="0" w:tplc="C1A465D4">
      <w:start w:val="1"/>
      <w:numFmt w:val="bullet"/>
      <w:lvlText w:val=""/>
      <w:lvlJc w:val="left"/>
      <w:pPr>
        <w:ind w:left="454" w:hanging="284"/>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6117D0A"/>
    <w:multiLevelType w:val="hybridMultilevel"/>
    <w:tmpl w:val="9C726DA6"/>
    <w:lvl w:ilvl="0" w:tplc="C1A465D4">
      <w:start w:val="1"/>
      <w:numFmt w:val="bullet"/>
      <w:lvlText w:val=""/>
      <w:lvlJc w:val="left"/>
      <w:pPr>
        <w:ind w:left="454" w:hanging="284"/>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62B4F3D"/>
    <w:multiLevelType w:val="hybridMultilevel"/>
    <w:tmpl w:val="DFFC434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85F5EB8"/>
    <w:multiLevelType w:val="hybridMultilevel"/>
    <w:tmpl w:val="E8B615B2"/>
    <w:lvl w:ilvl="0" w:tplc="C718921C">
      <w:start w:val="1"/>
      <w:numFmt w:val="upperLetter"/>
      <w:lvlText w:val="%1."/>
      <w:lvlJc w:val="left"/>
      <w:pPr>
        <w:ind w:left="720" w:hanging="360"/>
      </w:pPr>
      <w:rPr>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AF62AA9"/>
    <w:multiLevelType w:val="hybridMultilevel"/>
    <w:tmpl w:val="A6465B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F710EDE"/>
    <w:multiLevelType w:val="hybridMultilevel"/>
    <w:tmpl w:val="E6B684F8"/>
    <w:lvl w:ilvl="0" w:tplc="B1463E60">
      <w:start w:val="1"/>
      <w:numFmt w:val="decimal"/>
      <w:lvlText w:val="%1."/>
      <w:lvlJc w:val="left"/>
      <w:pPr>
        <w:ind w:left="720" w:hanging="360"/>
      </w:pPr>
      <w:rPr>
        <w:rFonts w:hint="default"/>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0E722A6"/>
    <w:multiLevelType w:val="hybridMultilevel"/>
    <w:tmpl w:val="D468136C"/>
    <w:lvl w:ilvl="0" w:tplc="7B9EC7CA">
      <w:start w:val="1"/>
      <w:numFmt w:val="upperLetter"/>
      <w:lvlText w:val="%1."/>
      <w:lvlJc w:val="left"/>
      <w:pPr>
        <w:ind w:left="720" w:hanging="360"/>
      </w:pPr>
      <w:rPr>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98206D"/>
    <w:multiLevelType w:val="hybridMultilevel"/>
    <w:tmpl w:val="670254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64222ED"/>
    <w:multiLevelType w:val="hybridMultilevel"/>
    <w:tmpl w:val="D468136C"/>
    <w:lvl w:ilvl="0" w:tplc="7B9EC7CA">
      <w:start w:val="1"/>
      <w:numFmt w:val="upperLetter"/>
      <w:lvlText w:val="%1."/>
      <w:lvlJc w:val="left"/>
      <w:pPr>
        <w:ind w:left="720" w:hanging="360"/>
      </w:pPr>
      <w:rPr>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C56438A"/>
    <w:multiLevelType w:val="hybridMultilevel"/>
    <w:tmpl w:val="8CFE97D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2236391D"/>
    <w:multiLevelType w:val="hybridMultilevel"/>
    <w:tmpl w:val="4FC476F0"/>
    <w:lvl w:ilvl="0" w:tplc="C4AC9D42">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3384723"/>
    <w:multiLevelType w:val="hybridMultilevel"/>
    <w:tmpl w:val="B074F6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ED02715"/>
    <w:multiLevelType w:val="hybridMultilevel"/>
    <w:tmpl w:val="0060D5E4"/>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2FF63FD4"/>
    <w:multiLevelType w:val="hybridMultilevel"/>
    <w:tmpl w:val="E916943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B9703A"/>
    <w:multiLevelType w:val="hybridMultilevel"/>
    <w:tmpl w:val="554822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6882FDA"/>
    <w:multiLevelType w:val="hybridMultilevel"/>
    <w:tmpl w:val="E0FA964C"/>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71E4A11"/>
    <w:multiLevelType w:val="hybridMultilevel"/>
    <w:tmpl w:val="6EF4DF14"/>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CBD6E6F"/>
    <w:multiLevelType w:val="hybridMultilevel"/>
    <w:tmpl w:val="BB16BA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FB41434"/>
    <w:multiLevelType w:val="hybridMultilevel"/>
    <w:tmpl w:val="BF1E94BA"/>
    <w:lvl w:ilvl="0" w:tplc="23D8894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01411B8"/>
    <w:multiLevelType w:val="hybridMultilevel"/>
    <w:tmpl w:val="C648671A"/>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16C0551"/>
    <w:multiLevelType w:val="hybridMultilevel"/>
    <w:tmpl w:val="E18066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4751031"/>
    <w:multiLevelType w:val="hybridMultilevel"/>
    <w:tmpl w:val="A49694BE"/>
    <w:lvl w:ilvl="0" w:tplc="44F6209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nsid w:val="44C50311"/>
    <w:multiLevelType w:val="hybridMultilevel"/>
    <w:tmpl w:val="399215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D102217"/>
    <w:multiLevelType w:val="hybridMultilevel"/>
    <w:tmpl w:val="E112FA98"/>
    <w:lvl w:ilvl="0" w:tplc="B1F6C93E">
      <w:start w:val="1"/>
      <w:numFmt w:val="decimal"/>
      <w:lvlText w:val="%1."/>
      <w:lvlJc w:val="left"/>
      <w:pPr>
        <w:ind w:left="227" w:hanging="5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A301E6C"/>
    <w:multiLevelType w:val="hybridMultilevel"/>
    <w:tmpl w:val="75885F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C05057F"/>
    <w:multiLevelType w:val="hybridMultilevel"/>
    <w:tmpl w:val="1B668466"/>
    <w:lvl w:ilvl="0" w:tplc="041B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nsid w:val="61640861"/>
    <w:multiLevelType w:val="hybridMultilevel"/>
    <w:tmpl w:val="2A8453F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3CD6E72"/>
    <w:multiLevelType w:val="hybridMultilevel"/>
    <w:tmpl w:val="9506A9D2"/>
    <w:lvl w:ilvl="0" w:tplc="0636958A">
      <w:start w:val="4"/>
      <w:numFmt w:val="bullet"/>
      <w:lvlText w:val="-"/>
      <w:lvlJc w:val="left"/>
      <w:pPr>
        <w:ind w:left="1741" w:hanging="360"/>
      </w:pPr>
      <w:rPr>
        <w:rFonts w:ascii="Times New Roman" w:eastAsia="Times New Roman" w:hAnsi="Times New Roman"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30">
    <w:nsid w:val="647477A9"/>
    <w:multiLevelType w:val="hybridMultilevel"/>
    <w:tmpl w:val="6478C026"/>
    <w:lvl w:ilvl="0" w:tplc="233626A2">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nsid w:val="6539044E"/>
    <w:multiLevelType w:val="hybridMultilevel"/>
    <w:tmpl w:val="BD9C82F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5390801"/>
    <w:multiLevelType w:val="hybridMultilevel"/>
    <w:tmpl w:val="C9F200CC"/>
    <w:lvl w:ilvl="0" w:tplc="DB4221EA">
      <w:start w:val="1"/>
      <w:numFmt w:val="upperLetter"/>
      <w:lvlText w:val="%1."/>
      <w:lvlJc w:val="left"/>
      <w:pPr>
        <w:ind w:left="720" w:hanging="360"/>
      </w:pPr>
      <w:rPr>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553008F"/>
    <w:multiLevelType w:val="hybridMultilevel"/>
    <w:tmpl w:val="3EE419A2"/>
    <w:lvl w:ilvl="0" w:tplc="C1A465D4">
      <w:start w:val="1"/>
      <w:numFmt w:val="bullet"/>
      <w:lvlText w:val=""/>
      <w:lvlJc w:val="left"/>
      <w:pPr>
        <w:ind w:left="454" w:hanging="284"/>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FF12442"/>
    <w:multiLevelType w:val="hybridMultilevel"/>
    <w:tmpl w:val="75885F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22"/>
  </w:num>
  <w:num w:numId="3">
    <w:abstractNumId w:val="16"/>
  </w:num>
  <w:num w:numId="4">
    <w:abstractNumId w:val="9"/>
  </w:num>
  <w:num w:numId="5">
    <w:abstractNumId w:val="7"/>
  </w:num>
  <w:num w:numId="6">
    <w:abstractNumId w:val="11"/>
  </w:num>
  <w:num w:numId="7">
    <w:abstractNumId w:val="21"/>
  </w:num>
  <w:num w:numId="8">
    <w:abstractNumId w:val="0"/>
  </w:num>
  <w:num w:numId="9">
    <w:abstractNumId w:val="2"/>
  </w:num>
  <w:num w:numId="10">
    <w:abstractNumId w:val="3"/>
  </w:num>
  <w:num w:numId="11">
    <w:abstractNumId w:val="33"/>
  </w:num>
  <w:num w:numId="12">
    <w:abstractNumId w:val="31"/>
  </w:num>
  <w:num w:numId="13">
    <w:abstractNumId w:val="4"/>
  </w:num>
  <w:num w:numId="14">
    <w:abstractNumId w:val="25"/>
  </w:num>
  <w:num w:numId="15">
    <w:abstractNumId w:val="27"/>
  </w:num>
  <w:num w:numId="16">
    <w:abstractNumId w:val="13"/>
  </w:num>
  <w:num w:numId="17">
    <w:abstractNumId w:val="1"/>
  </w:num>
  <w:num w:numId="18">
    <w:abstractNumId w:val="19"/>
  </w:num>
  <w:num w:numId="19">
    <w:abstractNumId w:val="30"/>
  </w:num>
  <w:num w:numId="20">
    <w:abstractNumId w:val="23"/>
  </w:num>
  <w:num w:numId="21">
    <w:abstractNumId w:val="18"/>
  </w:num>
  <w:num w:numId="22">
    <w:abstractNumId w:val="10"/>
  </w:num>
  <w:num w:numId="23">
    <w:abstractNumId w:val="20"/>
  </w:num>
  <w:num w:numId="24">
    <w:abstractNumId w:val="32"/>
  </w:num>
  <w:num w:numId="25">
    <w:abstractNumId w:val="17"/>
  </w:num>
  <w:num w:numId="26">
    <w:abstractNumId w:val="5"/>
  </w:num>
  <w:num w:numId="27">
    <w:abstractNumId w:val="15"/>
  </w:num>
  <w:num w:numId="28">
    <w:abstractNumId w:val="8"/>
  </w:num>
  <w:num w:numId="29">
    <w:abstractNumId w:val="6"/>
  </w:num>
  <w:num w:numId="30">
    <w:abstractNumId w:val="26"/>
  </w:num>
  <w:num w:numId="31">
    <w:abstractNumId w:val="24"/>
  </w:num>
  <w:num w:numId="32">
    <w:abstractNumId w:val="34"/>
  </w:num>
  <w:num w:numId="33">
    <w:abstractNumId w:val="14"/>
  </w:num>
  <w:num w:numId="34">
    <w:abstractNumId w:val="28"/>
  </w:num>
  <w:num w:numId="35">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56"/>
    <w:rsid w:val="00002C6B"/>
    <w:rsid w:val="00002F4C"/>
    <w:rsid w:val="0000547B"/>
    <w:rsid w:val="00005EF8"/>
    <w:rsid w:val="00010F01"/>
    <w:rsid w:val="00022065"/>
    <w:rsid w:val="00031FEC"/>
    <w:rsid w:val="00034647"/>
    <w:rsid w:val="00034F60"/>
    <w:rsid w:val="00050EDB"/>
    <w:rsid w:val="00051563"/>
    <w:rsid w:val="00055533"/>
    <w:rsid w:val="000568EC"/>
    <w:rsid w:val="00056BB4"/>
    <w:rsid w:val="00062AF3"/>
    <w:rsid w:val="000709DA"/>
    <w:rsid w:val="00076994"/>
    <w:rsid w:val="00077D48"/>
    <w:rsid w:val="00080EC1"/>
    <w:rsid w:val="0009660C"/>
    <w:rsid w:val="000A3B57"/>
    <w:rsid w:val="000B2A17"/>
    <w:rsid w:val="000B3718"/>
    <w:rsid w:val="000C2214"/>
    <w:rsid w:val="000C44B4"/>
    <w:rsid w:val="000D25E0"/>
    <w:rsid w:val="000E7ADC"/>
    <w:rsid w:val="000F2079"/>
    <w:rsid w:val="000F284B"/>
    <w:rsid w:val="000F6E6E"/>
    <w:rsid w:val="000F6F75"/>
    <w:rsid w:val="00107EE6"/>
    <w:rsid w:val="00110E77"/>
    <w:rsid w:val="00111C49"/>
    <w:rsid w:val="00116245"/>
    <w:rsid w:val="00121EF3"/>
    <w:rsid w:val="00124031"/>
    <w:rsid w:val="0012566C"/>
    <w:rsid w:val="00127C8A"/>
    <w:rsid w:val="00130EB7"/>
    <w:rsid w:val="00135B06"/>
    <w:rsid w:val="001363EC"/>
    <w:rsid w:val="001521CC"/>
    <w:rsid w:val="001526A2"/>
    <w:rsid w:val="001543D9"/>
    <w:rsid w:val="0017302B"/>
    <w:rsid w:val="001754A9"/>
    <w:rsid w:val="0017745E"/>
    <w:rsid w:val="00181F91"/>
    <w:rsid w:val="00184B01"/>
    <w:rsid w:val="001856D0"/>
    <w:rsid w:val="00191140"/>
    <w:rsid w:val="001911D5"/>
    <w:rsid w:val="001A11D6"/>
    <w:rsid w:val="001A6F42"/>
    <w:rsid w:val="001B3D50"/>
    <w:rsid w:val="001C1F3F"/>
    <w:rsid w:val="001C24B7"/>
    <w:rsid w:val="001C5480"/>
    <w:rsid w:val="001C5EA7"/>
    <w:rsid w:val="001D0ACB"/>
    <w:rsid w:val="001D5617"/>
    <w:rsid w:val="001E1194"/>
    <w:rsid w:val="001F185B"/>
    <w:rsid w:val="001F1A04"/>
    <w:rsid w:val="00203C03"/>
    <w:rsid w:val="002048A4"/>
    <w:rsid w:val="00215DE6"/>
    <w:rsid w:val="002160DF"/>
    <w:rsid w:val="00217046"/>
    <w:rsid w:val="00225A4B"/>
    <w:rsid w:val="00225AC3"/>
    <w:rsid w:val="00233026"/>
    <w:rsid w:val="00235DE0"/>
    <w:rsid w:val="002406AC"/>
    <w:rsid w:val="0024244D"/>
    <w:rsid w:val="00250D5F"/>
    <w:rsid w:val="00260690"/>
    <w:rsid w:val="00267384"/>
    <w:rsid w:val="00271C23"/>
    <w:rsid w:val="00272EC7"/>
    <w:rsid w:val="002738A2"/>
    <w:rsid w:val="002756F2"/>
    <w:rsid w:val="002775BD"/>
    <w:rsid w:val="00277E80"/>
    <w:rsid w:val="002803FA"/>
    <w:rsid w:val="00280BDC"/>
    <w:rsid w:val="00280ECD"/>
    <w:rsid w:val="00281843"/>
    <w:rsid w:val="002820CD"/>
    <w:rsid w:val="0028288D"/>
    <w:rsid w:val="00283DB6"/>
    <w:rsid w:val="00286837"/>
    <w:rsid w:val="002962B6"/>
    <w:rsid w:val="002A229F"/>
    <w:rsid w:val="002A410B"/>
    <w:rsid w:val="002B22D5"/>
    <w:rsid w:val="002B58BD"/>
    <w:rsid w:val="002C3CBC"/>
    <w:rsid w:val="002C42BF"/>
    <w:rsid w:val="002C494B"/>
    <w:rsid w:val="002C52AA"/>
    <w:rsid w:val="002C5D1E"/>
    <w:rsid w:val="002D1543"/>
    <w:rsid w:val="002D25D3"/>
    <w:rsid w:val="002D3299"/>
    <w:rsid w:val="002D5877"/>
    <w:rsid w:val="002D5B66"/>
    <w:rsid w:val="002E0B66"/>
    <w:rsid w:val="002E672A"/>
    <w:rsid w:val="002F0436"/>
    <w:rsid w:val="002F0CDB"/>
    <w:rsid w:val="002F1D44"/>
    <w:rsid w:val="00307A28"/>
    <w:rsid w:val="003142B3"/>
    <w:rsid w:val="003148CB"/>
    <w:rsid w:val="0031685D"/>
    <w:rsid w:val="00325580"/>
    <w:rsid w:val="00331035"/>
    <w:rsid w:val="0033248D"/>
    <w:rsid w:val="003445C0"/>
    <w:rsid w:val="0034789F"/>
    <w:rsid w:val="00353263"/>
    <w:rsid w:val="00360A48"/>
    <w:rsid w:val="00360A93"/>
    <w:rsid w:val="00360D4E"/>
    <w:rsid w:val="00361E6E"/>
    <w:rsid w:val="003623EA"/>
    <w:rsid w:val="0037379E"/>
    <w:rsid w:val="0037498B"/>
    <w:rsid w:val="00385E21"/>
    <w:rsid w:val="00392B9A"/>
    <w:rsid w:val="00393602"/>
    <w:rsid w:val="00396122"/>
    <w:rsid w:val="00397855"/>
    <w:rsid w:val="003A332F"/>
    <w:rsid w:val="003B2F31"/>
    <w:rsid w:val="003C2A09"/>
    <w:rsid w:val="003D2D85"/>
    <w:rsid w:val="003D63CF"/>
    <w:rsid w:val="003E174A"/>
    <w:rsid w:val="003F2E12"/>
    <w:rsid w:val="003F4100"/>
    <w:rsid w:val="00401D28"/>
    <w:rsid w:val="00404106"/>
    <w:rsid w:val="00406301"/>
    <w:rsid w:val="004069F1"/>
    <w:rsid w:val="00407A0A"/>
    <w:rsid w:val="00410FB0"/>
    <w:rsid w:val="004134E0"/>
    <w:rsid w:val="00420BB3"/>
    <w:rsid w:val="00423FE6"/>
    <w:rsid w:val="004265BF"/>
    <w:rsid w:val="00431B86"/>
    <w:rsid w:val="00436159"/>
    <w:rsid w:val="00441FCA"/>
    <w:rsid w:val="00443677"/>
    <w:rsid w:val="004461B7"/>
    <w:rsid w:val="004601BA"/>
    <w:rsid w:val="00461014"/>
    <w:rsid w:val="00464510"/>
    <w:rsid w:val="0046510A"/>
    <w:rsid w:val="00466B69"/>
    <w:rsid w:val="00474DF8"/>
    <w:rsid w:val="0047671E"/>
    <w:rsid w:val="004825CD"/>
    <w:rsid w:val="00483591"/>
    <w:rsid w:val="00486929"/>
    <w:rsid w:val="00491970"/>
    <w:rsid w:val="004927BD"/>
    <w:rsid w:val="004944B2"/>
    <w:rsid w:val="004A5CFE"/>
    <w:rsid w:val="004B5C0F"/>
    <w:rsid w:val="004E06C0"/>
    <w:rsid w:val="004E2E1F"/>
    <w:rsid w:val="004E58A4"/>
    <w:rsid w:val="004E5E97"/>
    <w:rsid w:val="004E633C"/>
    <w:rsid w:val="004F0C18"/>
    <w:rsid w:val="004F1EE5"/>
    <w:rsid w:val="00505DA3"/>
    <w:rsid w:val="00506C7F"/>
    <w:rsid w:val="00507602"/>
    <w:rsid w:val="00515473"/>
    <w:rsid w:val="0051721B"/>
    <w:rsid w:val="0052363D"/>
    <w:rsid w:val="005307FC"/>
    <w:rsid w:val="00530F8A"/>
    <w:rsid w:val="005312DF"/>
    <w:rsid w:val="005366EF"/>
    <w:rsid w:val="005411A4"/>
    <w:rsid w:val="00542C69"/>
    <w:rsid w:val="0054563B"/>
    <w:rsid w:val="00550000"/>
    <w:rsid w:val="00551AB0"/>
    <w:rsid w:val="005531C1"/>
    <w:rsid w:val="00556A56"/>
    <w:rsid w:val="00561C11"/>
    <w:rsid w:val="005642DF"/>
    <w:rsid w:val="00576D7B"/>
    <w:rsid w:val="005833D3"/>
    <w:rsid w:val="005869C3"/>
    <w:rsid w:val="0059062A"/>
    <w:rsid w:val="005960A9"/>
    <w:rsid w:val="005A0136"/>
    <w:rsid w:val="005B538A"/>
    <w:rsid w:val="005B5EEA"/>
    <w:rsid w:val="005B7CEB"/>
    <w:rsid w:val="005C2D6B"/>
    <w:rsid w:val="005D2D3F"/>
    <w:rsid w:val="005D47A0"/>
    <w:rsid w:val="005D67A2"/>
    <w:rsid w:val="005D68B0"/>
    <w:rsid w:val="005E0C91"/>
    <w:rsid w:val="005E31A7"/>
    <w:rsid w:val="005E36FF"/>
    <w:rsid w:val="005E641E"/>
    <w:rsid w:val="005E79F1"/>
    <w:rsid w:val="005F4BEE"/>
    <w:rsid w:val="005F5D3B"/>
    <w:rsid w:val="005F6542"/>
    <w:rsid w:val="005F6EE8"/>
    <w:rsid w:val="006109B3"/>
    <w:rsid w:val="006151D4"/>
    <w:rsid w:val="00616BC2"/>
    <w:rsid w:val="00624706"/>
    <w:rsid w:val="006247D4"/>
    <w:rsid w:val="006275DD"/>
    <w:rsid w:val="00630A3E"/>
    <w:rsid w:val="006433B4"/>
    <w:rsid w:val="006634AE"/>
    <w:rsid w:val="00667822"/>
    <w:rsid w:val="006703F3"/>
    <w:rsid w:val="00673FD8"/>
    <w:rsid w:val="00676BB1"/>
    <w:rsid w:val="00677FC9"/>
    <w:rsid w:val="00680E3D"/>
    <w:rsid w:val="00681963"/>
    <w:rsid w:val="006845E9"/>
    <w:rsid w:val="006911BD"/>
    <w:rsid w:val="00693E84"/>
    <w:rsid w:val="00696A23"/>
    <w:rsid w:val="006A202B"/>
    <w:rsid w:val="006A2B09"/>
    <w:rsid w:val="006A4B56"/>
    <w:rsid w:val="006A7F37"/>
    <w:rsid w:val="006B1AD6"/>
    <w:rsid w:val="006B5A5F"/>
    <w:rsid w:val="006B798F"/>
    <w:rsid w:val="006D1ED6"/>
    <w:rsid w:val="006D6790"/>
    <w:rsid w:val="006E3BAF"/>
    <w:rsid w:val="006F0AC2"/>
    <w:rsid w:val="006F7EF1"/>
    <w:rsid w:val="00700060"/>
    <w:rsid w:val="0070366C"/>
    <w:rsid w:val="00716C21"/>
    <w:rsid w:val="007204E6"/>
    <w:rsid w:val="00721F5A"/>
    <w:rsid w:val="00725224"/>
    <w:rsid w:val="00726FC1"/>
    <w:rsid w:val="00727A37"/>
    <w:rsid w:val="00730EFB"/>
    <w:rsid w:val="00733E4D"/>
    <w:rsid w:val="00736CE7"/>
    <w:rsid w:val="007427A8"/>
    <w:rsid w:val="00742831"/>
    <w:rsid w:val="00744F63"/>
    <w:rsid w:val="00744FA6"/>
    <w:rsid w:val="00753230"/>
    <w:rsid w:val="00754EE9"/>
    <w:rsid w:val="00756321"/>
    <w:rsid w:val="00760EBB"/>
    <w:rsid w:val="007662FC"/>
    <w:rsid w:val="00767221"/>
    <w:rsid w:val="00767BAD"/>
    <w:rsid w:val="007745F6"/>
    <w:rsid w:val="00775A44"/>
    <w:rsid w:val="00782839"/>
    <w:rsid w:val="007866DF"/>
    <w:rsid w:val="00787D4D"/>
    <w:rsid w:val="00791425"/>
    <w:rsid w:val="00792A10"/>
    <w:rsid w:val="007A23E6"/>
    <w:rsid w:val="007A32BA"/>
    <w:rsid w:val="007A6AAB"/>
    <w:rsid w:val="007A7DCB"/>
    <w:rsid w:val="007C2648"/>
    <w:rsid w:val="007D1F71"/>
    <w:rsid w:val="007D2E6B"/>
    <w:rsid w:val="007D33B7"/>
    <w:rsid w:val="007D78A5"/>
    <w:rsid w:val="007E738C"/>
    <w:rsid w:val="007F2E5B"/>
    <w:rsid w:val="007F35AC"/>
    <w:rsid w:val="007F756B"/>
    <w:rsid w:val="007F7B99"/>
    <w:rsid w:val="00801E41"/>
    <w:rsid w:val="00802199"/>
    <w:rsid w:val="00802578"/>
    <w:rsid w:val="00812435"/>
    <w:rsid w:val="008124A4"/>
    <w:rsid w:val="00814080"/>
    <w:rsid w:val="00815E42"/>
    <w:rsid w:val="00820523"/>
    <w:rsid w:val="00823F55"/>
    <w:rsid w:val="0083624C"/>
    <w:rsid w:val="008434A7"/>
    <w:rsid w:val="00855957"/>
    <w:rsid w:val="00862C14"/>
    <w:rsid w:val="00864640"/>
    <w:rsid w:val="00866334"/>
    <w:rsid w:val="00866C2D"/>
    <w:rsid w:val="00872033"/>
    <w:rsid w:val="00876F03"/>
    <w:rsid w:val="008808FC"/>
    <w:rsid w:val="00882EED"/>
    <w:rsid w:val="0088702F"/>
    <w:rsid w:val="00892568"/>
    <w:rsid w:val="00894788"/>
    <w:rsid w:val="00895C6A"/>
    <w:rsid w:val="008A0F5A"/>
    <w:rsid w:val="008A2E0D"/>
    <w:rsid w:val="008A36BF"/>
    <w:rsid w:val="008A3D5E"/>
    <w:rsid w:val="008A716E"/>
    <w:rsid w:val="008B2330"/>
    <w:rsid w:val="008C458D"/>
    <w:rsid w:val="008C6E05"/>
    <w:rsid w:val="008D5514"/>
    <w:rsid w:val="008D5F61"/>
    <w:rsid w:val="008D7A3E"/>
    <w:rsid w:val="008E2D98"/>
    <w:rsid w:val="008E47DD"/>
    <w:rsid w:val="008E57CF"/>
    <w:rsid w:val="008E60F1"/>
    <w:rsid w:val="008F1DF3"/>
    <w:rsid w:val="008F4BA3"/>
    <w:rsid w:val="00904098"/>
    <w:rsid w:val="00910DAC"/>
    <w:rsid w:val="009118FA"/>
    <w:rsid w:val="009128CD"/>
    <w:rsid w:val="00921806"/>
    <w:rsid w:val="009219BF"/>
    <w:rsid w:val="00922CDB"/>
    <w:rsid w:val="009236AB"/>
    <w:rsid w:val="00924F2E"/>
    <w:rsid w:val="009255A4"/>
    <w:rsid w:val="00930B26"/>
    <w:rsid w:val="009352B8"/>
    <w:rsid w:val="00937181"/>
    <w:rsid w:val="00942BC2"/>
    <w:rsid w:val="009432CC"/>
    <w:rsid w:val="00946CB5"/>
    <w:rsid w:val="009511A6"/>
    <w:rsid w:val="00951C63"/>
    <w:rsid w:val="009550B4"/>
    <w:rsid w:val="009550ED"/>
    <w:rsid w:val="00955F95"/>
    <w:rsid w:val="00961ECD"/>
    <w:rsid w:val="00973B51"/>
    <w:rsid w:val="009769E5"/>
    <w:rsid w:val="00985117"/>
    <w:rsid w:val="00986815"/>
    <w:rsid w:val="009A033B"/>
    <w:rsid w:val="009A173A"/>
    <w:rsid w:val="009A7540"/>
    <w:rsid w:val="009B1D32"/>
    <w:rsid w:val="009B4BA8"/>
    <w:rsid w:val="009B4D61"/>
    <w:rsid w:val="009B6274"/>
    <w:rsid w:val="009C61FB"/>
    <w:rsid w:val="009C7651"/>
    <w:rsid w:val="009D7953"/>
    <w:rsid w:val="009E3E02"/>
    <w:rsid w:val="009E63D1"/>
    <w:rsid w:val="009F0574"/>
    <w:rsid w:val="009F27EA"/>
    <w:rsid w:val="009F37DF"/>
    <w:rsid w:val="009F660B"/>
    <w:rsid w:val="009F7368"/>
    <w:rsid w:val="00A10E7A"/>
    <w:rsid w:val="00A21437"/>
    <w:rsid w:val="00A217B2"/>
    <w:rsid w:val="00A26278"/>
    <w:rsid w:val="00A26A57"/>
    <w:rsid w:val="00A30334"/>
    <w:rsid w:val="00A31881"/>
    <w:rsid w:val="00A319BE"/>
    <w:rsid w:val="00A370D5"/>
    <w:rsid w:val="00A43BC8"/>
    <w:rsid w:val="00A53005"/>
    <w:rsid w:val="00A54C41"/>
    <w:rsid w:val="00A563EF"/>
    <w:rsid w:val="00A64086"/>
    <w:rsid w:val="00A70588"/>
    <w:rsid w:val="00A71348"/>
    <w:rsid w:val="00A74D63"/>
    <w:rsid w:val="00A74DE2"/>
    <w:rsid w:val="00A92F4B"/>
    <w:rsid w:val="00AA03E0"/>
    <w:rsid w:val="00AA48DA"/>
    <w:rsid w:val="00AA6156"/>
    <w:rsid w:val="00AA7D81"/>
    <w:rsid w:val="00AB7D3B"/>
    <w:rsid w:val="00AC35E5"/>
    <w:rsid w:val="00AE2D31"/>
    <w:rsid w:val="00AF5EE7"/>
    <w:rsid w:val="00B004C2"/>
    <w:rsid w:val="00B14E34"/>
    <w:rsid w:val="00B172EC"/>
    <w:rsid w:val="00B20AB5"/>
    <w:rsid w:val="00B23D88"/>
    <w:rsid w:val="00B2523B"/>
    <w:rsid w:val="00B25754"/>
    <w:rsid w:val="00B33434"/>
    <w:rsid w:val="00B42FD6"/>
    <w:rsid w:val="00B50725"/>
    <w:rsid w:val="00B6131A"/>
    <w:rsid w:val="00B6315C"/>
    <w:rsid w:val="00B66DA5"/>
    <w:rsid w:val="00B67B0C"/>
    <w:rsid w:val="00B72735"/>
    <w:rsid w:val="00B768FD"/>
    <w:rsid w:val="00B82F19"/>
    <w:rsid w:val="00B84F8F"/>
    <w:rsid w:val="00B86D0B"/>
    <w:rsid w:val="00B909CE"/>
    <w:rsid w:val="00B90B36"/>
    <w:rsid w:val="00B969E8"/>
    <w:rsid w:val="00BA032B"/>
    <w:rsid w:val="00BB43AB"/>
    <w:rsid w:val="00BB54E3"/>
    <w:rsid w:val="00BC5CF4"/>
    <w:rsid w:val="00BD1E9B"/>
    <w:rsid w:val="00BD34B9"/>
    <w:rsid w:val="00BD77B2"/>
    <w:rsid w:val="00BE40AB"/>
    <w:rsid w:val="00BE6CC9"/>
    <w:rsid w:val="00BF0F02"/>
    <w:rsid w:val="00BF3BB8"/>
    <w:rsid w:val="00BF4B1C"/>
    <w:rsid w:val="00C00F9B"/>
    <w:rsid w:val="00C01473"/>
    <w:rsid w:val="00C037FC"/>
    <w:rsid w:val="00C03A7C"/>
    <w:rsid w:val="00C05F6A"/>
    <w:rsid w:val="00C0779B"/>
    <w:rsid w:val="00C12745"/>
    <w:rsid w:val="00C153E7"/>
    <w:rsid w:val="00C16F3E"/>
    <w:rsid w:val="00C17349"/>
    <w:rsid w:val="00C235B1"/>
    <w:rsid w:val="00C238A9"/>
    <w:rsid w:val="00C240DE"/>
    <w:rsid w:val="00C27470"/>
    <w:rsid w:val="00C33025"/>
    <w:rsid w:val="00C40C06"/>
    <w:rsid w:val="00C42348"/>
    <w:rsid w:val="00C42869"/>
    <w:rsid w:val="00C548A7"/>
    <w:rsid w:val="00C63BDA"/>
    <w:rsid w:val="00C64140"/>
    <w:rsid w:val="00C665E4"/>
    <w:rsid w:val="00C668B1"/>
    <w:rsid w:val="00C7102B"/>
    <w:rsid w:val="00C72788"/>
    <w:rsid w:val="00C72AB0"/>
    <w:rsid w:val="00C73226"/>
    <w:rsid w:val="00C75634"/>
    <w:rsid w:val="00C765F1"/>
    <w:rsid w:val="00C83A4A"/>
    <w:rsid w:val="00C85BEE"/>
    <w:rsid w:val="00C87196"/>
    <w:rsid w:val="00C90BE7"/>
    <w:rsid w:val="00C91969"/>
    <w:rsid w:val="00C9311F"/>
    <w:rsid w:val="00C97990"/>
    <w:rsid w:val="00CA2CDC"/>
    <w:rsid w:val="00CA415F"/>
    <w:rsid w:val="00CA7495"/>
    <w:rsid w:val="00CB309E"/>
    <w:rsid w:val="00CB5336"/>
    <w:rsid w:val="00CB57FF"/>
    <w:rsid w:val="00CC1F87"/>
    <w:rsid w:val="00CC4C24"/>
    <w:rsid w:val="00CC6746"/>
    <w:rsid w:val="00CE1555"/>
    <w:rsid w:val="00CE2D7F"/>
    <w:rsid w:val="00CE7D88"/>
    <w:rsid w:val="00CF19A3"/>
    <w:rsid w:val="00CF50A1"/>
    <w:rsid w:val="00D12FF1"/>
    <w:rsid w:val="00D155DB"/>
    <w:rsid w:val="00D1751F"/>
    <w:rsid w:val="00D230B0"/>
    <w:rsid w:val="00D25974"/>
    <w:rsid w:val="00D260C4"/>
    <w:rsid w:val="00D27977"/>
    <w:rsid w:val="00D34597"/>
    <w:rsid w:val="00D34CDF"/>
    <w:rsid w:val="00D540DA"/>
    <w:rsid w:val="00D56B92"/>
    <w:rsid w:val="00D6070C"/>
    <w:rsid w:val="00D60832"/>
    <w:rsid w:val="00D705EE"/>
    <w:rsid w:val="00D73214"/>
    <w:rsid w:val="00D825E6"/>
    <w:rsid w:val="00D83C54"/>
    <w:rsid w:val="00D846F1"/>
    <w:rsid w:val="00D84A1C"/>
    <w:rsid w:val="00D84E70"/>
    <w:rsid w:val="00D851ED"/>
    <w:rsid w:val="00D9089D"/>
    <w:rsid w:val="00D951A1"/>
    <w:rsid w:val="00D954E6"/>
    <w:rsid w:val="00DA1D7E"/>
    <w:rsid w:val="00DA205D"/>
    <w:rsid w:val="00DB11B3"/>
    <w:rsid w:val="00DB2629"/>
    <w:rsid w:val="00DB364C"/>
    <w:rsid w:val="00DB4E78"/>
    <w:rsid w:val="00DB5383"/>
    <w:rsid w:val="00DB73B1"/>
    <w:rsid w:val="00DC086A"/>
    <w:rsid w:val="00DC1834"/>
    <w:rsid w:val="00DC71B6"/>
    <w:rsid w:val="00DD4533"/>
    <w:rsid w:val="00DE3504"/>
    <w:rsid w:val="00E15AA3"/>
    <w:rsid w:val="00E17044"/>
    <w:rsid w:val="00E20508"/>
    <w:rsid w:val="00E23144"/>
    <w:rsid w:val="00E33B04"/>
    <w:rsid w:val="00E43A99"/>
    <w:rsid w:val="00E45D87"/>
    <w:rsid w:val="00E468C1"/>
    <w:rsid w:val="00E50CFF"/>
    <w:rsid w:val="00E53879"/>
    <w:rsid w:val="00E60260"/>
    <w:rsid w:val="00E6034E"/>
    <w:rsid w:val="00E60C47"/>
    <w:rsid w:val="00E61035"/>
    <w:rsid w:val="00E638D2"/>
    <w:rsid w:val="00E67204"/>
    <w:rsid w:val="00E67756"/>
    <w:rsid w:val="00E71FCB"/>
    <w:rsid w:val="00E74CEC"/>
    <w:rsid w:val="00E8078F"/>
    <w:rsid w:val="00E8325C"/>
    <w:rsid w:val="00E87339"/>
    <w:rsid w:val="00E9247F"/>
    <w:rsid w:val="00E935A4"/>
    <w:rsid w:val="00E967F6"/>
    <w:rsid w:val="00E979C1"/>
    <w:rsid w:val="00EA5EA4"/>
    <w:rsid w:val="00EA5F89"/>
    <w:rsid w:val="00EA6F78"/>
    <w:rsid w:val="00EB10CC"/>
    <w:rsid w:val="00EB5E66"/>
    <w:rsid w:val="00EC155F"/>
    <w:rsid w:val="00ED2EAE"/>
    <w:rsid w:val="00ED5FDF"/>
    <w:rsid w:val="00EE01EE"/>
    <w:rsid w:val="00EE0DC1"/>
    <w:rsid w:val="00EE0F3F"/>
    <w:rsid w:val="00EF1063"/>
    <w:rsid w:val="00EF267F"/>
    <w:rsid w:val="00F03C2F"/>
    <w:rsid w:val="00F07BD7"/>
    <w:rsid w:val="00F13F61"/>
    <w:rsid w:val="00F26F4F"/>
    <w:rsid w:val="00F42F98"/>
    <w:rsid w:val="00F51924"/>
    <w:rsid w:val="00F635C4"/>
    <w:rsid w:val="00F6408A"/>
    <w:rsid w:val="00F73187"/>
    <w:rsid w:val="00F751D2"/>
    <w:rsid w:val="00F8742D"/>
    <w:rsid w:val="00F87B19"/>
    <w:rsid w:val="00FA6BA0"/>
    <w:rsid w:val="00FC7D11"/>
    <w:rsid w:val="00FD1046"/>
    <w:rsid w:val="00FD793E"/>
    <w:rsid w:val="00FE75C8"/>
    <w:rsid w:val="00FF1A71"/>
    <w:rsid w:val="00FF6176"/>
    <w:rsid w:val="00FF6F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5DA3"/>
    <w:pPr>
      <w:widowControl w:val="0"/>
      <w:adjustRightInd w:val="0"/>
      <w:spacing w:after="200" w:line="276" w:lineRule="auto"/>
    </w:pPr>
    <w:rPr>
      <w:rFonts w:eastAsia="Times New Roman"/>
      <w:sz w:val="22"/>
      <w:szCs w:val="22"/>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odyTextIndent1">
    <w:name w:val="Body Text Indent1"/>
    <w:basedOn w:val="Normlny"/>
    <w:rsid w:val="00E67756"/>
    <w:pPr>
      <w:widowControl/>
      <w:adjustRightInd/>
      <w:spacing w:after="0" w:line="240" w:lineRule="auto"/>
      <w:ind w:left="360"/>
      <w:jc w:val="center"/>
    </w:pPr>
    <w:rPr>
      <w:rFonts w:ascii="Times New Roman" w:hAnsi="Times New Roman"/>
      <w:sz w:val="24"/>
      <w:szCs w:val="24"/>
      <w:lang w:eastAsia="sk-SK"/>
    </w:rPr>
  </w:style>
  <w:style w:type="paragraph" w:styleId="Odsekzoznamu">
    <w:name w:val="List Paragraph"/>
    <w:basedOn w:val="Normlny"/>
    <w:uiPriority w:val="34"/>
    <w:qFormat/>
    <w:rsid w:val="00E67756"/>
    <w:pPr>
      <w:ind w:left="720"/>
      <w:contextualSpacing/>
    </w:pPr>
  </w:style>
  <w:style w:type="paragraph" w:customStyle="1" w:styleId="Zarkazkladnhotextu1">
    <w:name w:val="Zarážka základného textu1"/>
    <w:basedOn w:val="Normlny"/>
    <w:rsid w:val="00E67756"/>
    <w:pPr>
      <w:widowControl/>
      <w:adjustRightInd/>
      <w:spacing w:after="0" w:line="240" w:lineRule="auto"/>
      <w:ind w:left="360"/>
      <w:jc w:val="center"/>
    </w:pPr>
    <w:rPr>
      <w:rFonts w:ascii="Times New Roman" w:hAnsi="Times New Roman"/>
      <w:sz w:val="24"/>
      <w:szCs w:val="24"/>
      <w:lang w:eastAsia="sk-SK"/>
    </w:rPr>
  </w:style>
  <w:style w:type="table" w:styleId="Mriekatabuky">
    <w:name w:val="Table Grid"/>
    <w:basedOn w:val="Normlnatabuka"/>
    <w:uiPriority w:val="59"/>
    <w:rsid w:val="006B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D7953"/>
    <w:rPr>
      <w:sz w:val="16"/>
      <w:szCs w:val="16"/>
    </w:rPr>
  </w:style>
  <w:style w:type="paragraph" w:styleId="Textkomentra">
    <w:name w:val="annotation text"/>
    <w:basedOn w:val="Normlny"/>
    <w:link w:val="TextkomentraChar"/>
    <w:uiPriority w:val="99"/>
    <w:semiHidden/>
    <w:unhideWhenUsed/>
    <w:rsid w:val="009D7953"/>
    <w:pPr>
      <w:spacing w:line="240" w:lineRule="auto"/>
    </w:pPr>
    <w:rPr>
      <w:sz w:val="20"/>
      <w:szCs w:val="20"/>
    </w:rPr>
  </w:style>
  <w:style w:type="character" w:customStyle="1" w:styleId="TextkomentraChar">
    <w:name w:val="Text komentára Char"/>
    <w:link w:val="Textkomentra"/>
    <w:uiPriority w:val="99"/>
    <w:semiHidden/>
    <w:rsid w:val="009D7953"/>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9D7953"/>
    <w:rPr>
      <w:b/>
      <w:bCs/>
    </w:rPr>
  </w:style>
  <w:style w:type="character" w:customStyle="1" w:styleId="PredmetkomentraChar">
    <w:name w:val="Predmet komentára Char"/>
    <w:link w:val="Predmetkomentra"/>
    <w:uiPriority w:val="99"/>
    <w:semiHidden/>
    <w:rsid w:val="009D7953"/>
    <w:rPr>
      <w:rFonts w:ascii="Calibri" w:eastAsia="Times New Roman" w:hAnsi="Calibri" w:cs="Times New Roman"/>
      <w:b/>
      <w:bCs/>
      <w:sz w:val="20"/>
      <w:szCs w:val="20"/>
      <w:lang w:val="en-US"/>
    </w:rPr>
  </w:style>
  <w:style w:type="paragraph" w:styleId="Textbubliny">
    <w:name w:val="Balloon Text"/>
    <w:basedOn w:val="Normlny"/>
    <w:link w:val="TextbublinyChar"/>
    <w:uiPriority w:val="99"/>
    <w:semiHidden/>
    <w:unhideWhenUsed/>
    <w:rsid w:val="009D795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D7953"/>
    <w:rPr>
      <w:rFonts w:ascii="Tahoma" w:eastAsia="Times New Roman" w:hAnsi="Tahoma" w:cs="Tahoma"/>
      <w:sz w:val="16"/>
      <w:szCs w:val="16"/>
      <w:lang w:val="en-US"/>
    </w:rPr>
  </w:style>
  <w:style w:type="character" w:styleId="Hypertextovprepojenie">
    <w:name w:val="Hyperlink"/>
    <w:rsid w:val="00EF1063"/>
    <w:rPr>
      <w:color w:val="0000FF"/>
      <w:u w:val="single"/>
    </w:rPr>
  </w:style>
  <w:style w:type="paragraph" w:customStyle="1" w:styleId="Normlny1">
    <w:name w:val="Normálny1"/>
    <w:rsid w:val="00EF1063"/>
    <w:pPr>
      <w:spacing w:line="276" w:lineRule="auto"/>
    </w:pPr>
    <w:rPr>
      <w:rFonts w:ascii="Arial" w:eastAsia="Arial" w:hAnsi="Arial" w:cs="Arial"/>
      <w:color w:val="000000"/>
      <w:sz w:val="22"/>
      <w:szCs w:val="22"/>
      <w:lang w:val="cs-CZ" w:eastAsia="cs-CZ"/>
    </w:rPr>
  </w:style>
  <w:style w:type="paragraph" w:styleId="Textpoznmkypodiarou">
    <w:name w:val="footnote text"/>
    <w:basedOn w:val="Normlny"/>
    <w:link w:val="TextpoznmkypodiarouChar"/>
    <w:uiPriority w:val="99"/>
    <w:rsid w:val="00EF1063"/>
    <w:pPr>
      <w:widowControl/>
      <w:adjustRightInd/>
      <w:spacing w:after="0" w:line="240" w:lineRule="auto"/>
    </w:pPr>
    <w:rPr>
      <w:rFonts w:ascii="Times New Roman" w:hAnsi="Times New Roman"/>
      <w:sz w:val="20"/>
      <w:szCs w:val="20"/>
      <w:lang w:eastAsia="sk-SK"/>
    </w:rPr>
  </w:style>
  <w:style w:type="character" w:customStyle="1" w:styleId="TextpoznmkypodiarouChar">
    <w:name w:val="Text poznámky pod čiarou Char"/>
    <w:link w:val="Textpoznmkypodiarou"/>
    <w:uiPriority w:val="99"/>
    <w:rsid w:val="00EF1063"/>
    <w:rPr>
      <w:rFonts w:ascii="Times New Roman" w:eastAsia="Times New Roman" w:hAnsi="Times New Roman"/>
    </w:rPr>
  </w:style>
  <w:style w:type="character" w:styleId="Odkaznapoznmkupodiarou">
    <w:name w:val="footnote reference"/>
    <w:uiPriority w:val="99"/>
    <w:rsid w:val="00EF1063"/>
    <w:rPr>
      <w:vertAlign w:val="superscript"/>
    </w:rPr>
  </w:style>
  <w:style w:type="paragraph" w:styleId="Revzia">
    <w:name w:val="Revision"/>
    <w:hidden/>
    <w:uiPriority w:val="99"/>
    <w:semiHidden/>
    <w:rsid w:val="00062AF3"/>
    <w:rPr>
      <w:rFonts w:eastAsia="Times New Roman"/>
      <w:sz w:val="22"/>
      <w:szCs w:val="22"/>
      <w:lang w:eastAsia="en-US"/>
    </w:rPr>
  </w:style>
  <w:style w:type="paragraph" w:styleId="Hlavika">
    <w:name w:val="header"/>
    <w:basedOn w:val="Normlny"/>
    <w:link w:val="HlavikaChar"/>
    <w:uiPriority w:val="99"/>
    <w:unhideWhenUsed/>
    <w:rsid w:val="00360A93"/>
    <w:pPr>
      <w:tabs>
        <w:tab w:val="center" w:pos="4536"/>
        <w:tab w:val="right" w:pos="9072"/>
      </w:tabs>
    </w:pPr>
  </w:style>
  <w:style w:type="character" w:customStyle="1" w:styleId="HlavikaChar">
    <w:name w:val="Hlavička Char"/>
    <w:link w:val="Hlavika"/>
    <w:uiPriority w:val="99"/>
    <w:rsid w:val="00360A93"/>
    <w:rPr>
      <w:rFonts w:eastAsia="Times New Roman"/>
      <w:sz w:val="22"/>
      <w:szCs w:val="22"/>
      <w:lang w:eastAsia="en-US"/>
    </w:rPr>
  </w:style>
  <w:style w:type="paragraph" w:styleId="Pta">
    <w:name w:val="footer"/>
    <w:basedOn w:val="Normlny"/>
    <w:link w:val="PtaChar"/>
    <w:uiPriority w:val="99"/>
    <w:unhideWhenUsed/>
    <w:rsid w:val="00360A93"/>
    <w:pPr>
      <w:tabs>
        <w:tab w:val="center" w:pos="4536"/>
        <w:tab w:val="right" w:pos="9072"/>
      </w:tabs>
    </w:pPr>
  </w:style>
  <w:style w:type="character" w:customStyle="1" w:styleId="PtaChar">
    <w:name w:val="Päta Char"/>
    <w:link w:val="Pta"/>
    <w:uiPriority w:val="99"/>
    <w:rsid w:val="00360A93"/>
    <w:rPr>
      <w:rFonts w:eastAsia="Times New Roman"/>
      <w:sz w:val="22"/>
      <w:szCs w:val="22"/>
      <w:lang w:eastAsia="en-US"/>
    </w:rPr>
  </w:style>
  <w:style w:type="character" w:styleId="PouitHypertextovPrepojenie">
    <w:name w:val="FollowedHyperlink"/>
    <w:uiPriority w:val="99"/>
    <w:semiHidden/>
    <w:unhideWhenUsed/>
    <w:rsid w:val="00130EB7"/>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5DA3"/>
    <w:pPr>
      <w:widowControl w:val="0"/>
      <w:adjustRightInd w:val="0"/>
      <w:spacing w:after="200" w:line="276" w:lineRule="auto"/>
    </w:pPr>
    <w:rPr>
      <w:rFonts w:eastAsia="Times New Roman"/>
      <w:sz w:val="22"/>
      <w:szCs w:val="22"/>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odyTextIndent1">
    <w:name w:val="Body Text Indent1"/>
    <w:basedOn w:val="Normlny"/>
    <w:rsid w:val="00E67756"/>
    <w:pPr>
      <w:widowControl/>
      <w:adjustRightInd/>
      <w:spacing w:after="0" w:line="240" w:lineRule="auto"/>
      <w:ind w:left="360"/>
      <w:jc w:val="center"/>
    </w:pPr>
    <w:rPr>
      <w:rFonts w:ascii="Times New Roman" w:hAnsi="Times New Roman"/>
      <w:sz w:val="24"/>
      <w:szCs w:val="24"/>
      <w:lang w:eastAsia="sk-SK"/>
    </w:rPr>
  </w:style>
  <w:style w:type="paragraph" w:styleId="Odsekzoznamu">
    <w:name w:val="List Paragraph"/>
    <w:basedOn w:val="Normlny"/>
    <w:uiPriority w:val="34"/>
    <w:qFormat/>
    <w:rsid w:val="00E67756"/>
    <w:pPr>
      <w:ind w:left="720"/>
      <w:contextualSpacing/>
    </w:pPr>
  </w:style>
  <w:style w:type="paragraph" w:customStyle="1" w:styleId="Zarkazkladnhotextu1">
    <w:name w:val="Zarážka základného textu1"/>
    <w:basedOn w:val="Normlny"/>
    <w:rsid w:val="00E67756"/>
    <w:pPr>
      <w:widowControl/>
      <w:adjustRightInd/>
      <w:spacing w:after="0" w:line="240" w:lineRule="auto"/>
      <w:ind w:left="360"/>
      <w:jc w:val="center"/>
    </w:pPr>
    <w:rPr>
      <w:rFonts w:ascii="Times New Roman" w:hAnsi="Times New Roman"/>
      <w:sz w:val="24"/>
      <w:szCs w:val="24"/>
      <w:lang w:eastAsia="sk-SK"/>
    </w:rPr>
  </w:style>
  <w:style w:type="table" w:styleId="Mriekatabuky">
    <w:name w:val="Table Grid"/>
    <w:basedOn w:val="Normlnatabuka"/>
    <w:uiPriority w:val="59"/>
    <w:rsid w:val="006B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D7953"/>
    <w:rPr>
      <w:sz w:val="16"/>
      <w:szCs w:val="16"/>
    </w:rPr>
  </w:style>
  <w:style w:type="paragraph" w:styleId="Textkomentra">
    <w:name w:val="annotation text"/>
    <w:basedOn w:val="Normlny"/>
    <w:link w:val="TextkomentraChar"/>
    <w:uiPriority w:val="99"/>
    <w:semiHidden/>
    <w:unhideWhenUsed/>
    <w:rsid w:val="009D7953"/>
    <w:pPr>
      <w:spacing w:line="240" w:lineRule="auto"/>
    </w:pPr>
    <w:rPr>
      <w:sz w:val="20"/>
      <w:szCs w:val="20"/>
    </w:rPr>
  </w:style>
  <w:style w:type="character" w:customStyle="1" w:styleId="TextkomentraChar">
    <w:name w:val="Text komentára Char"/>
    <w:link w:val="Textkomentra"/>
    <w:uiPriority w:val="99"/>
    <w:semiHidden/>
    <w:rsid w:val="009D7953"/>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9D7953"/>
    <w:rPr>
      <w:b/>
      <w:bCs/>
    </w:rPr>
  </w:style>
  <w:style w:type="character" w:customStyle="1" w:styleId="PredmetkomentraChar">
    <w:name w:val="Predmet komentára Char"/>
    <w:link w:val="Predmetkomentra"/>
    <w:uiPriority w:val="99"/>
    <w:semiHidden/>
    <w:rsid w:val="009D7953"/>
    <w:rPr>
      <w:rFonts w:ascii="Calibri" w:eastAsia="Times New Roman" w:hAnsi="Calibri" w:cs="Times New Roman"/>
      <w:b/>
      <w:bCs/>
      <w:sz w:val="20"/>
      <w:szCs w:val="20"/>
      <w:lang w:val="en-US"/>
    </w:rPr>
  </w:style>
  <w:style w:type="paragraph" w:styleId="Textbubliny">
    <w:name w:val="Balloon Text"/>
    <w:basedOn w:val="Normlny"/>
    <w:link w:val="TextbublinyChar"/>
    <w:uiPriority w:val="99"/>
    <w:semiHidden/>
    <w:unhideWhenUsed/>
    <w:rsid w:val="009D795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D7953"/>
    <w:rPr>
      <w:rFonts w:ascii="Tahoma" w:eastAsia="Times New Roman" w:hAnsi="Tahoma" w:cs="Tahoma"/>
      <w:sz w:val="16"/>
      <w:szCs w:val="16"/>
      <w:lang w:val="en-US"/>
    </w:rPr>
  </w:style>
  <w:style w:type="character" w:styleId="Hypertextovprepojenie">
    <w:name w:val="Hyperlink"/>
    <w:rsid w:val="00EF1063"/>
    <w:rPr>
      <w:color w:val="0000FF"/>
      <w:u w:val="single"/>
    </w:rPr>
  </w:style>
  <w:style w:type="paragraph" w:customStyle="1" w:styleId="Normlny1">
    <w:name w:val="Normálny1"/>
    <w:rsid w:val="00EF1063"/>
    <w:pPr>
      <w:spacing w:line="276" w:lineRule="auto"/>
    </w:pPr>
    <w:rPr>
      <w:rFonts w:ascii="Arial" w:eastAsia="Arial" w:hAnsi="Arial" w:cs="Arial"/>
      <w:color w:val="000000"/>
      <w:sz w:val="22"/>
      <w:szCs w:val="22"/>
      <w:lang w:val="cs-CZ" w:eastAsia="cs-CZ"/>
    </w:rPr>
  </w:style>
  <w:style w:type="paragraph" w:styleId="Textpoznmkypodiarou">
    <w:name w:val="footnote text"/>
    <w:basedOn w:val="Normlny"/>
    <w:link w:val="TextpoznmkypodiarouChar"/>
    <w:uiPriority w:val="99"/>
    <w:rsid w:val="00EF1063"/>
    <w:pPr>
      <w:widowControl/>
      <w:adjustRightInd/>
      <w:spacing w:after="0" w:line="240" w:lineRule="auto"/>
    </w:pPr>
    <w:rPr>
      <w:rFonts w:ascii="Times New Roman" w:hAnsi="Times New Roman"/>
      <w:sz w:val="20"/>
      <w:szCs w:val="20"/>
      <w:lang w:eastAsia="sk-SK"/>
    </w:rPr>
  </w:style>
  <w:style w:type="character" w:customStyle="1" w:styleId="TextpoznmkypodiarouChar">
    <w:name w:val="Text poznámky pod čiarou Char"/>
    <w:link w:val="Textpoznmkypodiarou"/>
    <w:uiPriority w:val="99"/>
    <w:rsid w:val="00EF1063"/>
    <w:rPr>
      <w:rFonts w:ascii="Times New Roman" w:eastAsia="Times New Roman" w:hAnsi="Times New Roman"/>
    </w:rPr>
  </w:style>
  <w:style w:type="character" w:styleId="Odkaznapoznmkupodiarou">
    <w:name w:val="footnote reference"/>
    <w:uiPriority w:val="99"/>
    <w:rsid w:val="00EF1063"/>
    <w:rPr>
      <w:vertAlign w:val="superscript"/>
    </w:rPr>
  </w:style>
  <w:style w:type="paragraph" w:styleId="Revzia">
    <w:name w:val="Revision"/>
    <w:hidden/>
    <w:uiPriority w:val="99"/>
    <w:semiHidden/>
    <w:rsid w:val="00062AF3"/>
    <w:rPr>
      <w:rFonts w:eastAsia="Times New Roman"/>
      <w:sz w:val="22"/>
      <w:szCs w:val="22"/>
      <w:lang w:eastAsia="en-US"/>
    </w:rPr>
  </w:style>
  <w:style w:type="paragraph" w:styleId="Hlavika">
    <w:name w:val="header"/>
    <w:basedOn w:val="Normlny"/>
    <w:link w:val="HlavikaChar"/>
    <w:uiPriority w:val="99"/>
    <w:unhideWhenUsed/>
    <w:rsid w:val="00360A93"/>
    <w:pPr>
      <w:tabs>
        <w:tab w:val="center" w:pos="4536"/>
        <w:tab w:val="right" w:pos="9072"/>
      </w:tabs>
    </w:pPr>
  </w:style>
  <w:style w:type="character" w:customStyle="1" w:styleId="HlavikaChar">
    <w:name w:val="Hlavička Char"/>
    <w:link w:val="Hlavika"/>
    <w:uiPriority w:val="99"/>
    <w:rsid w:val="00360A93"/>
    <w:rPr>
      <w:rFonts w:eastAsia="Times New Roman"/>
      <w:sz w:val="22"/>
      <w:szCs w:val="22"/>
      <w:lang w:eastAsia="en-US"/>
    </w:rPr>
  </w:style>
  <w:style w:type="paragraph" w:styleId="Pta">
    <w:name w:val="footer"/>
    <w:basedOn w:val="Normlny"/>
    <w:link w:val="PtaChar"/>
    <w:uiPriority w:val="99"/>
    <w:unhideWhenUsed/>
    <w:rsid w:val="00360A93"/>
    <w:pPr>
      <w:tabs>
        <w:tab w:val="center" w:pos="4536"/>
        <w:tab w:val="right" w:pos="9072"/>
      </w:tabs>
    </w:pPr>
  </w:style>
  <w:style w:type="character" w:customStyle="1" w:styleId="PtaChar">
    <w:name w:val="Päta Char"/>
    <w:link w:val="Pta"/>
    <w:uiPriority w:val="99"/>
    <w:rsid w:val="00360A93"/>
    <w:rPr>
      <w:rFonts w:eastAsia="Times New Roman"/>
      <w:sz w:val="22"/>
      <w:szCs w:val="22"/>
      <w:lang w:eastAsia="en-US"/>
    </w:rPr>
  </w:style>
  <w:style w:type="character" w:styleId="PouitHypertextovPrepojenie">
    <w:name w:val="FollowedHyperlink"/>
    <w:uiPriority w:val="99"/>
    <w:semiHidden/>
    <w:unhideWhenUsed/>
    <w:rsid w:val="00130EB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4886">
      <w:bodyDiv w:val="1"/>
      <w:marLeft w:val="0"/>
      <w:marRight w:val="0"/>
      <w:marTop w:val="0"/>
      <w:marBottom w:val="0"/>
      <w:divBdr>
        <w:top w:val="none" w:sz="0" w:space="0" w:color="auto"/>
        <w:left w:val="none" w:sz="0" w:space="0" w:color="auto"/>
        <w:bottom w:val="none" w:sz="0" w:space="0" w:color="auto"/>
        <w:right w:val="none" w:sz="0" w:space="0" w:color="auto"/>
      </w:divBdr>
    </w:div>
    <w:div w:id="62262655">
      <w:bodyDiv w:val="1"/>
      <w:marLeft w:val="0"/>
      <w:marRight w:val="0"/>
      <w:marTop w:val="0"/>
      <w:marBottom w:val="0"/>
      <w:divBdr>
        <w:top w:val="none" w:sz="0" w:space="0" w:color="auto"/>
        <w:left w:val="none" w:sz="0" w:space="0" w:color="auto"/>
        <w:bottom w:val="none" w:sz="0" w:space="0" w:color="auto"/>
        <w:right w:val="none" w:sz="0" w:space="0" w:color="auto"/>
      </w:divBdr>
      <w:divsChild>
        <w:div w:id="1763522694">
          <w:marLeft w:val="0"/>
          <w:marRight w:val="0"/>
          <w:marTop w:val="0"/>
          <w:marBottom w:val="0"/>
          <w:divBdr>
            <w:top w:val="none" w:sz="0" w:space="0" w:color="auto"/>
            <w:left w:val="none" w:sz="0" w:space="0" w:color="auto"/>
            <w:bottom w:val="none" w:sz="0" w:space="0" w:color="auto"/>
            <w:right w:val="none" w:sz="0" w:space="0" w:color="auto"/>
          </w:divBdr>
          <w:divsChild>
            <w:div w:id="979001717">
              <w:marLeft w:val="0"/>
              <w:marRight w:val="0"/>
              <w:marTop w:val="0"/>
              <w:marBottom w:val="0"/>
              <w:divBdr>
                <w:top w:val="none" w:sz="0" w:space="0" w:color="auto"/>
                <w:left w:val="none" w:sz="0" w:space="0" w:color="auto"/>
                <w:bottom w:val="none" w:sz="0" w:space="0" w:color="auto"/>
                <w:right w:val="none" w:sz="0" w:space="0" w:color="auto"/>
              </w:divBdr>
              <w:divsChild>
                <w:div w:id="1408922096">
                  <w:marLeft w:val="0"/>
                  <w:marRight w:val="0"/>
                  <w:marTop w:val="0"/>
                  <w:marBottom w:val="0"/>
                  <w:divBdr>
                    <w:top w:val="none" w:sz="0" w:space="0" w:color="auto"/>
                    <w:left w:val="none" w:sz="0" w:space="0" w:color="auto"/>
                    <w:bottom w:val="none" w:sz="0" w:space="0" w:color="auto"/>
                    <w:right w:val="none" w:sz="0" w:space="0" w:color="auto"/>
                  </w:divBdr>
                  <w:divsChild>
                    <w:div w:id="1792363117">
                      <w:marLeft w:val="1"/>
                      <w:marRight w:val="1"/>
                      <w:marTop w:val="0"/>
                      <w:marBottom w:val="0"/>
                      <w:divBdr>
                        <w:top w:val="none" w:sz="0" w:space="0" w:color="auto"/>
                        <w:left w:val="none" w:sz="0" w:space="0" w:color="auto"/>
                        <w:bottom w:val="none" w:sz="0" w:space="0" w:color="auto"/>
                        <w:right w:val="none" w:sz="0" w:space="0" w:color="auto"/>
                      </w:divBdr>
                      <w:divsChild>
                        <w:div w:id="1972781697">
                          <w:marLeft w:val="0"/>
                          <w:marRight w:val="0"/>
                          <w:marTop w:val="0"/>
                          <w:marBottom w:val="0"/>
                          <w:divBdr>
                            <w:top w:val="none" w:sz="0" w:space="0" w:color="auto"/>
                            <w:left w:val="none" w:sz="0" w:space="0" w:color="auto"/>
                            <w:bottom w:val="none" w:sz="0" w:space="0" w:color="auto"/>
                            <w:right w:val="none" w:sz="0" w:space="0" w:color="auto"/>
                          </w:divBdr>
                          <w:divsChild>
                            <w:div w:id="592326272">
                              <w:marLeft w:val="0"/>
                              <w:marRight w:val="0"/>
                              <w:marTop w:val="0"/>
                              <w:marBottom w:val="360"/>
                              <w:divBdr>
                                <w:top w:val="none" w:sz="0" w:space="0" w:color="auto"/>
                                <w:left w:val="none" w:sz="0" w:space="0" w:color="auto"/>
                                <w:bottom w:val="none" w:sz="0" w:space="0" w:color="auto"/>
                                <w:right w:val="none" w:sz="0" w:space="0" w:color="auto"/>
                              </w:divBdr>
                              <w:divsChild>
                                <w:div w:id="1301958923">
                                  <w:marLeft w:val="0"/>
                                  <w:marRight w:val="0"/>
                                  <w:marTop w:val="0"/>
                                  <w:marBottom w:val="0"/>
                                  <w:divBdr>
                                    <w:top w:val="none" w:sz="0" w:space="0" w:color="auto"/>
                                    <w:left w:val="none" w:sz="0" w:space="0" w:color="auto"/>
                                    <w:bottom w:val="none" w:sz="0" w:space="0" w:color="auto"/>
                                    <w:right w:val="none" w:sz="0" w:space="0" w:color="auto"/>
                                  </w:divBdr>
                                  <w:divsChild>
                                    <w:div w:id="120659552">
                                      <w:marLeft w:val="0"/>
                                      <w:marRight w:val="0"/>
                                      <w:marTop w:val="0"/>
                                      <w:marBottom w:val="0"/>
                                      <w:divBdr>
                                        <w:top w:val="none" w:sz="0" w:space="0" w:color="auto"/>
                                        <w:left w:val="none" w:sz="0" w:space="0" w:color="auto"/>
                                        <w:bottom w:val="none" w:sz="0" w:space="0" w:color="auto"/>
                                        <w:right w:val="none" w:sz="0" w:space="0" w:color="auto"/>
                                      </w:divBdr>
                                      <w:divsChild>
                                        <w:div w:id="128516640">
                                          <w:marLeft w:val="0"/>
                                          <w:marRight w:val="0"/>
                                          <w:marTop w:val="0"/>
                                          <w:marBottom w:val="0"/>
                                          <w:divBdr>
                                            <w:top w:val="none" w:sz="0" w:space="0" w:color="auto"/>
                                            <w:left w:val="none" w:sz="0" w:space="0" w:color="auto"/>
                                            <w:bottom w:val="none" w:sz="0" w:space="0" w:color="auto"/>
                                            <w:right w:val="none" w:sz="0" w:space="0" w:color="auto"/>
                                          </w:divBdr>
                                          <w:divsChild>
                                            <w:div w:id="847409267">
                                              <w:marLeft w:val="0"/>
                                              <w:marRight w:val="0"/>
                                              <w:marTop w:val="0"/>
                                              <w:marBottom w:val="0"/>
                                              <w:divBdr>
                                                <w:top w:val="none" w:sz="0" w:space="0" w:color="auto"/>
                                                <w:left w:val="none" w:sz="0" w:space="0" w:color="auto"/>
                                                <w:bottom w:val="none" w:sz="0" w:space="0" w:color="auto"/>
                                                <w:right w:val="none" w:sz="0" w:space="0" w:color="auto"/>
                                              </w:divBdr>
                                              <w:divsChild>
                                                <w:div w:id="867915543">
                                                  <w:marLeft w:val="0"/>
                                                  <w:marRight w:val="0"/>
                                                  <w:marTop w:val="0"/>
                                                  <w:marBottom w:val="0"/>
                                                  <w:divBdr>
                                                    <w:top w:val="none" w:sz="0" w:space="0" w:color="auto"/>
                                                    <w:left w:val="none" w:sz="0" w:space="0" w:color="auto"/>
                                                    <w:bottom w:val="none" w:sz="0" w:space="0" w:color="auto"/>
                                                    <w:right w:val="none" w:sz="0" w:space="0" w:color="auto"/>
                                                  </w:divBdr>
                                                  <w:divsChild>
                                                    <w:div w:id="11071003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108821715">
      <w:bodyDiv w:val="1"/>
      <w:marLeft w:val="0"/>
      <w:marRight w:val="0"/>
      <w:marTop w:val="0"/>
      <w:marBottom w:val="0"/>
      <w:divBdr>
        <w:top w:val="none" w:sz="0" w:space="0" w:color="auto"/>
        <w:left w:val="none" w:sz="0" w:space="0" w:color="auto"/>
        <w:bottom w:val="none" w:sz="0" w:space="0" w:color="auto"/>
        <w:right w:val="none" w:sz="0" w:space="0" w:color="auto"/>
      </w:divBdr>
    </w:div>
    <w:div w:id="156583100">
      <w:bodyDiv w:val="1"/>
      <w:marLeft w:val="0"/>
      <w:marRight w:val="0"/>
      <w:marTop w:val="0"/>
      <w:marBottom w:val="0"/>
      <w:divBdr>
        <w:top w:val="none" w:sz="0" w:space="0" w:color="auto"/>
        <w:left w:val="none" w:sz="0" w:space="0" w:color="auto"/>
        <w:bottom w:val="none" w:sz="0" w:space="0" w:color="auto"/>
        <w:right w:val="none" w:sz="0" w:space="0" w:color="auto"/>
      </w:divBdr>
    </w:div>
    <w:div w:id="185020019">
      <w:bodyDiv w:val="1"/>
      <w:marLeft w:val="0"/>
      <w:marRight w:val="0"/>
      <w:marTop w:val="0"/>
      <w:marBottom w:val="0"/>
      <w:divBdr>
        <w:top w:val="none" w:sz="0" w:space="0" w:color="auto"/>
        <w:left w:val="none" w:sz="0" w:space="0" w:color="auto"/>
        <w:bottom w:val="none" w:sz="0" w:space="0" w:color="auto"/>
        <w:right w:val="none" w:sz="0" w:space="0" w:color="auto"/>
      </w:divBdr>
    </w:div>
    <w:div w:id="222647144">
      <w:bodyDiv w:val="1"/>
      <w:marLeft w:val="0"/>
      <w:marRight w:val="0"/>
      <w:marTop w:val="0"/>
      <w:marBottom w:val="0"/>
      <w:divBdr>
        <w:top w:val="none" w:sz="0" w:space="0" w:color="auto"/>
        <w:left w:val="none" w:sz="0" w:space="0" w:color="auto"/>
        <w:bottom w:val="none" w:sz="0" w:space="0" w:color="auto"/>
        <w:right w:val="none" w:sz="0" w:space="0" w:color="auto"/>
      </w:divBdr>
    </w:div>
    <w:div w:id="233587154">
      <w:bodyDiv w:val="1"/>
      <w:marLeft w:val="0"/>
      <w:marRight w:val="0"/>
      <w:marTop w:val="0"/>
      <w:marBottom w:val="0"/>
      <w:divBdr>
        <w:top w:val="none" w:sz="0" w:space="0" w:color="auto"/>
        <w:left w:val="none" w:sz="0" w:space="0" w:color="auto"/>
        <w:bottom w:val="none" w:sz="0" w:space="0" w:color="auto"/>
        <w:right w:val="none" w:sz="0" w:space="0" w:color="auto"/>
      </w:divBdr>
      <w:divsChild>
        <w:div w:id="1799373135">
          <w:marLeft w:val="0"/>
          <w:marRight w:val="0"/>
          <w:marTop w:val="0"/>
          <w:marBottom w:val="0"/>
          <w:divBdr>
            <w:top w:val="none" w:sz="0" w:space="0" w:color="auto"/>
            <w:left w:val="none" w:sz="0" w:space="0" w:color="auto"/>
            <w:bottom w:val="none" w:sz="0" w:space="0" w:color="auto"/>
            <w:right w:val="none" w:sz="0" w:space="0" w:color="auto"/>
          </w:divBdr>
          <w:divsChild>
            <w:div w:id="1094862385">
              <w:marLeft w:val="0"/>
              <w:marRight w:val="0"/>
              <w:marTop w:val="0"/>
              <w:marBottom w:val="0"/>
              <w:divBdr>
                <w:top w:val="none" w:sz="0" w:space="0" w:color="auto"/>
                <w:left w:val="none" w:sz="0" w:space="0" w:color="auto"/>
                <w:bottom w:val="none" w:sz="0" w:space="0" w:color="auto"/>
                <w:right w:val="none" w:sz="0" w:space="0" w:color="auto"/>
              </w:divBdr>
              <w:divsChild>
                <w:div w:id="440802091">
                  <w:marLeft w:val="0"/>
                  <w:marRight w:val="0"/>
                  <w:marTop w:val="0"/>
                  <w:marBottom w:val="0"/>
                  <w:divBdr>
                    <w:top w:val="none" w:sz="0" w:space="0" w:color="auto"/>
                    <w:left w:val="none" w:sz="0" w:space="0" w:color="auto"/>
                    <w:bottom w:val="none" w:sz="0" w:space="0" w:color="auto"/>
                    <w:right w:val="none" w:sz="0" w:space="0" w:color="auto"/>
                  </w:divBdr>
                  <w:divsChild>
                    <w:div w:id="1332102119">
                      <w:marLeft w:val="0"/>
                      <w:marRight w:val="0"/>
                      <w:marTop w:val="0"/>
                      <w:marBottom w:val="0"/>
                      <w:divBdr>
                        <w:top w:val="single" w:sz="6" w:space="0" w:color="D4DBE2"/>
                        <w:left w:val="none" w:sz="0" w:space="0" w:color="auto"/>
                        <w:bottom w:val="none" w:sz="0" w:space="0" w:color="auto"/>
                        <w:right w:val="none" w:sz="0" w:space="0" w:color="auto"/>
                      </w:divBdr>
                      <w:divsChild>
                        <w:div w:id="606085648">
                          <w:marLeft w:val="0"/>
                          <w:marRight w:val="0"/>
                          <w:marTop w:val="0"/>
                          <w:marBottom w:val="300"/>
                          <w:divBdr>
                            <w:top w:val="none" w:sz="0" w:space="0" w:color="auto"/>
                            <w:left w:val="none" w:sz="0" w:space="0" w:color="auto"/>
                            <w:bottom w:val="none" w:sz="0" w:space="0" w:color="auto"/>
                            <w:right w:val="none" w:sz="0" w:space="0" w:color="auto"/>
                          </w:divBdr>
                          <w:divsChild>
                            <w:div w:id="573585406">
                              <w:marLeft w:val="0"/>
                              <w:marRight w:val="0"/>
                              <w:marTop w:val="0"/>
                              <w:marBottom w:val="0"/>
                              <w:divBdr>
                                <w:top w:val="none" w:sz="0" w:space="0" w:color="auto"/>
                                <w:left w:val="none" w:sz="0" w:space="0" w:color="auto"/>
                                <w:bottom w:val="none" w:sz="0" w:space="0" w:color="auto"/>
                                <w:right w:val="none" w:sz="0" w:space="0" w:color="auto"/>
                              </w:divBdr>
                              <w:divsChild>
                                <w:div w:id="1077900721">
                                  <w:marLeft w:val="0"/>
                                  <w:marRight w:val="0"/>
                                  <w:marTop w:val="0"/>
                                  <w:marBottom w:val="0"/>
                                  <w:divBdr>
                                    <w:top w:val="none" w:sz="0" w:space="0" w:color="auto"/>
                                    <w:left w:val="none" w:sz="0" w:space="0" w:color="auto"/>
                                    <w:bottom w:val="none" w:sz="0" w:space="0" w:color="auto"/>
                                    <w:right w:val="none" w:sz="0" w:space="0" w:color="auto"/>
                                  </w:divBdr>
                                  <w:divsChild>
                                    <w:div w:id="451629140">
                                      <w:marLeft w:val="0"/>
                                      <w:marRight w:val="0"/>
                                      <w:marTop w:val="0"/>
                                      <w:marBottom w:val="0"/>
                                      <w:divBdr>
                                        <w:top w:val="none" w:sz="0" w:space="0" w:color="auto"/>
                                        <w:left w:val="none" w:sz="0" w:space="0" w:color="auto"/>
                                        <w:bottom w:val="none" w:sz="0" w:space="0" w:color="auto"/>
                                        <w:right w:val="none" w:sz="0" w:space="0" w:color="auto"/>
                                      </w:divBdr>
                                      <w:divsChild>
                                        <w:div w:id="825706061">
                                          <w:marLeft w:val="0"/>
                                          <w:marRight w:val="0"/>
                                          <w:marTop w:val="0"/>
                                          <w:marBottom w:val="0"/>
                                          <w:divBdr>
                                            <w:top w:val="none" w:sz="0" w:space="0" w:color="auto"/>
                                            <w:left w:val="none" w:sz="0" w:space="0" w:color="auto"/>
                                            <w:bottom w:val="none" w:sz="0" w:space="0" w:color="auto"/>
                                            <w:right w:val="none" w:sz="0" w:space="0" w:color="auto"/>
                                          </w:divBdr>
                                          <w:divsChild>
                                            <w:div w:id="159124725">
                                              <w:marLeft w:val="0"/>
                                              <w:marRight w:val="0"/>
                                              <w:marTop w:val="0"/>
                                              <w:marBottom w:val="0"/>
                                              <w:divBdr>
                                                <w:top w:val="none" w:sz="0" w:space="0" w:color="auto"/>
                                                <w:left w:val="none" w:sz="0" w:space="0" w:color="auto"/>
                                                <w:bottom w:val="none" w:sz="0" w:space="0" w:color="auto"/>
                                                <w:right w:val="none" w:sz="0" w:space="0" w:color="auto"/>
                                              </w:divBdr>
                                              <w:divsChild>
                                                <w:div w:id="597523171">
                                                  <w:marLeft w:val="0"/>
                                                  <w:marRight w:val="0"/>
                                                  <w:marTop w:val="0"/>
                                                  <w:marBottom w:val="0"/>
                                                  <w:divBdr>
                                                    <w:top w:val="none" w:sz="0" w:space="0" w:color="auto"/>
                                                    <w:left w:val="none" w:sz="0" w:space="0" w:color="auto"/>
                                                    <w:bottom w:val="none" w:sz="0" w:space="0" w:color="auto"/>
                                                    <w:right w:val="none" w:sz="0" w:space="0" w:color="auto"/>
                                                  </w:divBdr>
                                                  <w:divsChild>
                                                    <w:div w:id="18702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582965">
      <w:bodyDiv w:val="1"/>
      <w:marLeft w:val="0"/>
      <w:marRight w:val="0"/>
      <w:marTop w:val="0"/>
      <w:marBottom w:val="0"/>
      <w:divBdr>
        <w:top w:val="none" w:sz="0" w:space="0" w:color="auto"/>
        <w:left w:val="none" w:sz="0" w:space="0" w:color="auto"/>
        <w:bottom w:val="none" w:sz="0" w:space="0" w:color="auto"/>
        <w:right w:val="none" w:sz="0" w:space="0" w:color="auto"/>
      </w:divBdr>
    </w:div>
    <w:div w:id="569852760">
      <w:bodyDiv w:val="1"/>
      <w:marLeft w:val="0"/>
      <w:marRight w:val="0"/>
      <w:marTop w:val="0"/>
      <w:marBottom w:val="0"/>
      <w:divBdr>
        <w:top w:val="none" w:sz="0" w:space="0" w:color="auto"/>
        <w:left w:val="none" w:sz="0" w:space="0" w:color="auto"/>
        <w:bottom w:val="none" w:sz="0" w:space="0" w:color="auto"/>
        <w:right w:val="none" w:sz="0" w:space="0" w:color="auto"/>
      </w:divBdr>
    </w:div>
    <w:div w:id="576331670">
      <w:bodyDiv w:val="1"/>
      <w:marLeft w:val="0"/>
      <w:marRight w:val="0"/>
      <w:marTop w:val="0"/>
      <w:marBottom w:val="0"/>
      <w:divBdr>
        <w:top w:val="none" w:sz="0" w:space="0" w:color="auto"/>
        <w:left w:val="none" w:sz="0" w:space="0" w:color="auto"/>
        <w:bottom w:val="none" w:sz="0" w:space="0" w:color="auto"/>
        <w:right w:val="none" w:sz="0" w:space="0" w:color="auto"/>
      </w:divBdr>
    </w:div>
    <w:div w:id="583683941">
      <w:bodyDiv w:val="1"/>
      <w:marLeft w:val="0"/>
      <w:marRight w:val="0"/>
      <w:marTop w:val="0"/>
      <w:marBottom w:val="0"/>
      <w:divBdr>
        <w:top w:val="none" w:sz="0" w:space="0" w:color="auto"/>
        <w:left w:val="none" w:sz="0" w:space="0" w:color="auto"/>
        <w:bottom w:val="none" w:sz="0" w:space="0" w:color="auto"/>
        <w:right w:val="none" w:sz="0" w:space="0" w:color="auto"/>
      </w:divBdr>
    </w:div>
    <w:div w:id="642009605">
      <w:bodyDiv w:val="1"/>
      <w:marLeft w:val="0"/>
      <w:marRight w:val="0"/>
      <w:marTop w:val="0"/>
      <w:marBottom w:val="0"/>
      <w:divBdr>
        <w:top w:val="none" w:sz="0" w:space="0" w:color="auto"/>
        <w:left w:val="none" w:sz="0" w:space="0" w:color="auto"/>
        <w:bottom w:val="none" w:sz="0" w:space="0" w:color="auto"/>
        <w:right w:val="none" w:sz="0" w:space="0" w:color="auto"/>
      </w:divBdr>
    </w:div>
    <w:div w:id="702439409">
      <w:bodyDiv w:val="1"/>
      <w:marLeft w:val="0"/>
      <w:marRight w:val="0"/>
      <w:marTop w:val="0"/>
      <w:marBottom w:val="0"/>
      <w:divBdr>
        <w:top w:val="none" w:sz="0" w:space="0" w:color="auto"/>
        <w:left w:val="none" w:sz="0" w:space="0" w:color="auto"/>
        <w:bottom w:val="none" w:sz="0" w:space="0" w:color="auto"/>
        <w:right w:val="none" w:sz="0" w:space="0" w:color="auto"/>
      </w:divBdr>
    </w:div>
    <w:div w:id="798688663">
      <w:bodyDiv w:val="1"/>
      <w:marLeft w:val="0"/>
      <w:marRight w:val="0"/>
      <w:marTop w:val="0"/>
      <w:marBottom w:val="0"/>
      <w:divBdr>
        <w:top w:val="none" w:sz="0" w:space="0" w:color="auto"/>
        <w:left w:val="none" w:sz="0" w:space="0" w:color="auto"/>
        <w:bottom w:val="none" w:sz="0" w:space="0" w:color="auto"/>
        <w:right w:val="none" w:sz="0" w:space="0" w:color="auto"/>
      </w:divBdr>
    </w:div>
    <w:div w:id="879323187">
      <w:bodyDiv w:val="1"/>
      <w:marLeft w:val="0"/>
      <w:marRight w:val="0"/>
      <w:marTop w:val="0"/>
      <w:marBottom w:val="0"/>
      <w:divBdr>
        <w:top w:val="none" w:sz="0" w:space="0" w:color="auto"/>
        <w:left w:val="none" w:sz="0" w:space="0" w:color="auto"/>
        <w:bottom w:val="none" w:sz="0" w:space="0" w:color="auto"/>
        <w:right w:val="none" w:sz="0" w:space="0" w:color="auto"/>
      </w:divBdr>
    </w:div>
    <w:div w:id="988705769">
      <w:bodyDiv w:val="1"/>
      <w:marLeft w:val="0"/>
      <w:marRight w:val="0"/>
      <w:marTop w:val="0"/>
      <w:marBottom w:val="0"/>
      <w:divBdr>
        <w:top w:val="none" w:sz="0" w:space="0" w:color="auto"/>
        <w:left w:val="none" w:sz="0" w:space="0" w:color="auto"/>
        <w:bottom w:val="none" w:sz="0" w:space="0" w:color="auto"/>
        <w:right w:val="none" w:sz="0" w:space="0" w:color="auto"/>
      </w:divBdr>
    </w:div>
    <w:div w:id="990402007">
      <w:bodyDiv w:val="1"/>
      <w:marLeft w:val="0"/>
      <w:marRight w:val="0"/>
      <w:marTop w:val="0"/>
      <w:marBottom w:val="0"/>
      <w:divBdr>
        <w:top w:val="none" w:sz="0" w:space="0" w:color="auto"/>
        <w:left w:val="none" w:sz="0" w:space="0" w:color="auto"/>
        <w:bottom w:val="none" w:sz="0" w:space="0" w:color="auto"/>
        <w:right w:val="none" w:sz="0" w:space="0" w:color="auto"/>
      </w:divBdr>
    </w:div>
    <w:div w:id="1323243640">
      <w:bodyDiv w:val="1"/>
      <w:marLeft w:val="0"/>
      <w:marRight w:val="0"/>
      <w:marTop w:val="0"/>
      <w:marBottom w:val="0"/>
      <w:divBdr>
        <w:top w:val="none" w:sz="0" w:space="0" w:color="auto"/>
        <w:left w:val="none" w:sz="0" w:space="0" w:color="auto"/>
        <w:bottom w:val="none" w:sz="0" w:space="0" w:color="auto"/>
        <w:right w:val="none" w:sz="0" w:space="0" w:color="auto"/>
      </w:divBdr>
    </w:div>
    <w:div w:id="1427074101">
      <w:bodyDiv w:val="1"/>
      <w:marLeft w:val="0"/>
      <w:marRight w:val="0"/>
      <w:marTop w:val="0"/>
      <w:marBottom w:val="0"/>
      <w:divBdr>
        <w:top w:val="none" w:sz="0" w:space="0" w:color="auto"/>
        <w:left w:val="none" w:sz="0" w:space="0" w:color="auto"/>
        <w:bottom w:val="none" w:sz="0" w:space="0" w:color="auto"/>
        <w:right w:val="none" w:sz="0" w:space="0" w:color="auto"/>
      </w:divBdr>
    </w:div>
    <w:div w:id="1459371230">
      <w:bodyDiv w:val="1"/>
      <w:marLeft w:val="0"/>
      <w:marRight w:val="0"/>
      <w:marTop w:val="0"/>
      <w:marBottom w:val="0"/>
      <w:divBdr>
        <w:top w:val="none" w:sz="0" w:space="0" w:color="auto"/>
        <w:left w:val="none" w:sz="0" w:space="0" w:color="auto"/>
        <w:bottom w:val="none" w:sz="0" w:space="0" w:color="auto"/>
        <w:right w:val="none" w:sz="0" w:space="0" w:color="auto"/>
      </w:divBdr>
    </w:div>
    <w:div w:id="1598054891">
      <w:bodyDiv w:val="1"/>
      <w:marLeft w:val="0"/>
      <w:marRight w:val="0"/>
      <w:marTop w:val="0"/>
      <w:marBottom w:val="0"/>
      <w:divBdr>
        <w:top w:val="none" w:sz="0" w:space="0" w:color="auto"/>
        <w:left w:val="none" w:sz="0" w:space="0" w:color="auto"/>
        <w:bottom w:val="none" w:sz="0" w:space="0" w:color="auto"/>
        <w:right w:val="none" w:sz="0" w:space="0" w:color="auto"/>
      </w:divBdr>
    </w:div>
    <w:div w:id="1731607998">
      <w:bodyDiv w:val="1"/>
      <w:marLeft w:val="0"/>
      <w:marRight w:val="0"/>
      <w:marTop w:val="0"/>
      <w:marBottom w:val="0"/>
      <w:divBdr>
        <w:top w:val="none" w:sz="0" w:space="0" w:color="auto"/>
        <w:left w:val="none" w:sz="0" w:space="0" w:color="auto"/>
        <w:bottom w:val="none" w:sz="0" w:space="0" w:color="auto"/>
        <w:right w:val="none" w:sz="0" w:space="0" w:color="auto"/>
      </w:divBdr>
    </w:div>
    <w:div w:id="1949854718">
      <w:bodyDiv w:val="1"/>
      <w:marLeft w:val="0"/>
      <w:marRight w:val="0"/>
      <w:marTop w:val="0"/>
      <w:marBottom w:val="0"/>
      <w:divBdr>
        <w:top w:val="none" w:sz="0" w:space="0" w:color="auto"/>
        <w:left w:val="none" w:sz="0" w:space="0" w:color="auto"/>
        <w:bottom w:val="none" w:sz="0" w:space="0" w:color="auto"/>
        <w:right w:val="none" w:sz="0" w:space="0" w:color="auto"/>
      </w:divBdr>
    </w:div>
    <w:div w:id="1982423424">
      <w:bodyDiv w:val="1"/>
      <w:marLeft w:val="0"/>
      <w:marRight w:val="0"/>
      <w:marTop w:val="0"/>
      <w:marBottom w:val="0"/>
      <w:divBdr>
        <w:top w:val="none" w:sz="0" w:space="0" w:color="auto"/>
        <w:left w:val="none" w:sz="0" w:space="0" w:color="auto"/>
        <w:bottom w:val="none" w:sz="0" w:space="0" w:color="auto"/>
        <w:right w:val="none" w:sz="0" w:space="0" w:color="auto"/>
      </w:divBdr>
    </w:div>
    <w:div w:id="2060133028">
      <w:bodyDiv w:val="1"/>
      <w:marLeft w:val="0"/>
      <w:marRight w:val="0"/>
      <w:marTop w:val="0"/>
      <w:marBottom w:val="0"/>
      <w:divBdr>
        <w:top w:val="none" w:sz="0" w:space="0" w:color="auto"/>
        <w:left w:val="none" w:sz="0" w:space="0" w:color="auto"/>
        <w:bottom w:val="none" w:sz="0" w:space="0" w:color="auto"/>
        <w:right w:val="none" w:sz="0" w:space="0" w:color="auto"/>
      </w:divBdr>
    </w:div>
    <w:div w:id="2076078478">
      <w:bodyDiv w:val="1"/>
      <w:marLeft w:val="0"/>
      <w:marRight w:val="0"/>
      <w:marTop w:val="0"/>
      <w:marBottom w:val="0"/>
      <w:divBdr>
        <w:top w:val="none" w:sz="0" w:space="0" w:color="auto"/>
        <w:left w:val="none" w:sz="0" w:space="0" w:color="auto"/>
        <w:bottom w:val="none" w:sz="0" w:space="0" w:color="auto"/>
        <w:right w:val="none" w:sz="0" w:space="0" w:color="auto"/>
      </w:divBdr>
    </w:div>
    <w:div w:id="2109815554">
      <w:bodyDiv w:val="1"/>
      <w:marLeft w:val="0"/>
      <w:marRight w:val="0"/>
      <w:marTop w:val="0"/>
      <w:marBottom w:val="0"/>
      <w:divBdr>
        <w:top w:val="none" w:sz="0" w:space="0" w:color="auto"/>
        <w:left w:val="none" w:sz="0" w:space="0" w:color="auto"/>
        <w:bottom w:val="none" w:sz="0" w:space="0" w:color="auto"/>
        <w:right w:val="none" w:sz="0" w:space="0" w:color="auto"/>
      </w:divBdr>
    </w:div>
    <w:div w:id="2142570053">
      <w:bodyDiv w:val="1"/>
      <w:marLeft w:val="0"/>
      <w:marRight w:val="0"/>
      <w:marTop w:val="0"/>
      <w:marBottom w:val="0"/>
      <w:divBdr>
        <w:top w:val="none" w:sz="0" w:space="0" w:color="auto"/>
        <w:left w:val="none" w:sz="0" w:space="0" w:color="auto"/>
        <w:bottom w:val="none" w:sz="0" w:space="0" w:color="auto"/>
        <w:right w:val="none" w:sz="0" w:space="0" w:color="auto"/>
      </w:divBdr>
      <w:divsChild>
        <w:div w:id="1552040457">
          <w:marLeft w:val="0"/>
          <w:marRight w:val="0"/>
          <w:marTop w:val="0"/>
          <w:marBottom w:val="0"/>
          <w:divBdr>
            <w:top w:val="none" w:sz="0" w:space="0" w:color="auto"/>
            <w:left w:val="none" w:sz="0" w:space="0" w:color="auto"/>
            <w:bottom w:val="none" w:sz="0" w:space="0" w:color="auto"/>
            <w:right w:val="none" w:sz="0" w:space="0" w:color="auto"/>
          </w:divBdr>
          <w:divsChild>
            <w:div w:id="769786189">
              <w:marLeft w:val="0"/>
              <w:marRight w:val="0"/>
              <w:marTop w:val="0"/>
              <w:marBottom w:val="0"/>
              <w:divBdr>
                <w:top w:val="none" w:sz="0" w:space="0" w:color="auto"/>
                <w:left w:val="none" w:sz="0" w:space="0" w:color="auto"/>
                <w:bottom w:val="none" w:sz="0" w:space="0" w:color="auto"/>
                <w:right w:val="none" w:sz="0" w:space="0" w:color="auto"/>
              </w:divBdr>
              <w:divsChild>
                <w:div w:id="754593763">
                  <w:marLeft w:val="0"/>
                  <w:marRight w:val="0"/>
                  <w:marTop w:val="0"/>
                  <w:marBottom w:val="0"/>
                  <w:divBdr>
                    <w:top w:val="none" w:sz="0" w:space="0" w:color="auto"/>
                    <w:left w:val="none" w:sz="0" w:space="0" w:color="auto"/>
                    <w:bottom w:val="none" w:sz="0" w:space="0" w:color="auto"/>
                    <w:right w:val="none" w:sz="0" w:space="0" w:color="auto"/>
                  </w:divBdr>
                  <w:divsChild>
                    <w:div w:id="1614359126">
                      <w:marLeft w:val="0"/>
                      <w:marRight w:val="0"/>
                      <w:marTop w:val="0"/>
                      <w:marBottom w:val="0"/>
                      <w:divBdr>
                        <w:top w:val="single" w:sz="6" w:space="0" w:color="D4DBE2"/>
                        <w:left w:val="none" w:sz="0" w:space="0" w:color="auto"/>
                        <w:bottom w:val="none" w:sz="0" w:space="0" w:color="auto"/>
                        <w:right w:val="none" w:sz="0" w:space="0" w:color="auto"/>
                      </w:divBdr>
                      <w:divsChild>
                        <w:div w:id="2146773174">
                          <w:marLeft w:val="0"/>
                          <w:marRight w:val="0"/>
                          <w:marTop w:val="0"/>
                          <w:marBottom w:val="300"/>
                          <w:divBdr>
                            <w:top w:val="none" w:sz="0" w:space="0" w:color="auto"/>
                            <w:left w:val="none" w:sz="0" w:space="0" w:color="auto"/>
                            <w:bottom w:val="none" w:sz="0" w:space="0" w:color="auto"/>
                            <w:right w:val="none" w:sz="0" w:space="0" w:color="auto"/>
                          </w:divBdr>
                          <w:divsChild>
                            <w:div w:id="300425985">
                              <w:marLeft w:val="0"/>
                              <w:marRight w:val="0"/>
                              <w:marTop w:val="0"/>
                              <w:marBottom w:val="0"/>
                              <w:divBdr>
                                <w:top w:val="none" w:sz="0" w:space="0" w:color="auto"/>
                                <w:left w:val="none" w:sz="0" w:space="0" w:color="auto"/>
                                <w:bottom w:val="none" w:sz="0" w:space="0" w:color="auto"/>
                                <w:right w:val="none" w:sz="0" w:space="0" w:color="auto"/>
                              </w:divBdr>
                              <w:divsChild>
                                <w:div w:id="484468026">
                                  <w:marLeft w:val="0"/>
                                  <w:marRight w:val="0"/>
                                  <w:marTop w:val="0"/>
                                  <w:marBottom w:val="0"/>
                                  <w:divBdr>
                                    <w:top w:val="none" w:sz="0" w:space="0" w:color="auto"/>
                                    <w:left w:val="none" w:sz="0" w:space="0" w:color="auto"/>
                                    <w:bottom w:val="none" w:sz="0" w:space="0" w:color="auto"/>
                                    <w:right w:val="none" w:sz="0" w:space="0" w:color="auto"/>
                                  </w:divBdr>
                                  <w:divsChild>
                                    <w:div w:id="699479591">
                                      <w:marLeft w:val="0"/>
                                      <w:marRight w:val="0"/>
                                      <w:marTop w:val="0"/>
                                      <w:marBottom w:val="0"/>
                                      <w:divBdr>
                                        <w:top w:val="none" w:sz="0" w:space="0" w:color="auto"/>
                                        <w:left w:val="none" w:sz="0" w:space="0" w:color="auto"/>
                                        <w:bottom w:val="none" w:sz="0" w:space="0" w:color="auto"/>
                                        <w:right w:val="none" w:sz="0" w:space="0" w:color="auto"/>
                                      </w:divBdr>
                                      <w:divsChild>
                                        <w:div w:id="255092918">
                                          <w:marLeft w:val="0"/>
                                          <w:marRight w:val="0"/>
                                          <w:marTop w:val="0"/>
                                          <w:marBottom w:val="0"/>
                                          <w:divBdr>
                                            <w:top w:val="none" w:sz="0" w:space="0" w:color="auto"/>
                                            <w:left w:val="none" w:sz="0" w:space="0" w:color="auto"/>
                                            <w:bottom w:val="none" w:sz="0" w:space="0" w:color="auto"/>
                                            <w:right w:val="none" w:sz="0" w:space="0" w:color="auto"/>
                                          </w:divBdr>
                                          <w:divsChild>
                                            <w:div w:id="974220549">
                                              <w:marLeft w:val="0"/>
                                              <w:marRight w:val="0"/>
                                              <w:marTop w:val="0"/>
                                              <w:marBottom w:val="0"/>
                                              <w:divBdr>
                                                <w:top w:val="none" w:sz="0" w:space="0" w:color="auto"/>
                                                <w:left w:val="none" w:sz="0" w:space="0" w:color="auto"/>
                                                <w:bottom w:val="none" w:sz="0" w:space="0" w:color="auto"/>
                                                <w:right w:val="none" w:sz="0" w:space="0" w:color="auto"/>
                                              </w:divBdr>
                                              <w:divsChild>
                                                <w:div w:id="1462268437">
                                                  <w:marLeft w:val="0"/>
                                                  <w:marRight w:val="0"/>
                                                  <w:marTop w:val="0"/>
                                                  <w:marBottom w:val="0"/>
                                                  <w:divBdr>
                                                    <w:top w:val="none" w:sz="0" w:space="0" w:color="auto"/>
                                                    <w:left w:val="none" w:sz="0" w:space="0" w:color="auto"/>
                                                    <w:bottom w:val="none" w:sz="0" w:space="0" w:color="auto"/>
                                                    <w:right w:val="none" w:sz="0" w:space="0" w:color="auto"/>
                                                  </w:divBdr>
                                                  <w:divsChild>
                                                    <w:div w:id="16140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eurofound.europa.eu/publications/report/2016/eu-member-states/statutory-minimum-wages-in-the-eu-201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37EF-E328-4024-BCF3-6D397ADA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6622</Words>
  <Characters>37747</Characters>
  <Application>Microsoft Office Word</Application>
  <DocSecurity>0</DocSecurity>
  <Lines>314</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44281</CharactersWithSpaces>
  <SharedDoc>false</SharedDoc>
  <HLinks>
    <vt:vector size="6" baseType="variant">
      <vt:variant>
        <vt:i4>589908</vt:i4>
      </vt:variant>
      <vt:variant>
        <vt:i4>0</vt:i4>
      </vt:variant>
      <vt:variant>
        <vt:i4>0</vt:i4>
      </vt:variant>
      <vt:variant>
        <vt:i4>5</vt:i4>
      </vt:variant>
      <vt:variant>
        <vt:lpwstr>https://www.eurofound.europa.eu/publications/report/2016/eu-member-states/statutory-minimum-wages-in-the-eu-2016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kropacova</dc:creator>
  <cp:lastModifiedBy>Duricova Elena</cp:lastModifiedBy>
  <cp:revision>2</cp:revision>
  <cp:lastPrinted>2018-09-13T09:35:00Z</cp:lastPrinted>
  <dcterms:created xsi:type="dcterms:W3CDTF">2018-09-28T05:48:00Z</dcterms:created>
  <dcterms:modified xsi:type="dcterms:W3CDTF">2018-09-28T05:48:00Z</dcterms:modified>
</cp:coreProperties>
</file>