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6B" w:rsidRPr="00991B8A" w:rsidRDefault="008B0A6B" w:rsidP="008B0A6B">
      <w:pPr>
        <w:spacing w:line="235" w:lineRule="auto"/>
        <w:jc w:val="center"/>
        <w:rPr>
          <w:b/>
          <w:bCs/>
        </w:rPr>
      </w:pPr>
      <w:bookmarkStart w:id="0" w:name="_GoBack"/>
      <w:bookmarkEnd w:id="0"/>
      <w:r w:rsidRPr="00991B8A">
        <w:rPr>
          <w:b/>
          <w:bCs/>
        </w:rPr>
        <w:t>Analýza vplyvov na rozpočet verejnej správy,</w:t>
      </w:r>
    </w:p>
    <w:p w:rsidR="00033CC1" w:rsidRPr="00991B8A" w:rsidRDefault="008B0A6B" w:rsidP="00614432">
      <w:pPr>
        <w:spacing w:line="235" w:lineRule="auto"/>
        <w:jc w:val="center"/>
        <w:rPr>
          <w:b/>
          <w:bCs/>
        </w:rPr>
      </w:pPr>
      <w:r w:rsidRPr="00991B8A">
        <w:rPr>
          <w:b/>
          <w:bCs/>
        </w:rPr>
        <w:t>na zamestnanosť vo verejnej správe a financovanie návrhu</w:t>
      </w:r>
    </w:p>
    <w:p w:rsidR="002A5D7C" w:rsidRPr="00991B8A" w:rsidRDefault="002A5D7C" w:rsidP="00614432">
      <w:pPr>
        <w:spacing w:line="235" w:lineRule="auto"/>
        <w:jc w:val="center"/>
      </w:pPr>
    </w:p>
    <w:p w:rsidR="002A5D7C" w:rsidRPr="00991B8A" w:rsidRDefault="002A5D7C" w:rsidP="008E7410">
      <w:pPr>
        <w:spacing w:line="235" w:lineRule="auto"/>
        <w:rPr>
          <w:b/>
        </w:rPr>
      </w:pPr>
      <w:r w:rsidRPr="00991B8A">
        <w:rPr>
          <w:b/>
        </w:rPr>
        <w:t>2.1. Zhrnutie vplyvov na rozpočet verejnej správy v návrhu</w:t>
      </w:r>
    </w:p>
    <w:p w:rsidR="002A5D7C" w:rsidRPr="00991B8A" w:rsidRDefault="002A5D7C" w:rsidP="008E7410">
      <w:pPr>
        <w:spacing w:line="235" w:lineRule="auto"/>
        <w:jc w:val="right"/>
      </w:pPr>
      <w:r w:rsidRPr="00991B8A">
        <w:t xml:space="preserve">Tabuľka č. 1 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860"/>
        <w:gridCol w:w="1624"/>
        <w:gridCol w:w="1675"/>
        <w:gridCol w:w="1724"/>
        <w:tblGridChange w:id="1">
          <w:tblGrid>
            <w:gridCol w:w="4494"/>
            <w:gridCol w:w="860"/>
            <w:gridCol w:w="1624"/>
            <w:gridCol w:w="1675"/>
            <w:gridCol w:w="1724"/>
          </w:tblGrid>
        </w:tblGridChange>
      </w:tblGrid>
      <w:tr w:rsidR="002A5D7C" w:rsidRPr="00991B8A" w:rsidTr="00C1241A">
        <w:trPr>
          <w:jc w:val="center"/>
        </w:trPr>
        <w:tc>
          <w:tcPr>
            <w:tcW w:w="4494" w:type="dxa"/>
            <w:vMerge w:val="restart"/>
            <w:shd w:val="clear" w:color="auto" w:fill="000000"/>
            <w:vAlign w:val="center"/>
          </w:tcPr>
          <w:p w:rsidR="002A5D7C" w:rsidRPr="00991B8A" w:rsidRDefault="002A5D7C" w:rsidP="008F659E">
            <w:pPr>
              <w:jc w:val="center"/>
              <w:rPr>
                <w:b/>
                <w:bCs/>
              </w:rPr>
            </w:pPr>
            <w:bookmarkStart w:id="2" w:name="OLE_LINK1"/>
            <w:r w:rsidRPr="00991B8A">
              <w:rPr>
                <w:b/>
                <w:bCs/>
              </w:rPr>
              <w:t>Vplyvy na rozpočet verejnej správy</w:t>
            </w:r>
          </w:p>
        </w:tc>
        <w:tc>
          <w:tcPr>
            <w:tcW w:w="5883" w:type="dxa"/>
            <w:gridSpan w:val="4"/>
            <w:shd w:val="clear" w:color="auto" w:fill="000000"/>
            <w:vAlign w:val="center"/>
          </w:tcPr>
          <w:p w:rsidR="002A5D7C" w:rsidRPr="00991B8A" w:rsidRDefault="002A5D7C" w:rsidP="008F659E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Vplyv na rozpočet verejnej správy (v eurách)</w:t>
            </w:r>
          </w:p>
        </w:tc>
      </w:tr>
      <w:tr w:rsidR="006C3902" w:rsidRPr="00991B8A" w:rsidTr="00C1241A">
        <w:trPr>
          <w:jc w:val="center"/>
        </w:trPr>
        <w:tc>
          <w:tcPr>
            <w:tcW w:w="4494" w:type="dxa"/>
            <w:vMerge/>
            <w:tcBorders>
              <w:bottom w:val="single" w:sz="4" w:space="0" w:color="auto"/>
            </w:tcBorders>
            <w:vAlign w:val="center"/>
          </w:tcPr>
          <w:p w:rsidR="006C3902" w:rsidRPr="00991B8A" w:rsidRDefault="006C3902" w:rsidP="008F659E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C3902" w:rsidRPr="00991B8A" w:rsidRDefault="00E80E64" w:rsidP="00537C05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2018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C3902" w:rsidRPr="00991B8A" w:rsidRDefault="00E80E64" w:rsidP="008F659E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2019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C3902" w:rsidRPr="00991B8A" w:rsidRDefault="00E80E64" w:rsidP="008F659E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2020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C3902" w:rsidRPr="00991B8A" w:rsidRDefault="00E80E64" w:rsidP="008F659E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2021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shd w:val="clear" w:color="auto" w:fill="F2F2F2"/>
            <w:noWrap/>
          </w:tcPr>
          <w:p w:rsidR="0048198C" w:rsidRPr="00991B8A" w:rsidRDefault="0048198C" w:rsidP="008F659E">
            <w:r w:rsidRPr="00991B8A">
              <w:t>Príjmy verejnej správy celkom</w:t>
            </w:r>
          </w:p>
        </w:tc>
        <w:tc>
          <w:tcPr>
            <w:tcW w:w="860" w:type="dxa"/>
            <w:shd w:val="clear" w:color="auto" w:fill="F2F2F2"/>
            <w:vAlign w:val="center"/>
          </w:tcPr>
          <w:p w:rsidR="0048198C" w:rsidRPr="00991B8A" w:rsidRDefault="0048198C" w:rsidP="008F659E">
            <w:pPr>
              <w:jc w:val="center"/>
              <w:rPr>
                <w:b/>
                <w:bCs/>
              </w:rPr>
            </w:pPr>
            <w:r w:rsidRPr="00991B8A">
              <w:t>0,00</w:t>
            </w:r>
          </w:p>
        </w:tc>
        <w:tc>
          <w:tcPr>
            <w:tcW w:w="1624" w:type="dxa"/>
            <w:shd w:val="clear" w:color="auto" w:fill="F2F2F2"/>
          </w:tcPr>
          <w:p w:rsidR="0048198C" w:rsidRPr="00991B8A" w:rsidRDefault="0048198C">
            <w:pPr>
              <w:jc w:val="center"/>
            </w:pPr>
            <w:r w:rsidRPr="00991B8A">
              <w:t>37 989 215,82</w:t>
            </w:r>
          </w:p>
        </w:tc>
        <w:tc>
          <w:tcPr>
            <w:tcW w:w="1675" w:type="dxa"/>
            <w:shd w:val="clear" w:color="auto" w:fill="F2F2F2"/>
          </w:tcPr>
          <w:p w:rsidR="0048198C" w:rsidRPr="00991B8A" w:rsidRDefault="0048198C">
            <w:pPr>
              <w:jc w:val="center"/>
            </w:pPr>
            <w:r w:rsidRPr="00991B8A">
              <w:t>37 771 585,66</w:t>
            </w:r>
          </w:p>
        </w:tc>
        <w:tc>
          <w:tcPr>
            <w:tcW w:w="1724" w:type="dxa"/>
            <w:shd w:val="clear" w:color="auto" w:fill="F2F2F2"/>
          </w:tcPr>
          <w:p w:rsidR="0048198C" w:rsidRPr="00991B8A" w:rsidRDefault="0048198C">
            <w:pPr>
              <w:jc w:val="center"/>
            </w:pPr>
            <w:r w:rsidRPr="00991B8A">
              <w:t>37 545 474,53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r w:rsidRPr="00991B8A">
              <w:t>v tom: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</w:pP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right"/>
            </w:pP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right"/>
            </w:pP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right"/>
            </w:pP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r w:rsidRPr="00991B8A">
              <w:t>Sociálna poisťovňa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bCs/>
              </w:rPr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17 424 451,13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</w:pPr>
            <w:r w:rsidRPr="00991B8A">
              <w:t>17 330 580,91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17 236 710,68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r w:rsidRPr="00991B8A">
              <w:t>zdravotné poisťovne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bCs/>
              </w:rPr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9 476 549,26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</w:pPr>
            <w:r w:rsidRPr="00991B8A">
              <w:t>9 416 383,15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9 356 217,05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r w:rsidRPr="00991B8A">
              <w:t>štátny rozpočet v položke 111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bCs/>
              </w:rPr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0,00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</w:pPr>
            <w:r w:rsidRPr="00991B8A">
              <w:t>0,00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0,00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r w:rsidRPr="00991B8A">
              <w:t>štátny rozpočet v položke 131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bCs/>
              </w:rPr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7 548 000,70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</w:pPr>
            <w:r w:rsidRPr="00991B8A">
              <w:t>7 510 207,92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7 488 445,16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C22375">
            <w:r w:rsidRPr="00991B8A">
              <w:t xml:space="preserve">rozpočet obcí v položke 111 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bCs/>
              </w:rPr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2 463 399,49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</w:pPr>
            <w:r w:rsidRPr="00991B8A">
              <w:t>2 445 338,76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2 410 120,33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C22375">
            <w:r w:rsidRPr="00991B8A">
              <w:t>rozpočet VÚC v položke 111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bCs/>
              </w:rPr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1 055 742,64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</w:pPr>
            <w:r w:rsidRPr="00991B8A">
              <w:t>1 048 002,33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1 032 908,71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E87CAF">
            <w:r w:rsidRPr="00991B8A">
              <w:t>rozpočet obcí (transfer z MV SR)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bCs/>
              </w:rPr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21 072,60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</w:pPr>
            <w:r w:rsidRPr="00991B8A">
              <w:t>21 072,60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21 072,60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pPr>
              <w:rPr>
                <w:bCs/>
                <w:i/>
                <w:iCs/>
              </w:rPr>
            </w:pPr>
            <w:r w:rsidRPr="00991B8A">
              <w:t xml:space="preserve">z toho: 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right"/>
              <w:rPr>
                <w:i/>
                <w:iCs/>
              </w:rPr>
            </w:pP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right"/>
              <w:rPr>
                <w:i/>
                <w:iCs/>
              </w:rPr>
            </w:pP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right"/>
              <w:rPr>
                <w:i/>
                <w:iCs/>
              </w:rPr>
            </w:pP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pPr>
              <w:rPr>
                <w:bCs/>
                <w:i/>
                <w:iCs/>
              </w:rPr>
            </w:pPr>
            <w:r w:rsidRPr="00991B8A">
              <w:t>- vplyv na ŠR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bCs/>
                <w:i/>
                <w:iCs/>
              </w:rPr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7 548 000,70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</w:pPr>
            <w:r w:rsidRPr="00991B8A">
              <w:t>7 510 207,92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7 488 445,16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pPr>
              <w:rPr>
                <w:bCs/>
                <w:i/>
                <w:iCs/>
              </w:rPr>
            </w:pPr>
            <w:r w:rsidRPr="00991B8A">
              <w:t>- vplyv na územnú samosprávu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bCs/>
                <w:i/>
                <w:iCs/>
              </w:rPr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3 540 214,73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3 514 413,68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3 464 101,64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pPr>
              <w:rPr>
                <w:bCs/>
                <w:i/>
                <w:iCs/>
              </w:rPr>
            </w:pPr>
            <w:r w:rsidRPr="00991B8A">
              <w:t xml:space="preserve"> - v tom vplyv na príjmy VÚC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bCs/>
                <w:i/>
              </w:rPr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1 055 742,64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1 048 002,33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1 032 908,71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tcBorders>
              <w:bottom w:val="single" w:sz="4" w:space="0" w:color="auto"/>
            </w:tcBorders>
            <w:noWrap/>
          </w:tcPr>
          <w:p w:rsidR="0048198C" w:rsidRPr="00991B8A" w:rsidRDefault="0048198C" w:rsidP="008F659E">
            <w:pPr>
              <w:rPr>
                <w:bCs/>
                <w:i/>
                <w:iCs/>
              </w:rPr>
            </w:pPr>
            <w:r w:rsidRPr="00991B8A">
              <w:t xml:space="preserve"> - v tom vplyv na príjmy obcí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bCs/>
                <w:i/>
              </w:rPr>
            </w:pPr>
            <w:r w:rsidRPr="00991B8A">
              <w:t>0,00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2 484 472,09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2 466 411,36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2 431 192,93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shd w:val="clear" w:color="auto" w:fill="F2F2F2"/>
            <w:noWrap/>
          </w:tcPr>
          <w:p w:rsidR="0048198C" w:rsidRPr="00991B8A" w:rsidRDefault="0048198C" w:rsidP="008F659E">
            <w:pPr>
              <w:rPr>
                <w:b/>
                <w:bCs/>
              </w:rPr>
            </w:pPr>
            <w:r w:rsidRPr="00991B8A">
              <w:t>Výdavky verejnej správy celkom</w:t>
            </w:r>
          </w:p>
        </w:tc>
        <w:tc>
          <w:tcPr>
            <w:tcW w:w="860" w:type="dxa"/>
            <w:shd w:val="clear" w:color="auto" w:fill="F2F2F2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b/>
                <w:bCs/>
              </w:rPr>
            </w:pPr>
            <w:r w:rsidRPr="00991B8A">
              <w:t>0,00</w:t>
            </w:r>
          </w:p>
        </w:tc>
        <w:tc>
          <w:tcPr>
            <w:tcW w:w="1624" w:type="dxa"/>
            <w:shd w:val="clear" w:color="auto" w:fill="F2F2F2"/>
            <w:noWrap/>
          </w:tcPr>
          <w:p w:rsidR="0048198C" w:rsidRPr="00991B8A" w:rsidRDefault="0048198C">
            <w:pPr>
              <w:jc w:val="center"/>
            </w:pPr>
            <w:r w:rsidRPr="00991B8A">
              <w:t>24 248 967,99</w:t>
            </w:r>
          </w:p>
        </w:tc>
        <w:tc>
          <w:tcPr>
            <w:tcW w:w="1675" w:type="dxa"/>
            <w:shd w:val="clear" w:color="auto" w:fill="F2F2F2"/>
            <w:noWrap/>
          </w:tcPr>
          <w:p w:rsidR="0048198C" w:rsidRPr="00991B8A" w:rsidRDefault="0048198C" w:rsidP="00C868B0">
            <w:pPr>
              <w:jc w:val="center"/>
            </w:pPr>
            <w:r w:rsidRPr="00991B8A">
              <w:t>23 819 996,18</w:t>
            </w:r>
          </w:p>
        </w:tc>
        <w:tc>
          <w:tcPr>
            <w:tcW w:w="1724" w:type="dxa"/>
            <w:shd w:val="clear" w:color="auto" w:fill="F2F2F2"/>
            <w:noWrap/>
          </w:tcPr>
          <w:p w:rsidR="0048198C" w:rsidRPr="00991B8A" w:rsidRDefault="0048198C">
            <w:pPr>
              <w:jc w:val="center"/>
            </w:pPr>
            <w:r w:rsidRPr="00991B8A">
              <w:t>23 391 070,73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r w:rsidRPr="00991B8A">
              <w:t>v tom: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</w:pP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right"/>
            </w:pP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right"/>
            </w:pP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right"/>
            </w:pP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r w:rsidRPr="00991B8A">
              <w:t>Doplatky do min. mzdy vo verejnej správe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10 931 030,52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</w:pPr>
            <w:r w:rsidRPr="00991B8A">
              <w:t>10 657 737,12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10 384 480,80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r w:rsidRPr="00991B8A">
              <w:t>Odvod zdravotného poistenia v prospech ZP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1 093 023,49</w:t>
            </w:r>
          </w:p>
        </w:tc>
        <w:tc>
          <w:tcPr>
            <w:tcW w:w="1675" w:type="dxa"/>
            <w:noWrap/>
          </w:tcPr>
          <w:p w:rsidR="0048198C" w:rsidRPr="00991B8A" w:rsidRDefault="0048198C" w:rsidP="00C868B0">
            <w:pPr>
              <w:jc w:val="center"/>
            </w:pPr>
            <w:r w:rsidRPr="00991B8A">
              <w:t>1 065 697,90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1 038 372,32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r w:rsidRPr="00991B8A">
              <w:t>Odvod sociálneho poistenia v prospech SP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2 727 292,12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</w:pPr>
            <w:r w:rsidRPr="00991B8A">
              <w:t>2 659 105,41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2 590 927,96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r w:rsidRPr="00991B8A">
              <w:t>Ministerstvo vnútra SR, transfer obciam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21 072,60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</w:pPr>
            <w:r w:rsidRPr="00991B8A">
              <w:t>21 072,60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21 072,60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r w:rsidRPr="00991B8A">
              <w:t>Výdavky zdravotných poisťovní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9 476 549,26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</w:pPr>
            <w:r w:rsidRPr="00991B8A">
              <w:t>9 416 383,15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9 356 217,05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pPr>
              <w:rPr>
                <w:bCs/>
                <w:i/>
                <w:iCs/>
              </w:rPr>
            </w:pPr>
            <w:r w:rsidRPr="00991B8A">
              <w:t xml:space="preserve">z toho: 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right"/>
              <w:rPr>
                <w:i/>
                <w:iCs/>
              </w:rPr>
            </w:pP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right"/>
              <w:rPr>
                <w:i/>
                <w:iCs/>
              </w:rPr>
            </w:pP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right"/>
              <w:rPr>
                <w:i/>
                <w:iCs/>
              </w:rPr>
            </w:pP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pPr>
              <w:rPr>
                <w:bCs/>
                <w:i/>
                <w:iCs/>
              </w:rPr>
            </w:pPr>
            <w:r w:rsidRPr="00991B8A">
              <w:t>- vplyv na ŠR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i/>
                <w:iCs/>
              </w:rPr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7 408 499,89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7 223 778,97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7 039 152,37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pPr>
              <w:rPr>
                <w:bCs/>
                <w:i/>
                <w:iCs/>
              </w:rPr>
            </w:pPr>
            <w:r w:rsidRPr="00991B8A">
              <w:t>- vplyv na územnú samosprávu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i/>
                <w:iCs/>
              </w:rPr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7 363 918,84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7 179 834,06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6 995 701,31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pPr>
              <w:rPr>
                <w:bCs/>
                <w:i/>
                <w:iCs/>
              </w:rPr>
            </w:pPr>
            <w:r w:rsidRPr="00991B8A">
              <w:t xml:space="preserve">  - v tom vplyv na výdavky VÚC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i/>
              </w:rPr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1 415 024,16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1 379 651,09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1 344 268,80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pPr>
              <w:rPr>
                <w:bCs/>
                <w:i/>
                <w:iCs/>
              </w:rPr>
            </w:pPr>
            <w:r w:rsidRPr="00991B8A">
              <w:t xml:space="preserve">  - v tom vplyv na výdavky obcí 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i/>
              </w:rPr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5 948 894,68</w:t>
            </w:r>
          </w:p>
        </w:tc>
        <w:tc>
          <w:tcPr>
            <w:tcW w:w="1675" w:type="dxa"/>
            <w:noWrap/>
          </w:tcPr>
          <w:p w:rsidR="0048198C" w:rsidRPr="00991B8A" w:rsidRDefault="0048198C" w:rsidP="00736F05">
            <w:pPr>
              <w:jc w:val="center"/>
              <w:rPr>
                <w:i/>
                <w:iCs/>
              </w:rPr>
            </w:pPr>
            <w:r w:rsidRPr="00991B8A">
              <w:t>5 800 182,97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  <w:rPr>
                <w:i/>
                <w:iCs/>
              </w:rPr>
            </w:pPr>
            <w:r w:rsidRPr="00991B8A">
              <w:t>5 651 432,51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48198C" w:rsidRPr="00991B8A" w:rsidRDefault="0048198C" w:rsidP="008F659E">
            <w:pPr>
              <w:rPr>
                <w:b/>
                <w:bCs/>
              </w:rPr>
            </w:pPr>
            <w:r w:rsidRPr="00991B8A">
              <w:t xml:space="preserve">Celková zamestnanosť </w:t>
            </w:r>
          </w:p>
        </w:tc>
        <w:tc>
          <w:tcPr>
            <w:tcW w:w="860" w:type="dxa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b/>
                <w:bCs/>
              </w:rPr>
            </w:pPr>
            <w:r w:rsidRPr="00991B8A">
              <w:t>0,00</w:t>
            </w:r>
          </w:p>
        </w:tc>
        <w:tc>
          <w:tcPr>
            <w:tcW w:w="16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0,00</w:t>
            </w:r>
          </w:p>
        </w:tc>
        <w:tc>
          <w:tcPr>
            <w:tcW w:w="1675" w:type="dxa"/>
            <w:noWrap/>
          </w:tcPr>
          <w:p w:rsidR="0048198C" w:rsidRPr="00991B8A" w:rsidRDefault="0048198C">
            <w:pPr>
              <w:jc w:val="center"/>
            </w:pPr>
            <w:r w:rsidRPr="00991B8A">
              <w:t>0,00</w:t>
            </w:r>
          </w:p>
        </w:tc>
        <w:tc>
          <w:tcPr>
            <w:tcW w:w="1724" w:type="dxa"/>
            <w:noWrap/>
          </w:tcPr>
          <w:p w:rsidR="0048198C" w:rsidRPr="00991B8A" w:rsidRDefault="0048198C">
            <w:pPr>
              <w:jc w:val="center"/>
            </w:pPr>
            <w:r w:rsidRPr="00991B8A">
              <w:t>0,00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tcBorders>
              <w:bottom w:val="single" w:sz="4" w:space="0" w:color="auto"/>
            </w:tcBorders>
            <w:noWrap/>
          </w:tcPr>
          <w:p w:rsidR="0048198C" w:rsidRPr="00991B8A" w:rsidRDefault="0048198C" w:rsidP="008F659E">
            <w:pPr>
              <w:rPr>
                <w:i/>
              </w:rPr>
            </w:pPr>
            <w:r w:rsidRPr="00991B8A">
              <w:t>- z toho vplyv na ŠR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i/>
              </w:rPr>
            </w:pPr>
            <w:r w:rsidRPr="00991B8A">
              <w:t>0,00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</w:tcPr>
          <w:p w:rsidR="0048198C" w:rsidRPr="00991B8A" w:rsidRDefault="0048198C">
            <w:pPr>
              <w:jc w:val="center"/>
            </w:pPr>
            <w:r w:rsidRPr="00991B8A">
              <w:t>0,00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noWrap/>
          </w:tcPr>
          <w:p w:rsidR="0048198C" w:rsidRPr="00991B8A" w:rsidRDefault="0048198C">
            <w:pPr>
              <w:jc w:val="center"/>
            </w:pPr>
            <w:r w:rsidRPr="00991B8A">
              <w:t>0,00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noWrap/>
          </w:tcPr>
          <w:p w:rsidR="0048198C" w:rsidRPr="00991B8A" w:rsidRDefault="0048198C">
            <w:pPr>
              <w:jc w:val="center"/>
            </w:pPr>
            <w:r w:rsidRPr="00991B8A">
              <w:t>0,00</w:t>
            </w:r>
          </w:p>
        </w:tc>
      </w:tr>
      <w:tr w:rsidR="007525C7" w:rsidRPr="00991B8A" w:rsidTr="00311D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shd w:val="clear" w:color="auto" w:fill="F2F2F2"/>
            <w:noWrap/>
          </w:tcPr>
          <w:p w:rsidR="0048198C" w:rsidRPr="00991B8A" w:rsidRDefault="0048198C" w:rsidP="008F659E">
            <w:pPr>
              <w:rPr>
                <w:b/>
                <w:bCs/>
              </w:rPr>
            </w:pPr>
            <w:r w:rsidRPr="00991B8A">
              <w:t>Financovanie zabezpečené v rozpočte</w:t>
            </w:r>
          </w:p>
        </w:tc>
        <w:tc>
          <w:tcPr>
            <w:tcW w:w="860" w:type="dxa"/>
            <w:shd w:val="clear" w:color="auto" w:fill="F2F2F2"/>
            <w:noWrap/>
            <w:vAlign w:val="center"/>
          </w:tcPr>
          <w:p w:rsidR="0048198C" w:rsidRPr="00991B8A" w:rsidRDefault="0048198C" w:rsidP="008F659E">
            <w:pPr>
              <w:jc w:val="center"/>
              <w:rPr>
                <w:b/>
              </w:rPr>
            </w:pPr>
            <w:r w:rsidRPr="00991B8A">
              <w:t>0,00</w:t>
            </w:r>
          </w:p>
        </w:tc>
        <w:tc>
          <w:tcPr>
            <w:tcW w:w="1624" w:type="dxa"/>
            <w:shd w:val="clear" w:color="auto" w:fill="F2F2F2"/>
            <w:noWrap/>
          </w:tcPr>
          <w:p w:rsidR="0048198C" w:rsidRPr="00991B8A" w:rsidRDefault="0048198C">
            <w:pPr>
              <w:jc w:val="right"/>
            </w:pPr>
            <w:r w:rsidRPr="00991B8A">
              <w:t>14 772 418,73</w:t>
            </w:r>
          </w:p>
        </w:tc>
        <w:tc>
          <w:tcPr>
            <w:tcW w:w="1675" w:type="dxa"/>
            <w:shd w:val="clear" w:color="auto" w:fill="F2F2F2"/>
            <w:noWrap/>
          </w:tcPr>
          <w:p w:rsidR="0048198C" w:rsidRPr="00991B8A" w:rsidRDefault="0048198C" w:rsidP="00736F05">
            <w:pPr>
              <w:jc w:val="right"/>
            </w:pPr>
            <w:r w:rsidRPr="00991B8A">
              <w:t>14 403 613,03</w:t>
            </w:r>
          </w:p>
        </w:tc>
        <w:tc>
          <w:tcPr>
            <w:tcW w:w="1724" w:type="dxa"/>
            <w:shd w:val="clear" w:color="auto" w:fill="F2F2F2"/>
            <w:noWrap/>
          </w:tcPr>
          <w:p w:rsidR="0048198C" w:rsidRPr="00991B8A" w:rsidRDefault="0048198C">
            <w:pPr>
              <w:jc w:val="right"/>
            </w:pPr>
            <w:r w:rsidRPr="00991B8A">
              <w:t>14 034 853,68</w:t>
            </w:r>
          </w:p>
        </w:tc>
      </w:tr>
      <w:tr w:rsidR="00BE07C4" w:rsidRPr="00991B8A" w:rsidTr="00C1241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94" w:type="dxa"/>
            <w:noWrap/>
          </w:tcPr>
          <w:p w:rsidR="00BE07C4" w:rsidRPr="00991B8A" w:rsidRDefault="00BE07C4" w:rsidP="008F659E">
            <w:pPr>
              <w:rPr>
                <w:bCs/>
                <w:i/>
                <w:iCs/>
              </w:rPr>
            </w:pPr>
            <w:r w:rsidRPr="00991B8A">
              <w:t>v tom: za každý subjekt verejnej správy / program zvlášť</w:t>
            </w:r>
          </w:p>
        </w:tc>
        <w:tc>
          <w:tcPr>
            <w:tcW w:w="860" w:type="dxa"/>
            <w:noWrap/>
            <w:vAlign w:val="center"/>
          </w:tcPr>
          <w:p w:rsidR="00BE07C4" w:rsidRPr="00991B8A" w:rsidRDefault="00BE07C4" w:rsidP="008F659E">
            <w:pPr>
              <w:jc w:val="center"/>
              <w:rPr>
                <w:bCs/>
                <w:i/>
                <w:iCs/>
              </w:rPr>
            </w:pPr>
            <w:r w:rsidRPr="00991B8A">
              <w:t>0,00</w:t>
            </w:r>
          </w:p>
        </w:tc>
        <w:tc>
          <w:tcPr>
            <w:tcW w:w="1624" w:type="dxa"/>
            <w:noWrap/>
            <w:vAlign w:val="center"/>
          </w:tcPr>
          <w:p w:rsidR="00BE07C4" w:rsidRPr="00991B8A" w:rsidRDefault="00BE07C4">
            <w:pPr>
              <w:jc w:val="center"/>
            </w:pPr>
            <w:r w:rsidRPr="00991B8A">
              <w:t>0,00</w:t>
            </w:r>
          </w:p>
        </w:tc>
        <w:tc>
          <w:tcPr>
            <w:tcW w:w="1675" w:type="dxa"/>
            <w:noWrap/>
            <w:vAlign w:val="center"/>
          </w:tcPr>
          <w:p w:rsidR="00BE07C4" w:rsidRPr="00991B8A" w:rsidRDefault="00BE07C4">
            <w:pPr>
              <w:jc w:val="center"/>
            </w:pPr>
            <w:r w:rsidRPr="00991B8A">
              <w:t>0,00</w:t>
            </w:r>
          </w:p>
        </w:tc>
        <w:tc>
          <w:tcPr>
            <w:tcW w:w="1724" w:type="dxa"/>
            <w:noWrap/>
            <w:vAlign w:val="center"/>
          </w:tcPr>
          <w:p w:rsidR="00BE07C4" w:rsidRPr="00991B8A" w:rsidRDefault="00BE07C4">
            <w:pPr>
              <w:jc w:val="center"/>
            </w:pPr>
            <w:r w:rsidRPr="00991B8A">
              <w:t>0,00</w:t>
            </w:r>
          </w:p>
        </w:tc>
      </w:tr>
      <w:bookmarkEnd w:id="2"/>
    </w:tbl>
    <w:p w:rsidR="002A5D7C" w:rsidRPr="00991B8A" w:rsidRDefault="002A5D7C" w:rsidP="008F659E"/>
    <w:p w:rsidR="00D86EA9" w:rsidRPr="00991B8A" w:rsidRDefault="00D86EA9" w:rsidP="00D86EA9">
      <w:pPr>
        <w:jc w:val="both"/>
        <w:rPr>
          <w:b/>
          <w:bCs/>
        </w:rPr>
      </w:pPr>
      <w:r w:rsidRPr="00991B8A">
        <w:rPr>
          <w:b/>
          <w:bCs/>
        </w:rPr>
        <w:t>2.1.1. Financovanie návrhu - Návrh na riešenie úbytku príjmov alebo zvýšených výdavkov podľa § 33 ods. 1 zákona č. 523/2004 Z. z. o rozpočtových pravidlách verejnej správy:</w:t>
      </w:r>
    </w:p>
    <w:p w:rsidR="00D86EA9" w:rsidRPr="00991B8A" w:rsidRDefault="00D86EA9" w:rsidP="00D86EA9">
      <w:pPr>
        <w:jc w:val="both"/>
        <w:rPr>
          <w:b/>
          <w:bCs/>
          <w:sz w:val="12"/>
        </w:rPr>
      </w:pPr>
    </w:p>
    <w:p w:rsidR="00D86EA9" w:rsidRPr="00991B8A" w:rsidRDefault="005F37A2" w:rsidP="00D86E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</w:rPr>
      </w:pPr>
      <w:r w:rsidRPr="00991B8A">
        <w:t xml:space="preserve">Vykrytie prípadných zvýšených výdavkov z dôvodu navrhnutého zvýšenia minimálnej mzdy bude musieť byť v jednotlivých rokoch zabezpečené v rámci záväzných ukazovateľov schváleného rozpočtu verejnej správy na príslušný rok. </w:t>
      </w:r>
      <w:r w:rsidRPr="00991B8A">
        <w:rPr>
          <w:bCs/>
        </w:rPr>
        <w:t xml:space="preserve">Vykrytie prípadného vplyvu zvýšenia minimálnej mzdy, vyplývajúceho z uplatňovania ustanovení právnych predpisov, v ktorých je výška plnenia viazaná na sumu minimálnej mzdy (časť 2.3.4., bod E) budú hradiť dotknuté rezorty v rámci stanovených limitov na roky </w:t>
      </w:r>
      <w:r w:rsidR="00E80E64" w:rsidRPr="00991B8A">
        <w:rPr>
          <w:bCs/>
        </w:rPr>
        <w:t>2019</w:t>
      </w:r>
      <w:r w:rsidRPr="00991B8A">
        <w:rPr>
          <w:bCs/>
        </w:rPr>
        <w:t xml:space="preserve"> až </w:t>
      </w:r>
      <w:r w:rsidR="00E80E64" w:rsidRPr="00991B8A">
        <w:rPr>
          <w:bCs/>
        </w:rPr>
        <w:t>2021</w:t>
      </w:r>
      <w:r w:rsidR="00033CC1" w:rsidRPr="00991B8A">
        <w:rPr>
          <w:bCs/>
        </w:rPr>
        <w:t>.</w:t>
      </w:r>
    </w:p>
    <w:p w:rsidR="00AD727A" w:rsidRPr="00991B8A" w:rsidRDefault="00AD727A" w:rsidP="00D86EA9">
      <w:pPr>
        <w:rPr>
          <w:b/>
          <w:bCs/>
        </w:rPr>
      </w:pPr>
    </w:p>
    <w:p w:rsidR="00D86EA9" w:rsidRPr="00991B8A" w:rsidRDefault="00AD612B" w:rsidP="00D86EA9">
      <w:pPr>
        <w:rPr>
          <w:b/>
          <w:bCs/>
        </w:rPr>
      </w:pPr>
      <w:r w:rsidRPr="00991B8A">
        <w:rPr>
          <w:b/>
          <w:bCs/>
        </w:rPr>
        <w:lastRenderedPageBreak/>
        <w:t>2.</w:t>
      </w:r>
      <w:r w:rsidR="007D4C54" w:rsidRPr="00991B8A">
        <w:rPr>
          <w:b/>
          <w:bCs/>
        </w:rPr>
        <w:t>2</w:t>
      </w:r>
      <w:r w:rsidR="00D86EA9" w:rsidRPr="00991B8A">
        <w:rPr>
          <w:b/>
          <w:bCs/>
        </w:rPr>
        <w:t>. Popis a charakteristika návrhu</w:t>
      </w:r>
    </w:p>
    <w:p w:rsidR="00F640C1" w:rsidRPr="00991B8A" w:rsidRDefault="00F640C1" w:rsidP="00F640C1">
      <w:pPr>
        <w:jc w:val="both"/>
      </w:pPr>
    </w:p>
    <w:p w:rsidR="002A5D7C" w:rsidRPr="00991B8A" w:rsidRDefault="007D4C54" w:rsidP="002A5D7C">
      <w:pPr>
        <w:jc w:val="both"/>
        <w:rPr>
          <w:b/>
          <w:bCs/>
        </w:rPr>
      </w:pPr>
      <w:r w:rsidRPr="00991B8A">
        <w:rPr>
          <w:b/>
          <w:bCs/>
        </w:rPr>
        <w:t>2.2</w:t>
      </w:r>
      <w:r w:rsidR="002A5D7C" w:rsidRPr="00991B8A">
        <w:rPr>
          <w:b/>
          <w:bCs/>
        </w:rPr>
        <w:t>.1. Popis návrhu:</w:t>
      </w:r>
    </w:p>
    <w:p w:rsidR="002A5D7C" w:rsidRPr="00991B8A" w:rsidRDefault="002A5D7C" w:rsidP="002A5D7C">
      <w:pPr>
        <w:jc w:val="both"/>
        <w:rPr>
          <w:b/>
          <w:bCs/>
        </w:rPr>
      </w:pPr>
    </w:p>
    <w:p w:rsidR="002A5D7C" w:rsidRPr="00991B8A" w:rsidRDefault="005F37A2" w:rsidP="00AF4052">
      <w:pPr>
        <w:ind w:firstLine="709"/>
        <w:jc w:val="both"/>
      </w:pPr>
      <w:r w:rsidRPr="00991B8A">
        <w:t xml:space="preserve">Ministerstvo práce, sociálnych vecí a rodiny Slovenskej republiky (ďalej len „ministerstvo“) v súlade s § 8 ods. 2 zákona č. 663/2007 Z. z. o minimálnej mzde v znení neskorších predpisov (ďalej len „zákon“) </w:t>
      </w:r>
      <w:r w:rsidRPr="00991B8A">
        <w:rPr>
          <w:iCs/>
        </w:rPr>
        <w:t>navrhuje zvýšenie sumy minimálnej mzdy z</w:t>
      </w:r>
      <w:r w:rsidR="00614432" w:rsidRPr="00991B8A">
        <w:rPr>
          <w:iCs/>
        </w:rPr>
        <w:t xml:space="preserve"> </w:t>
      </w:r>
      <w:r w:rsidR="00E80E64" w:rsidRPr="00991B8A">
        <w:rPr>
          <w:iCs/>
        </w:rPr>
        <w:t>480 eur</w:t>
      </w:r>
      <w:r w:rsidRPr="00991B8A">
        <w:rPr>
          <w:iCs/>
        </w:rPr>
        <w:t xml:space="preserve"> na</w:t>
      </w:r>
      <w:r w:rsidR="00614432" w:rsidRPr="00991B8A">
        <w:rPr>
          <w:iCs/>
        </w:rPr>
        <w:t xml:space="preserve"> </w:t>
      </w:r>
      <w:r w:rsidR="00E80E64" w:rsidRPr="00991B8A">
        <w:rPr>
          <w:iCs/>
        </w:rPr>
        <w:t>520 eur</w:t>
      </w:r>
      <w:r w:rsidRPr="00991B8A">
        <w:rPr>
          <w:iCs/>
        </w:rPr>
        <w:t xml:space="preserve">, čo je nárast o cca </w:t>
      </w:r>
      <w:r w:rsidR="00E80E64" w:rsidRPr="00991B8A">
        <w:rPr>
          <w:iCs/>
        </w:rPr>
        <w:t>8,33 %</w:t>
      </w:r>
      <w:r w:rsidRPr="00991B8A">
        <w:rPr>
          <w:iCs/>
        </w:rPr>
        <w:t xml:space="preserve">. </w:t>
      </w:r>
      <w:r w:rsidR="002A5D7C" w:rsidRPr="00991B8A">
        <w:t xml:space="preserve">Návrhom nariadenia vlády Slovenskej republiky sa ustanovuje suma minimálnej mzdy na rok </w:t>
      </w:r>
      <w:r w:rsidR="00E80E64" w:rsidRPr="00991B8A">
        <w:t>2019</w:t>
      </w:r>
      <w:r w:rsidR="002A5D7C" w:rsidRPr="00991B8A">
        <w:t xml:space="preserve">, </w:t>
      </w:r>
      <w:r w:rsidR="002A5D7C" w:rsidRPr="00991B8A">
        <w:rPr>
          <w:b/>
          <w:bCs/>
        </w:rPr>
        <w:t xml:space="preserve">záväzná pre všetkých zamestnávateľov, ktorí zamestnávajú zamestnancov </w:t>
      </w:r>
      <w:r w:rsidR="0048002A" w:rsidRPr="00991B8A">
        <w:rPr>
          <w:b/>
          <w:bCs/>
        </w:rPr>
        <w:t xml:space="preserve">v pracovnoprávnom </w:t>
      </w:r>
      <w:r w:rsidR="002A5D7C" w:rsidRPr="00991B8A">
        <w:rPr>
          <w:b/>
          <w:bCs/>
        </w:rPr>
        <w:t>vzťahu</w:t>
      </w:r>
      <w:r w:rsidR="00741A6F" w:rsidRPr="00991B8A">
        <w:t xml:space="preserve">, t.j. v pracovnom pomere, obdobnom pracovnom vzťahu alebo </w:t>
      </w:r>
      <w:r w:rsidR="0048002A" w:rsidRPr="00991B8A">
        <w:t>na základe niektorej z dohôd o prácach vykonávaných mimo pracovného pomeru</w:t>
      </w:r>
      <w:r w:rsidR="00741A6F" w:rsidRPr="00991B8A">
        <w:t>.</w:t>
      </w:r>
      <w:r w:rsidR="0048002A" w:rsidRPr="00991B8A">
        <w:t xml:space="preserve"> </w:t>
      </w:r>
      <w:r w:rsidR="00741A6F" w:rsidRPr="00991B8A">
        <w:t>A</w:t>
      </w:r>
      <w:r w:rsidR="0048002A" w:rsidRPr="00991B8A">
        <w:t xml:space="preserve">k výška </w:t>
      </w:r>
      <w:r w:rsidR="00741A6F" w:rsidRPr="00991B8A">
        <w:t xml:space="preserve">mzdy, platu alebo </w:t>
      </w:r>
      <w:r w:rsidR="0048002A" w:rsidRPr="00991B8A">
        <w:t>poskytnutej odmeny nedosiah</w:t>
      </w:r>
      <w:r w:rsidR="00033CC1" w:rsidRPr="00991B8A">
        <w:t>ne</w:t>
      </w:r>
      <w:r w:rsidR="0048002A" w:rsidRPr="00991B8A">
        <w:t xml:space="preserve"> sumu minimálnej mzdy</w:t>
      </w:r>
      <w:r w:rsidR="00741A6F" w:rsidRPr="00991B8A">
        <w:t xml:space="preserve">, zamestnávateľ </w:t>
      </w:r>
      <w:r w:rsidR="00033CC1" w:rsidRPr="00991B8A">
        <w:t xml:space="preserve">bude </w:t>
      </w:r>
      <w:r w:rsidR="00741A6F" w:rsidRPr="00991B8A">
        <w:t>povinný poskytnúť doplatok vo výške rozdielu</w:t>
      </w:r>
      <w:r w:rsidR="0048002A" w:rsidRPr="00991B8A">
        <w:t>.</w:t>
      </w:r>
      <w:r w:rsidR="00741A6F" w:rsidRPr="00991B8A">
        <w:t xml:space="preserve"> Táto povinnosť sa týka ako zamestnávateľov podnikateľskej sféry, tak aj zamestnávateľov napojených na verejné rozpočty.</w:t>
      </w:r>
    </w:p>
    <w:p w:rsidR="002A5D7C" w:rsidRPr="00991B8A" w:rsidRDefault="002A5D7C" w:rsidP="002A5D7C">
      <w:r w:rsidRPr="00991B8A">
        <w:t>.......................................................................................................................................................</w:t>
      </w:r>
    </w:p>
    <w:p w:rsidR="002A5D7C" w:rsidRPr="00991B8A" w:rsidRDefault="002A5D7C" w:rsidP="002A5D7C">
      <w:pPr>
        <w:rPr>
          <w:b/>
          <w:bCs/>
        </w:rPr>
      </w:pPr>
      <w:r w:rsidRPr="00991B8A">
        <w:rPr>
          <w:b/>
          <w:bCs/>
        </w:rPr>
        <w:t>2.</w:t>
      </w:r>
      <w:r w:rsidR="007D4C54" w:rsidRPr="00991B8A">
        <w:rPr>
          <w:b/>
          <w:bCs/>
        </w:rPr>
        <w:t>2</w:t>
      </w:r>
      <w:r w:rsidRPr="00991B8A">
        <w:rPr>
          <w:b/>
          <w:bCs/>
        </w:rPr>
        <w:t>.2. Charakteristika návrhu podľa bodu</w:t>
      </w:r>
      <w:r w:rsidR="00614432" w:rsidRPr="00991B8A">
        <w:rPr>
          <w:b/>
          <w:bCs/>
        </w:rPr>
        <w:t xml:space="preserve"> </w:t>
      </w:r>
      <w:r w:rsidRPr="00991B8A">
        <w:rPr>
          <w:b/>
          <w:bCs/>
        </w:rPr>
        <w:t>2.3.2. Metodiky :</w:t>
      </w:r>
    </w:p>
    <w:p w:rsidR="002A5D7C" w:rsidRPr="00991B8A" w:rsidRDefault="002A5D7C" w:rsidP="002A5D7C"/>
    <w:p w:rsidR="002A5D7C" w:rsidRPr="00991B8A" w:rsidRDefault="002A5D7C" w:rsidP="002A5D7C">
      <w:pPr>
        <w:pStyle w:val="Zkladntext"/>
        <w:rPr>
          <w:b w:val="0"/>
          <w:szCs w:val="24"/>
        </w:rPr>
      </w:pPr>
      <w:r w:rsidRPr="00991B8A">
        <w:rPr>
          <w:szCs w:val="24"/>
          <w:bdr w:val="single" w:sz="4" w:space="0" w:color="auto"/>
        </w:rPr>
        <w:t xml:space="preserve"> X</w:t>
      </w:r>
      <w:r w:rsidR="00614432" w:rsidRPr="00991B8A">
        <w:rPr>
          <w:szCs w:val="24"/>
          <w:bdr w:val="single" w:sz="4" w:space="0" w:color="auto"/>
        </w:rPr>
        <w:t xml:space="preserve"> </w:t>
      </w:r>
      <w:r w:rsidRPr="00991B8A">
        <w:rPr>
          <w:szCs w:val="24"/>
        </w:rPr>
        <w:t xml:space="preserve"> </w:t>
      </w:r>
      <w:r w:rsidRPr="00991B8A">
        <w:rPr>
          <w:b w:val="0"/>
          <w:szCs w:val="24"/>
        </w:rPr>
        <w:t>zmena sadzby</w:t>
      </w:r>
    </w:p>
    <w:p w:rsidR="002A5D7C" w:rsidRPr="00991B8A" w:rsidRDefault="00614432" w:rsidP="002A5D7C">
      <w:pPr>
        <w:pStyle w:val="Zkladntext"/>
        <w:rPr>
          <w:b w:val="0"/>
          <w:szCs w:val="24"/>
        </w:rPr>
      </w:pPr>
      <w:r w:rsidRPr="00991B8A">
        <w:rPr>
          <w:b w:val="0"/>
          <w:szCs w:val="24"/>
          <w:bdr w:val="single" w:sz="4" w:space="0" w:color="auto"/>
        </w:rPr>
        <w:t xml:space="preserve">   </w:t>
      </w:r>
      <w:r w:rsidR="002A5D7C" w:rsidRPr="00991B8A">
        <w:rPr>
          <w:b w:val="0"/>
          <w:szCs w:val="24"/>
        </w:rPr>
        <w:t xml:space="preserve"> zmena v nároku</w:t>
      </w:r>
    </w:p>
    <w:p w:rsidR="002A5D7C" w:rsidRPr="00991B8A" w:rsidRDefault="00614432" w:rsidP="002A5D7C">
      <w:pPr>
        <w:pStyle w:val="Zkladntext"/>
        <w:rPr>
          <w:b w:val="0"/>
          <w:szCs w:val="24"/>
        </w:rPr>
      </w:pPr>
      <w:r w:rsidRPr="00991B8A">
        <w:rPr>
          <w:b w:val="0"/>
          <w:szCs w:val="24"/>
          <w:bdr w:val="single" w:sz="4" w:space="0" w:color="auto"/>
        </w:rPr>
        <w:t xml:space="preserve">   </w:t>
      </w:r>
      <w:r w:rsidR="002A5D7C" w:rsidRPr="00991B8A">
        <w:rPr>
          <w:b w:val="0"/>
          <w:szCs w:val="24"/>
        </w:rPr>
        <w:t xml:space="preserve"> nová služba alebo nariadenie (alebo ich zrušenie)</w:t>
      </w:r>
    </w:p>
    <w:p w:rsidR="002A5D7C" w:rsidRPr="00991B8A" w:rsidRDefault="00614432" w:rsidP="002A5D7C">
      <w:pPr>
        <w:pStyle w:val="Zkladntext"/>
        <w:rPr>
          <w:b w:val="0"/>
          <w:szCs w:val="24"/>
        </w:rPr>
      </w:pPr>
      <w:r w:rsidRPr="00991B8A">
        <w:rPr>
          <w:b w:val="0"/>
          <w:szCs w:val="24"/>
          <w:bdr w:val="single" w:sz="4" w:space="0" w:color="auto"/>
        </w:rPr>
        <w:t xml:space="preserve">   </w:t>
      </w:r>
      <w:r w:rsidR="002A5D7C" w:rsidRPr="00991B8A">
        <w:rPr>
          <w:b w:val="0"/>
          <w:szCs w:val="24"/>
        </w:rPr>
        <w:t xml:space="preserve"> kombinovaný návrh</w:t>
      </w:r>
    </w:p>
    <w:p w:rsidR="002A5D7C" w:rsidRPr="00991B8A" w:rsidRDefault="00614432" w:rsidP="002A5D7C">
      <w:pPr>
        <w:pStyle w:val="Zkladntext"/>
        <w:rPr>
          <w:b w:val="0"/>
          <w:szCs w:val="24"/>
        </w:rPr>
      </w:pPr>
      <w:r w:rsidRPr="00991B8A">
        <w:rPr>
          <w:b w:val="0"/>
          <w:szCs w:val="24"/>
          <w:bdr w:val="single" w:sz="4" w:space="0" w:color="auto"/>
        </w:rPr>
        <w:t xml:space="preserve">   </w:t>
      </w:r>
      <w:r w:rsidR="002A5D7C" w:rsidRPr="00991B8A">
        <w:rPr>
          <w:b w:val="0"/>
          <w:szCs w:val="24"/>
        </w:rPr>
        <w:t xml:space="preserve"> iné </w:t>
      </w:r>
    </w:p>
    <w:p w:rsidR="002A5D7C" w:rsidRPr="00991B8A" w:rsidRDefault="002A5D7C" w:rsidP="002A5D7C"/>
    <w:p w:rsidR="002A5D7C" w:rsidRPr="00991B8A" w:rsidRDefault="007D4C54" w:rsidP="002A5D7C">
      <w:r w:rsidRPr="00991B8A">
        <w:rPr>
          <w:b/>
          <w:bCs/>
        </w:rPr>
        <w:t>2.2</w:t>
      </w:r>
      <w:r w:rsidR="002A5D7C" w:rsidRPr="00991B8A">
        <w:rPr>
          <w:b/>
          <w:bCs/>
        </w:rPr>
        <w:t>.3. Predpoklady vývoja objemu aktivít:</w:t>
      </w:r>
    </w:p>
    <w:p w:rsidR="002A5D7C" w:rsidRPr="00991B8A" w:rsidRDefault="002A5D7C" w:rsidP="002A5D7C"/>
    <w:p w:rsidR="002A5D7C" w:rsidRPr="00991B8A" w:rsidRDefault="002A5D7C" w:rsidP="002A5D7C">
      <w:pPr>
        <w:ind w:firstLine="708"/>
        <w:jc w:val="both"/>
      </w:pPr>
      <w:r w:rsidRPr="00991B8A">
        <w:t xml:space="preserve">Na základe údajov výberového štatistického zisťovania o priemerných zárobkoch ISCP (výkaz </w:t>
      </w:r>
      <w:r w:rsidRPr="00991B8A">
        <w:rPr>
          <w:b/>
        </w:rPr>
        <w:t>ISCP(MPSVR SR) 1-04</w:t>
      </w:r>
      <w:r w:rsidRPr="00991B8A">
        <w:rPr>
          <w:bCs/>
        </w:rPr>
        <w:t>)</w:t>
      </w:r>
      <w:r w:rsidR="0093020C" w:rsidRPr="00991B8A">
        <w:t xml:space="preserve"> </w:t>
      </w:r>
      <w:r w:rsidRPr="00991B8A">
        <w:t>o</w:t>
      </w:r>
      <w:r w:rsidR="00464053" w:rsidRPr="00991B8A">
        <w:t> počte zamestnancov v príjmovom pásme</w:t>
      </w:r>
      <w:r w:rsidRPr="00991B8A">
        <w:t> </w:t>
      </w:r>
      <w:r w:rsidR="00956A25" w:rsidRPr="00991B8A">
        <w:t>do</w:t>
      </w:r>
      <w:r w:rsidR="00614432" w:rsidRPr="00991B8A">
        <w:t xml:space="preserve"> </w:t>
      </w:r>
      <w:r w:rsidR="00E80E64" w:rsidRPr="00991B8A">
        <w:t>480 eur</w:t>
      </w:r>
      <w:r w:rsidR="00BC4DCD" w:rsidRPr="00991B8A">
        <w:t> </w:t>
      </w:r>
      <w:r w:rsidR="00464053" w:rsidRPr="00991B8A">
        <w:t xml:space="preserve">a v príjmovom pásme </w:t>
      </w:r>
      <w:r w:rsidR="00BC4DCD" w:rsidRPr="00991B8A">
        <w:t>nad</w:t>
      </w:r>
      <w:r w:rsidR="00614432" w:rsidRPr="00991B8A">
        <w:t xml:space="preserve"> </w:t>
      </w:r>
      <w:r w:rsidR="00E80E64" w:rsidRPr="00991B8A">
        <w:t>480 eur</w:t>
      </w:r>
      <w:r w:rsidR="00A8533F" w:rsidRPr="00991B8A">
        <w:t xml:space="preserve"> </w:t>
      </w:r>
      <w:r w:rsidRPr="00991B8A">
        <w:t>do</w:t>
      </w:r>
      <w:r w:rsidR="00614432" w:rsidRPr="00991B8A">
        <w:t xml:space="preserve"> </w:t>
      </w:r>
      <w:r w:rsidR="00E80E64" w:rsidRPr="00991B8A">
        <w:t>520 eur</w:t>
      </w:r>
      <w:r w:rsidR="00A8533F" w:rsidRPr="00991B8A">
        <w:t xml:space="preserve"> </w:t>
      </w:r>
      <w:r w:rsidRPr="00991B8A">
        <w:t>mesačne</w:t>
      </w:r>
      <w:r w:rsidR="004106F7" w:rsidRPr="00991B8A">
        <w:t xml:space="preserve"> </w:t>
      </w:r>
      <w:r w:rsidRPr="00991B8A">
        <w:t xml:space="preserve">za zamestnancov </w:t>
      </w:r>
      <w:r w:rsidR="00EE57B5" w:rsidRPr="00991B8A">
        <w:t xml:space="preserve">odmeňovaných podľa zákona č. 553/2003 Z. z. o odmeňovaní niektorých zamestnancov pri výkone práce vo verejnom záujme v znení neskorších predpisov a podľa zákona č. </w:t>
      </w:r>
      <w:r w:rsidR="006E4BCE" w:rsidRPr="00991B8A">
        <w:t xml:space="preserve">55/2017 </w:t>
      </w:r>
      <w:r w:rsidR="00EE57B5" w:rsidRPr="00991B8A">
        <w:t xml:space="preserve">Z. z. </w:t>
      </w:r>
      <w:r w:rsidR="006E4BCE" w:rsidRPr="00991B8A">
        <w:t xml:space="preserve">o štátnej službe a o zmene a doplnení niektorých zákonov </w:t>
      </w:r>
      <w:r w:rsidRPr="00991B8A">
        <w:t xml:space="preserve">bolo zistené, že zvýšenie sumy minimálnej mzdy sa </w:t>
      </w:r>
      <w:r w:rsidR="00EE57B5" w:rsidRPr="00991B8A">
        <w:t xml:space="preserve">v roku </w:t>
      </w:r>
      <w:r w:rsidR="00E80E64" w:rsidRPr="00991B8A">
        <w:t>2019</w:t>
      </w:r>
      <w:r w:rsidR="00EE57B5" w:rsidRPr="00991B8A">
        <w:t xml:space="preserve"> </w:t>
      </w:r>
      <w:r w:rsidRPr="00991B8A">
        <w:t xml:space="preserve">môže dotýkať </w:t>
      </w:r>
      <w:r w:rsidR="00EE57B5" w:rsidRPr="00991B8A">
        <w:t xml:space="preserve">spolu cca </w:t>
      </w:r>
      <w:r w:rsidR="0093020C" w:rsidRPr="00991B8A">
        <w:t xml:space="preserve">29,4 </w:t>
      </w:r>
      <w:r w:rsidR="00EE57B5" w:rsidRPr="00991B8A">
        <w:t xml:space="preserve">tis. </w:t>
      </w:r>
      <w:r w:rsidRPr="00991B8A">
        <w:t>zamestnancov</w:t>
      </w:r>
      <w:r w:rsidR="00EE57B5" w:rsidRPr="00991B8A">
        <w:t>.</w:t>
      </w:r>
      <w:r w:rsidRPr="00991B8A">
        <w:t xml:space="preserve"> </w:t>
      </w:r>
    </w:p>
    <w:p w:rsidR="00EE57B5" w:rsidRPr="00991B8A" w:rsidRDefault="00EE57B5" w:rsidP="00EE57B5">
      <w:pPr>
        <w:ind w:firstLine="708"/>
      </w:pPr>
    </w:p>
    <w:p w:rsidR="00EE57B5" w:rsidRPr="00991B8A" w:rsidRDefault="00EE57B5" w:rsidP="000C3E58">
      <w:pPr>
        <w:ind w:firstLine="708"/>
        <w:jc w:val="both"/>
      </w:pPr>
      <w:r w:rsidRPr="00991B8A">
        <w:t xml:space="preserve">Pri zohľadnení predpokladaného </w:t>
      </w:r>
      <w:r w:rsidRPr="00991B8A">
        <w:rPr>
          <w:b/>
          <w:bCs/>
        </w:rPr>
        <w:t>posunu zamestnancov do vyšších platových stupňov</w:t>
      </w:r>
      <w:r w:rsidRPr="00991B8A">
        <w:t xml:space="preserve"> z dôvodu zvýšenia rokov započítanej praxe podľa uvedených právnych predpisov možno</w:t>
      </w:r>
      <w:r w:rsidR="003E3252" w:rsidRPr="00991B8A">
        <w:t xml:space="preserve"> o</w:t>
      </w:r>
      <w:r w:rsidRPr="00991B8A">
        <w:t xml:space="preserve">dhadnúť, že v roku </w:t>
      </w:r>
      <w:r w:rsidR="00E80E64" w:rsidRPr="00991B8A">
        <w:t>2020</w:t>
      </w:r>
      <w:r w:rsidRPr="00991B8A">
        <w:t xml:space="preserve"> bude pod úrovňou sumy </w:t>
      </w:r>
      <w:r w:rsidR="00E80E64" w:rsidRPr="00991B8A">
        <w:t>520 eur</w:t>
      </w:r>
      <w:r w:rsidRPr="00991B8A">
        <w:t xml:space="preserve"> mesačne </w:t>
      </w:r>
      <w:r w:rsidRPr="00991B8A">
        <w:rPr>
          <w:b/>
        </w:rPr>
        <w:t xml:space="preserve">cca </w:t>
      </w:r>
      <w:r w:rsidR="0013004C" w:rsidRPr="00991B8A">
        <w:rPr>
          <w:b/>
        </w:rPr>
        <w:t>97,</w:t>
      </w:r>
      <w:r w:rsidR="006E4BCE" w:rsidRPr="00991B8A">
        <w:rPr>
          <w:b/>
        </w:rPr>
        <w:t>5</w:t>
      </w:r>
      <w:r w:rsidRPr="00991B8A">
        <w:rPr>
          <w:b/>
        </w:rPr>
        <w:t xml:space="preserve"> %</w:t>
      </w:r>
      <w:r w:rsidRPr="00991B8A">
        <w:t xml:space="preserve"> a v roku </w:t>
      </w:r>
      <w:r w:rsidR="00E80E64" w:rsidRPr="00991B8A">
        <w:t>2021</w:t>
      </w:r>
      <w:r w:rsidRPr="00991B8A">
        <w:t xml:space="preserve"> </w:t>
      </w:r>
      <w:r w:rsidRPr="00991B8A">
        <w:rPr>
          <w:b/>
        </w:rPr>
        <w:t xml:space="preserve">cca </w:t>
      </w:r>
      <w:r w:rsidR="0013004C" w:rsidRPr="00991B8A">
        <w:rPr>
          <w:b/>
        </w:rPr>
        <w:t>95,</w:t>
      </w:r>
      <w:r w:rsidR="006E4BCE" w:rsidRPr="00991B8A">
        <w:rPr>
          <w:b/>
        </w:rPr>
        <w:t>0</w:t>
      </w:r>
      <w:r w:rsidR="0013004C" w:rsidRPr="00991B8A">
        <w:rPr>
          <w:b/>
        </w:rPr>
        <w:t xml:space="preserve"> </w:t>
      </w:r>
      <w:r w:rsidRPr="00991B8A">
        <w:rPr>
          <w:b/>
        </w:rPr>
        <w:t>%</w:t>
      </w:r>
      <w:r w:rsidRPr="00991B8A">
        <w:t xml:space="preserve"> z toho počtu zamestnancov</w:t>
      </w:r>
      <w:r w:rsidR="003E3252" w:rsidRPr="00991B8A">
        <w:t>.</w:t>
      </w:r>
    </w:p>
    <w:p w:rsidR="00EE57B5" w:rsidRPr="00991B8A" w:rsidRDefault="00EE57B5" w:rsidP="00EE57B5">
      <w:pPr>
        <w:ind w:firstLine="708"/>
        <w:jc w:val="both"/>
      </w:pPr>
    </w:p>
    <w:p w:rsidR="00CD1900" w:rsidRPr="00991B8A" w:rsidRDefault="002710CE" w:rsidP="00CD1900">
      <w:pPr>
        <w:ind w:firstLine="708"/>
        <w:jc w:val="right"/>
      </w:pPr>
      <w:r w:rsidRPr="00991B8A">
        <w:t>Tabuľka č. 2</w:t>
      </w:r>
    </w:p>
    <w:p w:rsidR="00CD1900" w:rsidRPr="00991B8A" w:rsidRDefault="00CD1900" w:rsidP="00CD1900">
      <w:pPr>
        <w:ind w:firstLine="708"/>
        <w:jc w:val="right"/>
      </w:pPr>
    </w:p>
    <w:tbl>
      <w:tblPr>
        <w:tblW w:w="910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2"/>
        <w:gridCol w:w="783"/>
        <w:gridCol w:w="1059"/>
        <w:gridCol w:w="1134"/>
        <w:gridCol w:w="1134"/>
        <w:tblGridChange w:id="3">
          <w:tblGrid>
            <w:gridCol w:w="4992"/>
            <w:gridCol w:w="783"/>
            <w:gridCol w:w="1059"/>
            <w:gridCol w:w="1134"/>
            <w:gridCol w:w="1134"/>
          </w:tblGrid>
        </w:tblGridChange>
      </w:tblGrid>
      <w:tr w:rsidR="00CD1900" w:rsidRPr="00991B8A" w:rsidTr="00B917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2" w:type="dxa"/>
            <w:vMerge w:val="restart"/>
            <w:shd w:val="clear" w:color="auto" w:fill="000000"/>
            <w:vAlign w:val="center"/>
          </w:tcPr>
          <w:p w:rsidR="00CD1900" w:rsidRPr="00991B8A" w:rsidRDefault="00CD1900" w:rsidP="00B917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Objem aktivít</w:t>
            </w:r>
          </w:p>
        </w:tc>
        <w:tc>
          <w:tcPr>
            <w:tcW w:w="4110" w:type="dxa"/>
            <w:gridSpan w:val="4"/>
            <w:shd w:val="clear" w:color="auto" w:fill="000000"/>
            <w:vAlign w:val="center"/>
          </w:tcPr>
          <w:p w:rsidR="00CD1900" w:rsidRPr="00991B8A" w:rsidRDefault="00CD1900" w:rsidP="00B917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Odhadované objemy</w:t>
            </w:r>
          </w:p>
        </w:tc>
      </w:tr>
      <w:tr w:rsidR="00965D95" w:rsidRPr="00991B8A" w:rsidTr="00B917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2" w:type="dxa"/>
            <w:vMerge/>
          </w:tcPr>
          <w:p w:rsidR="00965D95" w:rsidRPr="00991B8A" w:rsidRDefault="00965D95" w:rsidP="00B917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shd w:val="clear" w:color="auto" w:fill="000000"/>
            <w:vAlign w:val="center"/>
          </w:tcPr>
          <w:p w:rsidR="00965D95" w:rsidRPr="00991B8A" w:rsidRDefault="00E80E64" w:rsidP="00B91703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2018</w:t>
            </w:r>
          </w:p>
        </w:tc>
        <w:tc>
          <w:tcPr>
            <w:tcW w:w="1059" w:type="dxa"/>
            <w:shd w:val="clear" w:color="auto" w:fill="000000"/>
            <w:vAlign w:val="center"/>
          </w:tcPr>
          <w:p w:rsidR="00965D95" w:rsidRPr="00991B8A" w:rsidRDefault="00E80E64" w:rsidP="00B91703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2019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965D95" w:rsidRPr="00991B8A" w:rsidRDefault="00E80E64" w:rsidP="00B91703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2020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965D95" w:rsidRPr="00991B8A" w:rsidRDefault="00E80E64" w:rsidP="00B91703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2021</w:t>
            </w:r>
          </w:p>
        </w:tc>
      </w:tr>
      <w:tr w:rsidR="000837DB" w:rsidRPr="00991B8A" w:rsidTr="000837D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992" w:type="dxa"/>
          </w:tcPr>
          <w:p w:rsidR="00570365" w:rsidRPr="00991B8A" w:rsidRDefault="00570365" w:rsidP="00B91703">
            <w:pPr>
              <w:autoSpaceDE w:val="0"/>
              <w:autoSpaceDN w:val="0"/>
              <w:adjustRightInd w:val="0"/>
            </w:pPr>
            <w:r w:rsidRPr="00991B8A">
              <w:t>Počty zamestnancov napojených na verejný rozpočet s platmi pod úrovňou navrhovanej sumy minimálnej mzdy – kvalifikovaný odhad</w:t>
            </w:r>
            <w:r w:rsidRPr="00991B8A">
              <w:rPr>
                <w:vertAlign w:val="superscript"/>
              </w:rPr>
              <w:t>*)</w:t>
            </w:r>
            <w:r w:rsidRPr="00991B8A">
              <w:t xml:space="preserve"> </w:t>
            </w:r>
          </w:p>
        </w:tc>
        <w:tc>
          <w:tcPr>
            <w:tcW w:w="783" w:type="dxa"/>
            <w:vAlign w:val="center"/>
          </w:tcPr>
          <w:p w:rsidR="00570365" w:rsidRPr="00991B8A" w:rsidRDefault="00570365" w:rsidP="00B91703">
            <w:pPr>
              <w:jc w:val="center"/>
            </w:pPr>
            <w:r w:rsidRPr="00991B8A">
              <w:t>0</w:t>
            </w:r>
          </w:p>
        </w:tc>
        <w:tc>
          <w:tcPr>
            <w:tcW w:w="1059" w:type="dxa"/>
            <w:vAlign w:val="center"/>
          </w:tcPr>
          <w:p w:rsidR="00570365" w:rsidRPr="00991B8A" w:rsidRDefault="00570365" w:rsidP="00991B8A">
            <w:pPr>
              <w:jc w:val="center"/>
              <w:rPr>
                <w:bCs/>
              </w:rPr>
            </w:pPr>
            <w:r w:rsidRPr="00991B8A">
              <w:t>29 354,1</w:t>
            </w:r>
          </w:p>
        </w:tc>
        <w:tc>
          <w:tcPr>
            <w:tcW w:w="1134" w:type="dxa"/>
            <w:vAlign w:val="center"/>
          </w:tcPr>
          <w:p w:rsidR="00570365" w:rsidRPr="00991B8A" w:rsidRDefault="00570365" w:rsidP="00991B8A">
            <w:pPr>
              <w:jc w:val="center"/>
              <w:rPr>
                <w:bCs/>
              </w:rPr>
            </w:pPr>
            <w:r w:rsidRPr="00991B8A">
              <w:t>28 620,2</w:t>
            </w:r>
          </w:p>
        </w:tc>
        <w:tc>
          <w:tcPr>
            <w:tcW w:w="1134" w:type="dxa"/>
            <w:vAlign w:val="center"/>
          </w:tcPr>
          <w:p w:rsidR="00570365" w:rsidRPr="00991B8A" w:rsidRDefault="00570365" w:rsidP="00991B8A">
            <w:pPr>
              <w:jc w:val="center"/>
              <w:rPr>
                <w:bCs/>
              </w:rPr>
            </w:pPr>
            <w:r w:rsidRPr="00991B8A">
              <w:t>27 886,4</w:t>
            </w:r>
          </w:p>
        </w:tc>
      </w:tr>
    </w:tbl>
    <w:p w:rsidR="00CD1900" w:rsidRPr="00991B8A" w:rsidRDefault="00CD1900" w:rsidP="00425438">
      <w:pPr>
        <w:spacing w:before="120"/>
        <w:rPr>
          <w:i/>
        </w:rPr>
      </w:pPr>
      <w:r w:rsidRPr="00991B8A">
        <w:rPr>
          <w:i/>
        </w:rPr>
        <w:t xml:space="preserve">*) Údaje sú dopočítané na plný počet cca </w:t>
      </w:r>
      <w:r w:rsidR="00570365" w:rsidRPr="00991B8A">
        <w:rPr>
          <w:i/>
        </w:rPr>
        <w:t>286,7</w:t>
      </w:r>
      <w:r w:rsidR="006E4BCE" w:rsidRPr="00991B8A">
        <w:rPr>
          <w:i/>
        </w:rPr>
        <w:t xml:space="preserve"> </w:t>
      </w:r>
      <w:r w:rsidRPr="00991B8A">
        <w:rPr>
          <w:i/>
        </w:rPr>
        <w:t>tis. zamestnancov tzv. nepodnikateľskej sféry</w:t>
      </w:r>
    </w:p>
    <w:p w:rsidR="00CD1900" w:rsidRPr="00991B8A" w:rsidRDefault="00CD1900" w:rsidP="00EE57B5">
      <w:pPr>
        <w:ind w:firstLine="708"/>
        <w:jc w:val="both"/>
      </w:pPr>
    </w:p>
    <w:p w:rsidR="002A5D7C" w:rsidRPr="00991B8A" w:rsidRDefault="002A5D7C" w:rsidP="002A5D7C">
      <w:pPr>
        <w:rPr>
          <w:b/>
          <w:bCs/>
        </w:rPr>
      </w:pPr>
      <w:r w:rsidRPr="00991B8A">
        <w:rPr>
          <w:b/>
          <w:bCs/>
        </w:rPr>
        <w:t xml:space="preserve"> 2.</w:t>
      </w:r>
      <w:r w:rsidR="007D4C54" w:rsidRPr="00991B8A">
        <w:rPr>
          <w:b/>
          <w:bCs/>
        </w:rPr>
        <w:t>2</w:t>
      </w:r>
      <w:r w:rsidRPr="00991B8A">
        <w:rPr>
          <w:b/>
          <w:bCs/>
        </w:rPr>
        <w:t>.4. Výpočty vplyvov na verejné financie</w:t>
      </w:r>
    </w:p>
    <w:p w:rsidR="002A5D7C" w:rsidRPr="00991B8A" w:rsidRDefault="002A5D7C" w:rsidP="002A5D7C"/>
    <w:p w:rsidR="002A5D7C" w:rsidRPr="00991B8A" w:rsidRDefault="002A5D7C" w:rsidP="002A5D7C">
      <w:pPr>
        <w:pStyle w:val="Nzov"/>
        <w:rPr>
          <w:b/>
          <w:sz w:val="24"/>
          <w:szCs w:val="24"/>
        </w:rPr>
      </w:pPr>
      <w:r w:rsidRPr="00991B8A">
        <w:rPr>
          <w:b/>
          <w:sz w:val="24"/>
          <w:szCs w:val="24"/>
        </w:rPr>
        <w:lastRenderedPageBreak/>
        <w:t>Tabuľková časť vplyvov na rozpočet verejnej správy</w:t>
      </w:r>
    </w:p>
    <w:p w:rsidR="002A5D7C" w:rsidRPr="00991B8A" w:rsidRDefault="002A5D7C" w:rsidP="002A5D7C">
      <w:pPr>
        <w:pStyle w:val="Nzov"/>
        <w:jc w:val="both"/>
        <w:rPr>
          <w:w w:val="150"/>
          <w:sz w:val="24"/>
          <w:szCs w:val="24"/>
        </w:rPr>
      </w:pPr>
    </w:p>
    <w:p w:rsidR="002A5D7C" w:rsidRPr="00991B8A" w:rsidRDefault="002A5D7C" w:rsidP="002A5D7C">
      <w:pPr>
        <w:pStyle w:val="Nzov"/>
        <w:tabs>
          <w:tab w:val="left" w:pos="1800"/>
        </w:tabs>
        <w:ind w:left="1800" w:hanging="1800"/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Zdroj údajov: </w:t>
      </w:r>
      <w:r w:rsidRPr="00991B8A">
        <w:rPr>
          <w:sz w:val="24"/>
          <w:szCs w:val="24"/>
        </w:rPr>
        <w:tab/>
        <w:t xml:space="preserve">Výberové štatistické zisťovanie, štvrťročný výkaz o cene práce ISCP (MPSVR SR) 1-04, údaje za </w:t>
      </w:r>
      <w:r w:rsidR="00BF5E1B" w:rsidRPr="00991B8A">
        <w:rPr>
          <w:sz w:val="24"/>
          <w:szCs w:val="24"/>
        </w:rPr>
        <w:t xml:space="preserve">I. </w:t>
      </w:r>
      <w:r w:rsidR="00A8533F" w:rsidRPr="00991B8A">
        <w:rPr>
          <w:sz w:val="24"/>
          <w:szCs w:val="24"/>
        </w:rPr>
        <w:t xml:space="preserve">štvrťrok </w:t>
      </w:r>
      <w:r w:rsidR="00E80E64" w:rsidRPr="00991B8A">
        <w:rPr>
          <w:sz w:val="24"/>
          <w:szCs w:val="24"/>
        </w:rPr>
        <w:t>2018</w:t>
      </w:r>
      <w:r w:rsidR="00CD1900" w:rsidRPr="00991B8A">
        <w:rPr>
          <w:sz w:val="24"/>
          <w:szCs w:val="24"/>
        </w:rPr>
        <w:t xml:space="preserve"> </w:t>
      </w:r>
      <w:r w:rsidRPr="00991B8A">
        <w:rPr>
          <w:sz w:val="24"/>
          <w:szCs w:val="24"/>
        </w:rPr>
        <w:t>– zamestnanci tzv. nepodnikateľskej sféry</w:t>
      </w:r>
      <w:r w:rsidR="000718D2" w:rsidRPr="00991B8A">
        <w:rPr>
          <w:sz w:val="24"/>
          <w:szCs w:val="24"/>
        </w:rPr>
        <w:t>,</w:t>
      </w:r>
      <w:r w:rsidR="006A3151" w:rsidRPr="00991B8A">
        <w:rPr>
          <w:sz w:val="24"/>
          <w:szCs w:val="24"/>
        </w:rPr>
        <w:t xml:space="preserve"> z nich </w:t>
      </w:r>
      <w:r w:rsidR="004850E3" w:rsidRPr="00991B8A">
        <w:rPr>
          <w:sz w:val="24"/>
          <w:szCs w:val="24"/>
        </w:rPr>
        <w:t xml:space="preserve">osobitne </w:t>
      </w:r>
      <w:r w:rsidR="006A3151" w:rsidRPr="00991B8A">
        <w:rPr>
          <w:sz w:val="24"/>
          <w:szCs w:val="24"/>
        </w:rPr>
        <w:t>zamestnanci obcí a vyšších územných celkov (ďalej „VÚC“)</w:t>
      </w:r>
      <w:r w:rsidR="000718D2" w:rsidRPr="00991B8A">
        <w:rPr>
          <w:sz w:val="24"/>
          <w:szCs w:val="24"/>
        </w:rPr>
        <w:t xml:space="preserve">, podklady Ministerstva financií Slovenskej republiky o počtoch zamestnancov napojených na štátny rozpočet a na rozpočty územných samospráv, skutočnosť za I. štvrťrok </w:t>
      </w:r>
      <w:r w:rsidR="00E80E64" w:rsidRPr="00991B8A">
        <w:rPr>
          <w:sz w:val="24"/>
          <w:szCs w:val="24"/>
        </w:rPr>
        <w:t>2018</w:t>
      </w:r>
      <w:r w:rsidR="000718D2" w:rsidRPr="00991B8A">
        <w:rPr>
          <w:sz w:val="24"/>
          <w:szCs w:val="24"/>
        </w:rPr>
        <w:t>.</w:t>
      </w:r>
    </w:p>
    <w:p w:rsidR="002A5D7C" w:rsidRPr="00991B8A" w:rsidRDefault="002A5D7C" w:rsidP="002A5D7C">
      <w:pPr>
        <w:pStyle w:val="Nzov"/>
        <w:tabs>
          <w:tab w:val="left" w:pos="1800"/>
        </w:tabs>
        <w:ind w:left="1800" w:hanging="1800"/>
        <w:jc w:val="both"/>
        <w:rPr>
          <w:sz w:val="24"/>
          <w:szCs w:val="24"/>
        </w:rPr>
      </w:pPr>
    </w:p>
    <w:p w:rsidR="002A5D7C" w:rsidRPr="00991B8A" w:rsidRDefault="002A5D7C" w:rsidP="002A5D7C">
      <w:pPr>
        <w:pStyle w:val="Nzov"/>
        <w:tabs>
          <w:tab w:val="left" w:pos="1800"/>
        </w:tabs>
        <w:ind w:left="2160" w:hanging="2160"/>
        <w:jc w:val="both"/>
        <w:rPr>
          <w:sz w:val="24"/>
          <w:szCs w:val="24"/>
        </w:rPr>
      </w:pPr>
      <w:r w:rsidRPr="00991B8A">
        <w:rPr>
          <w:sz w:val="24"/>
          <w:szCs w:val="24"/>
        </w:rPr>
        <w:t>Používané údaje:</w:t>
      </w:r>
      <w:r w:rsidR="00614432" w:rsidRPr="00991B8A">
        <w:rPr>
          <w:sz w:val="24"/>
          <w:szCs w:val="24"/>
        </w:rPr>
        <w:t xml:space="preserve"> </w:t>
      </w:r>
      <w:r w:rsidRPr="00991B8A">
        <w:rPr>
          <w:sz w:val="24"/>
          <w:szCs w:val="24"/>
        </w:rPr>
        <w:t xml:space="preserve"> - </w:t>
      </w:r>
      <w:r w:rsidRPr="00991B8A">
        <w:rPr>
          <w:sz w:val="24"/>
          <w:szCs w:val="24"/>
        </w:rPr>
        <w:tab/>
        <w:t>počty zamestnancov s mesačnou mzdou do</w:t>
      </w:r>
      <w:r w:rsidR="00614432" w:rsidRPr="00991B8A">
        <w:rPr>
          <w:sz w:val="24"/>
          <w:szCs w:val="24"/>
        </w:rPr>
        <w:t xml:space="preserve"> </w:t>
      </w:r>
      <w:r w:rsidR="00E80E64" w:rsidRPr="00991B8A">
        <w:rPr>
          <w:sz w:val="24"/>
          <w:szCs w:val="24"/>
        </w:rPr>
        <w:t>480 eur</w:t>
      </w:r>
      <w:r w:rsidRPr="00991B8A">
        <w:rPr>
          <w:sz w:val="24"/>
          <w:szCs w:val="24"/>
        </w:rPr>
        <w:t xml:space="preserve"> (zodpovedá hodinovej mzde do </w:t>
      </w:r>
      <w:r w:rsidR="00570365" w:rsidRPr="00991B8A">
        <w:rPr>
          <w:sz w:val="24"/>
          <w:szCs w:val="24"/>
        </w:rPr>
        <w:t xml:space="preserve">2,759 </w:t>
      </w:r>
      <w:r w:rsidRPr="00991B8A">
        <w:rPr>
          <w:sz w:val="24"/>
          <w:szCs w:val="24"/>
        </w:rPr>
        <w:t>eura na hodinu),</w:t>
      </w:r>
    </w:p>
    <w:p w:rsidR="002A5D7C" w:rsidRPr="00991B8A" w:rsidRDefault="002A5D7C" w:rsidP="002A5D7C">
      <w:pPr>
        <w:pStyle w:val="Nzov"/>
        <w:numPr>
          <w:ilvl w:val="0"/>
          <w:numId w:val="11"/>
        </w:numPr>
        <w:tabs>
          <w:tab w:val="left" w:pos="1800"/>
        </w:tabs>
        <w:jc w:val="both"/>
        <w:rPr>
          <w:sz w:val="24"/>
          <w:szCs w:val="24"/>
        </w:rPr>
      </w:pPr>
      <w:r w:rsidRPr="00991B8A">
        <w:rPr>
          <w:sz w:val="24"/>
          <w:szCs w:val="24"/>
        </w:rPr>
        <w:t>počty zamestnancov s mesačnou mzdou nad</w:t>
      </w:r>
      <w:r w:rsidR="00614432" w:rsidRPr="00991B8A">
        <w:rPr>
          <w:sz w:val="24"/>
          <w:szCs w:val="24"/>
        </w:rPr>
        <w:t xml:space="preserve"> </w:t>
      </w:r>
      <w:r w:rsidR="00E80E64" w:rsidRPr="00991B8A">
        <w:rPr>
          <w:sz w:val="24"/>
          <w:szCs w:val="24"/>
        </w:rPr>
        <w:t>480 eur</w:t>
      </w:r>
      <w:r w:rsidR="00A8533F" w:rsidRPr="00991B8A">
        <w:rPr>
          <w:sz w:val="24"/>
          <w:szCs w:val="24"/>
        </w:rPr>
        <w:t xml:space="preserve"> do</w:t>
      </w:r>
      <w:r w:rsidR="00614432" w:rsidRPr="00991B8A">
        <w:rPr>
          <w:sz w:val="24"/>
          <w:szCs w:val="24"/>
        </w:rPr>
        <w:t xml:space="preserve"> </w:t>
      </w:r>
      <w:r w:rsidR="00E80E64" w:rsidRPr="00991B8A">
        <w:rPr>
          <w:sz w:val="24"/>
          <w:szCs w:val="24"/>
        </w:rPr>
        <w:t>520 eur</w:t>
      </w:r>
      <w:r w:rsidR="00A8533F" w:rsidRPr="00991B8A">
        <w:rPr>
          <w:sz w:val="24"/>
          <w:szCs w:val="24"/>
        </w:rPr>
        <w:t xml:space="preserve"> mesačne</w:t>
      </w:r>
      <w:r w:rsidRPr="00991B8A">
        <w:rPr>
          <w:sz w:val="24"/>
          <w:szCs w:val="24"/>
        </w:rPr>
        <w:t>,</w:t>
      </w:r>
    </w:p>
    <w:p w:rsidR="002A5D7C" w:rsidRPr="00991B8A" w:rsidRDefault="002A5D7C" w:rsidP="002A5D7C">
      <w:pPr>
        <w:pStyle w:val="Nzov"/>
        <w:numPr>
          <w:ilvl w:val="0"/>
          <w:numId w:val="11"/>
        </w:numPr>
        <w:tabs>
          <w:tab w:val="left" w:pos="1800"/>
        </w:tabs>
        <w:jc w:val="both"/>
        <w:rPr>
          <w:sz w:val="24"/>
          <w:szCs w:val="24"/>
        </w:rPr>
      </w:pPr>
      <w:r w:rsidRPr="00991B8A">
        <w:rPr>
          <w:sz w:val="24"/>
          <w:szCs w:val="24"/>
        </w:rPr>
        <w:t>objem doplatkov do novej sumy</w:t>
      </w:r>
      <w:r w:rsidR="00614432" w:rsidRPr="00991B8A">
        <w:rPr>
          <w:sz w:val="24"/>
          <w:szCs w:val="24"/>
        </w:rPr>
        <w:t xml:space="preserve"> </w:t>
      </w:r>
      <w:r w:rsidR="00E80E64" w:rsidRPr="00991B8A">
        <w:rPr>
          <w:sz w:val="24"/>
          <w:szCs w:val="24"/>
        </w:rPr>
        <w:t>520 eur</w:t>
      </w:r>
      <w:r w:rsidR="00A8533F" w:rsidRPr="00991B8A">
        <w:rPr>
          <w:sz w:val="24"/>
          <w:szCs w:val="24"/>
        </w:rPr>
        <w:t xml:space="preserve"> </w:t>
      </w:r>
      <w:r w:rsidRPr="00991B8A">
        <w:rPr>
          <w:sz w:val="24"/>
          <w:szCs w:val="24"/>
        </w:rPr>
        <w:t>mesačne</w:t>
      </w:r>
      <w:r w:rsidR="00932A96" w:rsidRPr="00991B8A">
        <w:rPr>
          <w:sz w:val="24"/>
          <w:szCs w:val="24"/>
        </w:rPr>
        <w:t xml:space="preserve"> (zodpovedá hodinovej mzde </w:t>
      </w:r>
      <w:r w:rsidR="00E80E64" w:rsidRPr="00991B8A">
        <w:rPr>
          <w:sz w:val="24"/>
          <w:szCs w:val="24"/>
        </w:rPr>
        <w:t>2,989</w:t>
      </w:r>
      <w:r w:rsidR="00932A96" w:rsidRPr="00991B8A">
        <w:rPr>
          <w:sz w:val="24"/>
          <w:szCs w:val="24"/>
        </w:rPr>
        <w:t xml:space="preserve"> eura na hodinu)</w:t>
      </w:r>
      <w:r w:rsidRPr="00991B8A">
        <w:rPr>
          <w:sz w:val="24"/>
          <w:szCs w:val="24"/>
        </w:rPr>
        <w:t>.</w:t>
      </w:r>
    </w:p>
    <w:p w:rsidR="002A5D7C" w:rsidRPr="00991B8A" w:rsidRDefault="002A5D7C" w:rsidP="002A5D7C">
      <w:pPr>
        <w:pStyle w:val="Nzov"/>
        <w:tabs>
          <w:tab w:val="left" w:pos="1800"/>
        </w:tabs>
        <w:ind w:left="1800" w:hanging="1800"/>
        <w:jc w:val="both"/>
        <w:rPr>
          <w:sz w:val="24"/>
          <w:szCs w:val="24"/>
        </w:rPr>
      </w:pPr>
    </w:p>
    <w:p w:rsidR="002A5D7C" w:rsidRPr="00991B8A" w:rsidRDefault="002A5D7C" w:rsidP="002A5D7C">
      <w:pPr>
        <w:pStyle w:val="Nzov"/>
        <w:tabs>
          <w:tab w:val="left" w:pos="1800"/>
        </w:tabs>
        <w:ind w:left="2160" w:hanging="2160"/>
        <w:jc w:val="both"/>
        <w:rPr>
          <w:sz w:val="24"/>
          <w:szCs w:val="24"/>
        </w:rPr>
      </w:pPr>
      <w:r w:rsidRPr="00991B8A">
        <w:rPr>
          <w:sz w:val="24"/>
          <w:szCs w:val="24"/>
        </w:rPr>
        <w:t>Kritériá výberu:</w:t>
      </w:r>
      <w:r w:rsidRPr="00991B8A">
        <w:rPr>
          <w:sz w:val="24"/>
          <w:szCs w:val="24"/>
        </w:rPr>
        <w:tab/>
        <w:t>-</w:t>
      </w:r>
      <w:r w:rsidRPr="00991B8A">
        <w:rPr>
          <w:sz w:val="24"/>
          <w:szCs w:val="24"/>
        </w:rPr>
        <w:tab/>
      </w:r>
      <w:r w:rsidR="004850E3" w:rsidRPr="00991B8A">
        <w:rPr>
          <w:sz w:val="24"/>
          <w:szCs w:val="24"/>
        </w:rPr>
        <w:t xml:space="preserve">zamestnanci v pracovnom pomere a v štátnozamestnaneckom pomere k </w:t>
      </w:r>
      <w:r w:rsidRPr="00991B8A">
        <w:rPr>
          <w:sz w:val="24"/>
          <w:szCs w:val="24"/>
        </w:rPr>
        <w:t>zamestnávateľo</w:t>
      </w:r>
      <w:r w:rsidR="004850E3" w:rsidRPr="00991B8A">
        <w:rPr>
          <w:sz w:val="24"/>
          <w:szCs w:val="24"/>
        </w:rPr>
        <w:t>m</w:t>
      </w:r>
      <w:r w:rsidRPr="00991B8A">
        <w:rPr>
          <w:sz w:val="24"/>
          <w:szCs w:val="24"/>
        </w:rPr>
        <w:t xml:space="preserve"> tzv. nepodnikateľskej sféry</w:t>
      </w:r>
      <w:r w:rsidR="00415529" w:rsidRPr="00991B8A">
        <w:rPr>
          <w:sz w:val="24"/>
          <w:szCs w:val="24"/>
        </w:rPr>
        <w:t xml:space="preserve"> </w:t>
      </w:r>
      <w:r w:rsidR="004850E3" w:rsidRPr="00991B8A">
        <w:rPr>
          <w:sz w:val="24"/>
          <w:szCs w:val="24"/>
        </w:rPr>
        <w:t xml:space="preserve">mimo </w:t>
      </w:r>
      <w:r w:rsidRPr="00991B8A">
        <w:rPr>
          <w:sz w:val="24"/>
          <w:szCs w:val="24"/>
        </w:rPr>
        <w:t>príslušní</w:t>
      </w:r>
      <w:r w:rsidR="004850E3" w:rsidRPr="00991B8A">
        <w:rPr>
          <w:sz w:val="24"/>
          <w:szCs w:val="24"/>
        </w:rPr>
        <w:t>kov</w:t>
      </w:r>
      <w:r w:rsidRPr="00991B8A">
        <w:rPr>
          <w:sz w:val="24"/>
          <w:szCs w:val="24"/>
        </w:rPr>
        <w:t xml:space="preserve"> ozbrojených zložiek,</w:t>
      </w:r>
      <w:r w:rsidR="008F54CA" w:rsidRPr="00991B8A">
        <w:rPr>
          <w:sz w:val="24"/>
          <w:szCs w:val="24"/>
        </w:rPr>
        <w:t xml:space="preserve"> ústavn</w:t>
      </w:r>
      <w:r w:rsidR="004850E3" w:rsidRPr="00991B8A">
        <w:rPr>
          <w:sz w:val="24"/>
          <w:szCs w:val="24"/>
        </w:rPr>
        <w:t>ých</w:t>
      </w:r>
      <w:r w:rsidR="008F54CA" w:rsidRPr="00991B8A">
        <w:rPr>
          <w:sz w:val="24"/>
          <w:szCs w:val="24"/>
        </w:rPr>
        <w:t xml:space="preserve"> činite</w:t>
      </w:r>
      <w:r w:rsidR="004850E3" w:rsidRPr="00991B8A">
        <w:rPr>
          <w:sz w:val="24"/>
          <w:szCs w:val="24"/>
        </w:rPr>
        <w:t>ľov</w:t>
      </w:r>
      <w:r w:rsidR="008F54CA" w:rsidRPr="00991B8A">
        <w:rPr>
          <w:sz w:val="24"/>
          <w:szCs w:val="24"/>
        </w:rPr>
        <w:t xml:space="preserve">, sudcov </w:t>
      </w:r>
      <w:r w:rsidR="004850E3" w:rsidRPr="00991B8A">
        <w:rPr>
          <w:sz w:val="24"/>
          <w:szCs w:val="24"/>
        </w:rPr>
        <w:t>a</w:t>
      </w:r>
      <w:r w:rsidR="00705163" w:rsidRPr="00991B8A">
        <w:rPr>
          <w:sz w:val="24"/>
          <w:szCs w:val="24"/>
        </w:rPr>
        <w:t> </w:t>
      </w:r>
      <w:r w:rsidR="008F54CA" w:rsidRPr="00991B8A">
        <w:rPr>
          <w:sz w:val="24"/>
          <w:szCs w:val="24"/>
        </w:rPr>
        <w:t>prokurátor</w:t>
      </w:r>
      <w:r w:rsidR="004850E3" w:rsidRPr="00991B8A">
        <w:rPr>
          <w:sz w:val="24"/>
          <w:szCs w:val="24"/>
        </w:rPr>
        <w:t>ov</w:t>
      </w:r>
      <w:r w:rsidR="00705163" w:rsidRPr="00991B8A">
        <w:rPr>
          <w:sz w:val="24"/>
          <w:szCs w:val="24"/>
        </w:rPr>
        <w:t>,</w:t>
      </w:r>
      <w:r w:rsidRPr="00991B8A">
        <w:rPr>
          <w:sz w:val="24"/>
          <w:szCs w:val="24"/>
        </w:rPr>
        <w:t xml:space="preserve"> </w:t>
      </w:r>
    </w:p>
    <w:p w:rsidR="002A5D7C" w:rsidRPr="00991B8A" w:rsidRDefault="00CD1900" w:rsidP="002A5D7C">
      <w:pPr>
        <w:pStyle w:val="Nzov"/>
        <w:numPr>
          <w:ilvl w:val="0"/>
          <w:numId w:val="11"/>
        </w:numPr>
        <w:tabs>
          <w:tab w:val="left" w:pos="1800"/>
        </w:tabs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v záujme neskreslenia výsledkov boli do výberovej vzorky zahrnutí </w:t>
      </w:r>
      <w:r w:rsidR="002A5D7C" w:rsidRPr="00991B8A">
        <w:rPr>
          <w:sz w:val="24"/>
          <w:szCs w:val="24"/>
        </w:rPr>
        <w:t xml:space="preserve">len zamestnanci na plný úväzok, </w:t>
      </w:r>
    </w:p>
    <w:p w:rsidR="002A5D7C" w:rsidRPr="00991B8A" w:rsidRDefault="00CD1900" w:rsidP="002A5D7C">
      <w:pPr>
        <w:pStyle w:val="Nzov"/>
        <w:numPr>
          <w:ilvl w:val="0"/>
          <w:numId w:val="11"/>
        </w:numPr>
        <w:tabs>
          <w:tab w:val="left" w:pos="1800"/>
        </w:tabs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výsledky </w:t>
      </w:r>
      <w:r w:rsidR="002A5D7C" w:rsidRPr="00991B8A">
        <w:rPr>
          <w:sz w:val="24"/>
          <w:szCs w:val="24"/>
        </w:rPr>
        <w:t xml:space="preserve">za výberovú vzorku </w:t>
      </w:r>
      <w:r w:rsidRPr="00991B8A">
        <w:rPr>
          <w:sz w:val="24"/>
          <w:szCs w:val="24"/>
        </w:rPr>
        <w:t xml:space="preserve">boli dopočítané </w:t>
      </w:r>
      <w:r w:rsidR="002A5D7C" w:rsidRPr="00991B8A">
        <w:rPr>
          <w:sz w:val="24"/>
          <w:szCs w:val="24"/>
        </w:rPr>
        <w:t xml:space="preserve">na </w:t>
      </w:r>
      <w:r w:rsidR="00BC4DCD" w:rsidRPr="00991B8A">
        <w:rPr>
          <w:sz w:val="24"/>
          <w:szCs w:val="24"/>
        </w:rPr>
        <w:t xml:space="preserve">celkový </w:t>
      </w:r>
      <w:r w:rsidR="002A5D7C" w:rsidRPr="00991B8A">
        <w:rPr>
          <w:sz w:val="24"/>
          <w:szCs w:val="24"/>
        </w:rPr>
        <w:t>počet zamestnancov nepodnikateľskej sféry (spolu cca</w:t>
      </w:r>
      <w:r w:rsidR="00614432" w:rsidRPr="00991B8A">
        <w:rPr>
          <w:sz w:val="24"/>
          <w:szCs w:val="24"/>
        </w:rPr>
        <w:t xml:space="preserve"> </w:t>
      </w:r>
      <w:r w:rsidR="00570365" w:rsidRPr="00991B8A">
        <w:rPr>
          <w:sz w:val="24"/>
          <w:szCs w:val="24"/>
        </w:rPr>
        <w:t xml:space="preserve">286,7 </w:t>
      </w:r>
      <w:r w:rsidR="002A5D7C" w:rsidRPr="00991B8A">
        <w:rPr>
          <w:sz w:val="24"/>
          <w:szCs w:val="24"/>
        </w:rPr>
        <w:t>tis. osôb).</w:t>
      </w:r>
    </w:p>
    <w:p w:rsidR="002A5D7C" w:rsidRPr="00991B8A" w:rsidRDefault="002A5D7C" w:rsidP="002A5D7C">
      <w:pPr>
        <w:pStyle w:val="Nzov"/>
        <w:tabs>
          <w:tab w:val="left" w:pos="1800"/>
        </w:tabs>
        <w:jc w:val="both"/>
        <w:rPr>
          <w:sz w:val="24"/>
          <w:szCs w:val="24"/>
        </w:rPr>
      </w:pPr>
    </w:p>
    <w:p w:rsidR="002A5D7C" w:rsidRPr="00991B8A" w:rsidRDefault="002A5D7C" w:rsidP="002A5D7C">
      <w:pPr>
        <w:pStyle w:val="Nzov"/>
        <w:numPr>
          <w:ilvl w:val="0"/>
          <w:numId w:val="12"/>
        </w:numPr>
        <w:tabs>
          <w:tab w:val="left" w:pos="1800"/>
        </w:tabs>
        <w:jc w:val="both"/>
        <w:rPr>
          <w:b/>
          <w:sz w:val="24"/>
          <w:szCs w:val="24"/>
        </w:rPr>
      </w:pPr>
      <w:r w:rsidRPr="00991B8A">
        <w:rPr>
          <w:b/>
          <w:sz w:val="24"/>
          <w:szCs w:val="24"/>
        </w:rPr>
        <w:t>Zvýšenie výdavkov na doplatky do novej sumy minimálnej mzdy vrátane zvýšenia odvodov do poistných fondov</w:t>
      </w:r>
    </w:p>
    <w:p w:rsidR="002A5D7C" w:rsidRPr="00991B8A" w:rsidRDefault="002A5D7C" w:rsidP="002A5D7C">
      <w:pPr>
        <w:pStyle w:val="Nzov"/>
        <w:tabs>
          <w:tab w:val="left" w:pos="1800"/>
        </w:tabs>
        <w:ind w:left="2160" w:hanging="2160"/>
        <w:jc w:val="both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2268"/>
        <w:gridCol w:w="2268"/>
        <w:tblGridChange w:id="4">
          <w:tblGrid>
            <w:gridCol w:w="2835"/>
            <w:gridCol w:w="1701"/>
            <w:gridCol w:w="2268"/>
            <w:gridCol w:w="2268"/>
          </w:tblGrid>
        </w:tblGridChange>
      </w:tblGrid>
      <w:tr w:rsidR="003E3252" w:rsidRPr="00991B8A" w:rsidTr="0063665B">
        <w:tc>
          <w:tcPr>
            <w:tcW w:w="2835" w:type="dxa"/>
            <w:vMerge w:val="restart"/>
            <w:shd w:val="clear" w:color="auto" w:fill="auto"/>
          </w:tcPr>
          <w:p w:rsidR="003E3252" w:rsidRPr="00991B8A" w:rsidRDefault="003E3252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  <w:r w:rsidRPr="00991B8A">
              <w:rPr>
                <w:sz w:val="24"/>
                <w:szCs w:val="24"/>
                <w:lang w:bidi="bn-BD"/>
              </w:rPr>
              <w:t>Mzdové pásmo</w:t>
            </w:r>
          </w:p>
          <w:p w:rsidR="003E3252" w:rsidRPr="00991B8A" w:rsidRDefault="003E3252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  <w:r w:rsidRPr="00991B8A">
              <w:rPr>
                <w:sz w:val="24"/>
                <w:szCs w:val="24"/>
                <w:lang w:bidi="bn-BD"/>
              </w:rPr>
              <w:t>hrubej priemernej</w:t>
            </w:r>
          </w:p>
          <w:p w:rsidR="003E3252" w:rsidRPr="00991B8A" w:rsidRDefault="003E3252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  <w:r w:rsidRPr="00991B8A">
              <w:rPr>
                <w:sz w:val="24"/>
                <w:szCs w:val="24"/>
                <w:lang w:bidi="bn-BD"/>
              </w:rPr>
              <w:t>mesačnej mzdy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3E3252" w:rsidRPr="00991B8A" w:rsidRDefault="003E3252" w:rsidP="0063665B">
            <w:pPr>
              <w:pStyle w:val="Nzov"/>
              <w:tabs>
                <w:tab w:val="left" w:pos="1800"/>
              </w:tabs>
              <w:rPr>
                <w:b/>
                <w:sz w:val="24"/>
                <w:szCs w:val="24"/>
                <w:lang w:bidi="bn-BD"/>
              </w:rPr>
            </w:pPr>
            <w:r w:rsidRPr="00991B8A">
              <w:rPr>
                <w:b/>
                <w:bCs/>
                <w:sz w:val="24"/>
                <w:szCs w:val="24"/>
                <w:lang w:bidi="bn-BD"/>
              </w:rPr>
              <w:t>Nepodnikateľská sféra</w:t>
            </w:r>
          </w:p>
        </w:tc>
      </w:tr>
      <w:tr w:rsidR="003E3252" w:rsidRPr="00991B8A" w:rsidTr="0063665B">
        <w:tc>
          <w:tcPr>
            <w:tcW w:w="2835" w:type="dxa"/>
            <w:vMerge/>
            <w:shd w:val="clear" w:color="auto" w:fill="auto"/>
          </w:tcPr>
          <w:p w:rsidR="003E3252" w:rsidRPr="00991B8A" w:rsidRDefault="003E3252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3252" w:rsidRPr="00991B8A" w:rsidRDefault="003E3252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  <w:r w:rsidRPr="00991B8A">
              <w:rPr>
                <w:bCs/>
                <w:sz w:val="24"/>
                <w:szCs w:val="24"/>
                <w:lang w:bidi="bn-BD"/>
              </w:rPr>
              <w:t>podiely v 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252" w:rsidRPr="00991B8A" w:rsidRDefault="003E3252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  <w:r w:rsidRPr="00991B8A">
              <w:rPr>
                <w:bCs/>
                <w:sz w:val="24"/>
                <w:szCs w:val="24"/>
                <w:lang w:bidi="bn-BD"/>
              </w:rPr>
              <w:t xml:space="preserve">počet zamestnancov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252" w:rsidRPr="00991B8A" w:rsidRDefault="003E3252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  <w:r w:rsidRPr="00991B8A">
              <w:rPr>
                <w:bCs/>
                <w:sz w:val="24"/>
                <w:szCs w:val="24"/>
                <w:lang w:bidi="bn-BD"/>
              </w:rPr>
              <w:t>zvýšenie objemu doplatkov v eur/mes.</w:t>
            </w:r>
          </w:p>
        </w:tc>
      </w:tr>
      <w:tr w:rsidR="00087F8E" w:rsidRPr="00991B8A" w:rsidTr="00087F8E">
        <w:tc>
          <w:tcPr>
            <w:tcW w:w="2835" w:type="dxa"/>
            <w:shd w:val="clear" w:color="auto" w:fill="auto"/>
          </w:tcPr>
          <w:p w:rsidR="00570365" w:rsidRPr="00991B8A" w:rsidRDefault="00570365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  <w:r w:rsidRPr="00991B8A">
              <w:rPr>
                <w:sz w:val="24"/>
                <w:szCs w:val="24"/>
                <w:lang w:bidi="bn-BD"/>
              </w:rPr>
              <w:t>do 480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365" w:rsidRPr="00991B8A" w:rsidRDefault="00570365" w:rsidP="00991B8A">
            <w:pPr>
              <w:jc w:val="center"/>
              <w:rPr>
                <w:lang w:bidi="bn-BD"/>
              </w:rPr>
            </w:pPr>
            <w:r w:rsidRPr="00991B8A">
              <w:t>3,343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0365" w:rsidRPr="00991B8A" w:rsidRDefault="00570365" w:rsidP="00991B8A">
            <w:pPr>
              <w:jc w:val="center"/>
              <w:rPr>
                <w:lang w:bidi="bn-BD"/>
              </w:rPr>
            </w:pPr>
            <w:r w:rsidRPr="00991B8A">
              <w:t>9 586,0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0365" w:rsidRPr="00991B8A" w:rsidRDefault="00570365" w:rsidP="00991B8A">
            <w:pPr>
              <w:jc w:val="center"/>
              <w:rPr>
                <w:lang w:bidi="bn-BD"/>
              </w:rPr>
            </w:pPr>
            <w:r w:rsidRPr="00991B8A">
              <w:t>383 440,00</w:t>
            </w:r>
          </w:p>
        </w:tc>
      </w:tr>
      <w:tr w:rsidR="00087F8E" w:rsidRPr="00991B8A" w:rsidTr="00087F8E">
        <w:tc>
          <w:tcPr>
            <w:tcW w:w="2835" w:type="dxa"/>
            <w:shd w:val="clear" w:color="auto" w:fill="auto"/>
          </w:tcPr>
          <w:p w:rsidR="00570365" w:rsidRPr="00991B8A" w:rsidRDefault="00570365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  <w:r w:rsidRPr="00991B8A">
              <w:rPr>
                <w:sz w:val="24"/>
                <w:szCs w:val="24"/>
                <w:lang w:bidi="bn-BD"/>
              </w:rPr>
              <w:t>nad 480 eur do  520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365" w:rsidRPr="00991B8A" w:rsidRDefault="00570365" w:rsidP="00991B8A">
            <w:pPr>
              <w:jc w:val="center"/>
              <w:rPr>
                <w:lang w:bidi="bn-BD"/>
              </w:rPr>
            </w:pPr>
            <w:r w:rsidRPr="00991B8A">
              <w:t>6,894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0365" w:rsidRPr="00991B8A" w:rsidRDefault="00570365" w:rsidP="00991B8A">
            <w:pPr>
              <w:jc w:val="center"/>
              <w:rPr>
                <w:lang w:bidi="bn-BD"/>
              </w:rPr>
            </w:pPr>
            <w:r w:rsidRPr="00991B8A">
              <w:t>19 768,1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0365" w:rsidRPr="00991B8A" w:rsidRDefault="00570365" w:rsidP="00991B8A">
            <w:pPr>
              <w:jc w:val="center"/>
              <w:rPr>
                <w:lang w:bidi="bn-BD"/>
              </w:rPr>
            </w:pPr>
            <w:r w:rsidRPr="00991B8A">
              <w:t>527 479,21</w:t>
            </w:r>
          </w:p>
        </w:tc>
      </w:tr>
      <w:tr w:rsidR="00087F8E" w:rsidRPr="00991B8A" w:rsidTr="00087F8E">
        <w:trPr>
          <w:trHeight w:val="270"/>
        </w:trPr>
        <w:tc>
          <w:tcPr>
            <w:tcW w:w="2835" w:type="dxa"/>
            <w:shd w:val="clear" w:color="auto" w:fill="FFFFCC"/>
            <w:noWrap/>
            <w:vAlign w:val="center"/>
          </w:tcPr>
          <w:p w:rsidR="00F44F6E" w:rsidRPr="00991B8A" w:rsidRDefault="00F44F6E" w:rsidP="00614432">
            <w:pPr>
              <w:jc w:val="center"/>
              <w:rPr>
                <w:b/>
                <w:lang w:bidi="bn-BD"/>
              </w:rPr>
            </w:pPr>
            <w:r w:rsidRPr="00991B8A">
              <w:rPr>
                <w:b/>
                <w:lang w:bidi="bn-BD"/>
              </w:rPr>
              <w:t>Počet zamestnancov s doplatkom:</w:t>
            </w:r>
          </w:p>
        </w:tc>
        <w:tc>
          <w:tcPr>
            <w:tcW w:w="1701" w:type="dxa"/>
            <w:shd w:val="clear" w:color="auto" w:fill="FFFFCC"/>
            <w:noWrap/>
            <w:vAlign w:val="center"/>
          </w:tcPr>
          <w:p w:rsidR="00F44F6E" w:rsidRPr="00991B8A" w:rsidRDefault="00817E68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29 354,1</w:t>
            </w:r>
          </w:p>
        </w:tc>
        <w:tc>
          <w:tcPr>
            <w:tcW w:w="2268" w:type="dxa"/>
            <w:shd w:val="clear" w:color="auto" w:fill="FFFFCC"/>
            <w:noWrap/>
            <w:vAlign w:val="center"/>
          </w:tcPr>
          <w:p w:rsidR="00F44F6E" w:rsidRPr="00991B8A" w:rsidRDefault="00F44F6E" w:rsidP="00991B8A">
            <w:pPr>
              <w:jc w:val="center"/>
              <w:rPr>
                <w:b/>
                <w:bCs/>
                <w:lang w:bidi="bn-BD"/>
              </w:rPr>
            </w:pPr>
            <w:r w:rsidRPr="00991B8A">
              <w:rPr>
                <w:b/>
                <w:bCs/>
                <w:lang w:bidi="bn-BD"/>
              </w:rPr>
              <w:t>Zvýšenie objemu doplatkov spolu: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44F6E" w:rsidRPr="00991B8A" w:rsidRDefault="00817E68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910 919,21</w:t>
            </w:r>
          </w:p>
        </w:tc>
      </w:tr>
    </w:tbl>
    <w:p w:rsidR="002A5D7C" w:rsidRPr="00991B8A" w:rsidRDefault="002A5D7C" w:rsidP="002A5D7C">
      <w:pPr>
        <w:pStyle w:val="Nzov"/>
        <w:tabs>
          <w:tab w:val="left" w:pos="1800"/>
        </w:tabs>
        <w:ind w:left="2160" w:hanging="2160"/>
        <w:jc w:val="both"/>
        <w:rPr>
          <w:sz w:val="24"/>
          <w:szCs w:val="24"/>
        </w:rPr>
      </w:pPr>
    </w:p>
    <w:p w:rsidR="002A5D7C" w:rsidRPr="00991B8A" w:rsidRDefault="00B461DD" w:rsidP="00BB685C">
      <w:pPr>
        <w:pStyle w:val="Nzov"/>
        <w:ind w:firstLine="851"/>
        <w:jc w:val="both"/>
        <w:rPr>
          <w:sz w:val="24"/>
          <w:szCs w:val="24"/>
        </w:rPr>
      </w:pPr>
      <w:r w:rsidRPr="00991B8A">
        <w:rPr>
          <w:sz w:val="24"/>
          <w:szCs w:val="24"/>
        </w:rPr>
        <w:t>Kvalifikovaný odhad c</w:t>
      </w:r>
      <w:r w:rsidR="002A5D7C" w:rsidRPr="00991B8A">
        <w:rPr>
          <w:sz w:val="24"/>
          <w:szCs w:val="24"/>
        </w:rPr>
        <w:t>elkové</w:t>
      </w:r>
      <w:r w:rsidRPr="00991B8A">
        <w:rPr>
          <w:sz w:val="24"/>
          <w:szCs w:val="24"/>
        </w:rPr>
        <w:t>ho</w:t>
      </w:r>
      <w:r w:rsidR="002A5D7C" w:rsidRPr="00991B8A">
        <w:rPr>
          <w:sz w:val="24"/>
          <w:szCs w:val="24"/>
        </w:rPr>
        <w:t xml:space="preserve"> zvýšeni</w:t>
      </w:r>
      <w:r w:rsidRPr="00991B8A">
        <w:rPr>
          <w:sz w:val="24"/>
          <w:szCs w:val="24"/>
        </w:rPr>
        <w:t>a</w:t>
      </w:r>
      <w:r w:rsidR="002A5D7C" w:rsidRPr="00991B8A">
        <w:rPr>
          <w:sz w:val="24"/>
          <w:szCs w:val="24"/>
        </w:rPr>
        <w:t xml:space="preserve"> potreby na doplatky po zvýšení sumy minimálnej mzdy predstavuje úhrn:</w:t>
      </w:r>
    </w:p>
    <w:p w:rsidR="002A5D7C" w:rsidRPr="00991B8A" w:rsidRDefault="002A5D7C" w:rsidP="00A0360F">
      <w:pPr>
        <w:pStyle w:val="Nzov"/>
        <w:numPr>
          <w:ilvl w:val="0"/>
          <w:numId w:val="11"/>
        </w:numPr>
        <w:tabs>
          <w:tab w:val="clear" w:pos="2160"/>
        </w:tabs>
        <w:ind w:left="714" w:hanging="357"/>
        <w:jc w:val="both"/>
        <w:rPr>
          <w:sz w:val="24"/>
          <w:szCs w:val="24"/>
        </w:rPr>
      </w:pPr>
      <w:r w:rsidRPr="00991B8A">
        <w:rPr>
          <w:b/>
          <w:bCs/>
          <w:sz w:val="24"/>
          <w:szCs w:val="24"/>
        </w:rPr>
        <w:t xml:space="preserve">zvýšenia doplatkov v sume </w:t>
      </w:r>
      <w:r w:rsidR="00DC0C92" w:rsidRPr="00991B8A">
        <w:rPr>
          <w:b/>
          <w:bCs/>
          <w:sz w:val="24"/>
          <w:szCs w:val="24"/>
        </w:rPr>
        <w:t>40 eur</w:t>
      </w:r>
      <w:r w:rsidR="005B3198" w:rsidRPr="00991B8A">
        <w:rPr>
          <w:b/>
          <w:bCs/>
          <w:sz w:val="24"/>
          <w:szCs w:val="24"/>
        </w:rPr>
        <w:t xml:space="preserve"> </w:t>
      </w:r>
      <w:r w:rsidRPr="00991B8A">
        <w:rPr>
          <w:b/>
          <w:bCs/>
          <w:sz w:val="24"/>
          <w:szCs w:val="24"/>
        </w:rPr>
        <w:t>mesačne</w:t>
      </w:r>
      <w:r w:rsidRPr="00991B8A">
        <w:rPr>
          <w:sz w:val="24"/>
          <w:szCs w:val="24"/>
        </w:rPr>
        <w:t xml:space="preserve"> pre </w:t>
      </w:r>
      <w:r w:rsidR="00B83E6A" w:rsidRPr="00991B8A">
        <w:rPr>
          <w:sz w:val="24"/>
          <w:szCs w:val="24"/>
        </w:rPr>
        <w:t xml:space="preserve">cca </w:t>
      </w:r>
      <w:r w:rsidR="00DC0C92" w:rsidRPr="00991B8A">
        <w:rPr>
          <w:sz w:val="24"/>
          <w:szCs w:val="24"/>
        </w:rPr>
        <w:t xml:space="preserve">9,6 </w:t>
      </w:r>
      <w:r w:rsidR="00B83E6A" w:rsidRPr="00991B8A">
        <w:rPr>
          <w:sz w:val="24"/>
          <w:szCs w:val="24"/>
        </w:rPr>
        <w:t xml:space="preserve">tis. </w:t>
      </w:r>
      <w:r w:rsidRPr="00991B8A">
        <w:rPr>
          <w:sz w:val="24"/>
          <w:szCs w:val="24"/>
        </w:rPr>
        <w:t xml:space="preserve">zamestnancov, </w:t>
      </w:r>
      <w:r w:rsidR="00EA284F" w:rsidRPr="00991B8A">
        <w:rPr>
          <w:sz w:val="24"/>
          <w:szCs w:val="24"/>
        </w:rPr>
        <w:t xml:space="preserve">spolu </w:t>
      </w:r>
      <w:r w:rsidR="000814A7" w:rsidRPr="00991B8A">
        <w:rPr>
          <w:sz w:val="24"/>
          <w:szCs w:val="24"/>
        </w:rPr>
        <w:t> </w:t>
      </w:r>
      <w:r w:rsidR="00DC0C92" w:rsidRPr="00991B8A">
        <w:rPr>
          <w:sz w:val="24"/>
          <w:szCs w:val="24"/>
        </w:rPr>
        <w:t>383 440</w:t>
      </w:r>
      <w:r w:rsidR="00932A96" w:rsidRPr="00991B8A">
        <w:rPr>
          <w:sz w:val="24"/>
          <w:szCs w:val="24"/>
        </w:rPr>
        <w:t>,-</w:t>
      </w:r>
      <w:r w:rsidR="000814A7" w:rsidRPr="00991B8A">
        <w:rPr>
          <w:sz w:val="24"/>
          <w:szCs w:val="24"/>
        </w:rPr>
        <w:t xml:space="preserve"> </w:t>
      </w:r>
      <w:r w:rsidR="00B83E6A" w:rsidRPr="00991B8A">
        <w:rPr>
          <w:sz w:val="24"/>
          <w:szCs w:val="24"/>
        </w:rPr>
        <w:t>eur</w:t>
      </w:r>
      <w:r w:rsidR="00EA284F" w:rsidRPr="00991B8A">
        <w:rPr>
          <w:sz w:val="24"/>
          <w:szCs w:val="24"/>
        </w:rPr>
        <w:t xml:space="preserve"> </w:t>
      </w:r>
      <w:r w:rsidRPr="00991B8A">
        <w:rPr>
          <w:sz w:val="24"/>
          <w:szCs w:val="24"/>
        </w:rPr>
        <w:t>(</w:t>
      </w:r>
      <w:r w:rsidR="00DC0C92" w:rsidRPr="00991B8A">
        <w:rPr>
          <w:sz w:val="24"/>
          <w:szCs w:val="24"/>
        </w:rPr>
        <w:t>9 586</w:t>
      </w:r>
      <w:r w:rsidR="000814A7" w:rsidRPr="00991B8A">
        <w:rPr>
          <w:sz w:val="24"/>
          <w:szCs w:val="24"/>
        </w:rPr>
        <w:t xml:space="preserve">,0 </w:t>
      </w:r>
      <w:r w:rsidRPr="00991B8A">
        <w:rPr>
          <w:sz w:val="24"/>
          <w:szCs w:val="24"/>
        </w:rPr>
        <w:t xml:space="preserve">osôb x </w:t>
      </w:r>
      <w:r w:rsidR="00DC0C92" w:rsidRPr="00991B8A">
        <w:rPr>
          <w:sz w:val="24"/>
          <w:szCs w:val="24"/>
        </w:rPr>
        <w:t>40 eur</w:t>
      </w:r>
      <w:r w:rsidR="005B3198" w:rsidRPr="00991B8A">
        <w:rPr>
          <w:sz w:val="24"/>
          <w:szCs w:val="24"/>
        </w:rPr>
        <w:t xml:space="preserve"> </w:t>
      </w:r>
      <w:r w:rsidRPr="00991B8A">
        <w:rPr>
          <w:sz w:val="24"/>
          <w:szCs w:val="24"/>
        </w:rPr>
        <w:t xml:space="preserve">= </w:t>
      </w:r>
      <w:r w:rsidR="000814A7" w:rsidRPr="00991B8A">
        <w:rPr>
          <w:sz w:val="24"/>
          <w:szCs w:val="24"/>
        </w:rPr>
        <w:t> </w:t>
      </w:r>
      <w:r w:rsidR="00DC0C92" w:rsidRPr="00991B8A">
        <w:rPr>
          <w:sz w:val="24"/>
          <w:szCs w:val="24"/>
        </w:rPr>
        <w:t>383 440</w:t>
      </w:r>
      <w:r w:rsidR="00932A96" w:rsidRPr="00991B8A">
        <w:rPr>
          <w:sz w:val="24"/>
          <w:szCs w:val="24"/>
        </w:rPr>
        <w:t xml:space="preserve">,00 </w:t>
      </w:r>
      <w:r w:rsidRPr="00991B8A">
        <w:rPr>
          <w:sz w:val="24"/>
          <w:szCs w:val="24"/>
        </w:rPr>
        <w:t>eur), a</w:t>
      </w:r>
    </w:p>
    <w:p w:rsidR="002A5D7C" w:rsidRPr="00991B8A" w:rsidRDefault="002A5D7C" w:rsidP="00A0360F">
      <w:pPr>
        <w:pStyle w:val="Nzov"/>
        <w:numPr>
          <w:ilvl w:val="0"/>
          <w:numId w:val="11"/>
        </w:numPr>
        <w:tabs>
          <w:tab w:val="clear" w:pos="2160"/>
        </w:tabs>
        <w:ind w:left="714" w:hanging="357"/>
        <w:jc w:val="both"/>
        <w:rPr>
          <w:sz w:val="24"/>
          <w:szCs w:val="24"/>
        </w:rPr>
      </w:pPr>
      <w:r w:rsidRPr="00991B8A">
        <w:rPr>
          <w:b/>
          <w:bCs/>
          <w:sz w:val="24"/>
          <w:szCs w:val="24"/>
        </w:rPr>
        <w:t>nových doplatkov</w:t>
      </w:r>
      <w:r w:rsidRPr="00991B8A">
        <w:rPr>
          <w:sz w:val="24"/>
          <w:szCs w:val="24"/>
        </w:rPr>
        <w:t xml:space="preserve"> u</w:t>
      </w:r>
      <w:r w:rsidR="00B83E6A" w:rsidRPr="00991B8A">
        <w:rPr>
          <w:sz w:val="24"/>
          <w:szCs w:val="24"/>
        </w:rPr>
        <w:t xml:space="preserve"> cca </w:t>
      </w:r>
      <w:r w:rsidR="00DC0C92" w:rsidRPr="00991B8A">
        <w:rPr>
          <w:sz w:val="24"/>
          <w:szCs w:val="24"/>
        </w:rPr>
        <w:t xml:space="preserve">19,8 </w:t>
      </w:r>
      <w:r w:rsidR="00B83E6A" w:rsidRPr="00991B8A">
        <w:rPr>
          <w:sz w:val="24"/>
          <w:szCs w:val="24"/>
        </w:rPr>
        <w:t>tis</w:t>
      </w:r>
      <w:r w:rsidR="000814A7" w:rsidRPr="00991B8A">
        <w:rPr>
          <w:sz w:val="24"/>
          <w:szCs w:val="24"/>
        </w:rPr>
        <w:t>.</w:t>
      </w:r>
      <w:r w:rsidR="00B83E6A" w:rsidRPr="00991B8A">
        <w:rPr>
          <w:sz w:val="24"/>
          <w:szCs w:val="24"/>
        </w:rPr>
        <w:t xml:space="preserve"> </w:t>
      </w:r>
      <w:r w:rsidRPr="00991B8A">
        <w:rPr>
          <w:sz w:val="24"/>
          <w:szCs w:val="24"/>
        </w:rPr>
        <w:t xml:space="preserve">zamestnancov v pásme medzi </w:t>
      </w:r>
      <w:r w:rsidR="00E80E64" w:rsidRPr="00991B8A">
        <w:rPr>
          <w:sz w:val="24"/>
          <w:szCs w:val="24"/>
        </w:rPr>
        <w:t>480 eur</w:t>
      </w:r>
      <w:r w:rsidR="001B699C" w:rsidRPr="00991B8A">
        <w:rPr>
          <w:sz w:val="24"/>
          <w:szCs w:val="24"/>
        </w:rPr>
        <w:t>/mes. a</w:t>
      </w:r>
      <w:r w:rsidR="00917C8A" w:rsidRPr="00991B8A">
        <w:rPr>
          <w:sz w:val="24"/>
          <w:szCs w:val="24"/>
        </w:rPr>
        <w:t>ž</w:t>
      </w:r>
      <w:r w:rsidR="001B699C" w:rsidRPr="00991B8A">
        <w:rPr>
          <w:sz w:val="24"/>
          <w:szCs w:val="24"/>
        </w:rPr>
        <w:t> </w:t>
      </w:r>
      <w:r w:rsidR="00E80E64" w:rsidRPr="00991B8A">
        <w:rPr>
          <w:sz w:val="24"/>
          <w:szCs w:val="24"/>
        </w:rPr>
        <w:t>520 eur</w:t>
      </w:r>
      <w:r w:rsidR="001B699C" w:rsidRPr="00991B8A">
        <w:rPr>
          <w:sz w:val="24"/>
          <w:szCs w:val="24"/>
        </w:rPr>
        <w:t>/mes.</w:t>
      </w:r>
      <w:r w:rsidR="0038274D" w:rsidRPr="00991B8A">
        <w:rPr>
          <w:sz w:val="24"/>
          <w:szCs w:val="24"/>
        </w:rPr>
        <w:t>, ktorých priemerný plat predstavoval cca 493,32 eura mesačne (zvýšenie o cca 26,86 eura mesačne), spolu</w:t>
      </w:r>
      <w:r w:rsidR="00C10E18" w:rsidRPr="00991B8A">
        <w:rPr>
          <w:sz w:val="24"/>
          <w:szCs w:val="24"/>
        </w:rPr>
        <w:t xml:space="preserve"> v sume </w:t>
      </w:r>
      <w:r w:rsidR="006454DA" w:rsidRPr="00991B8A">
        <w:rPr>
          <w:sz w:val="24"/>
          <w:szCs w:val="24"/>
        </w:rPr>
        <w:t>527 479</w:t>
      </w:r>
      <w:r w:rsidR="000814A7" w:rsidRPr="00991B8A">
        <w:rPr>
          <w:sz w:val="24"/>
          <w:szCs w:val="24"/>
        </w:rPr>
        <w:t xml:space="preserve">,21 </w:t>
      </w:r>
      <w:r w:rsidR="00C10E18" w:rsidRPr="00991B8A">
        <w:rPr>
          <w:sz w:val="24"/>
          <w:szCs w:val="24"/>
        </w:rPr>
        <w:t>eur</w:t>
      </w:r>
      <w:r w:rsidR="00325607" w:rsidRPr="00991B8A">
        <w:rPr>
          <w:sz w:val="24"/>
          <w:szCs w:val="24"/>
        </w:rPr>
        <w:t>a</w:t>
      </w:r>
      <w:r w:rsidR="0038274D" w:rsidRPr="00991B8A">
        <w:rPr>
          <w:sz w:val="24"/>
          <w:szCs w:val="24"/>
        </w:rPr>
        <w:t>.</w:t>
      </w:r>
      <w:r w:rsidRPr="00991B8A">
        <w:rPr>
          <w:sz w:val="24"/>
          <w:szCs w:val="24"/>
        </w:rPr>
        <w:t xml:space="preserve"> </w:t>
      </w:r>
    </w:p>
    <w:p w:rsidR="002A5D7C" w:rsidRPr="00991B8A" w:rsidRDefault="002A5D7C" w:rsidP="002A5D7C">
      <w:pPr>
        <w:pStyle w:val="Nzov"/>
        <w:jc w:val="both"/>
        <w:rPr>
          <w:sz w:val="24"/>
          <w:szCs w:val="24"/>
        </w:rPr>
      </w:pPr>
    </w:p>
    <w:p w:rsidR="002A5D7C" w:rsidRPr="00991B8A" w:rsidRDefault="002A5D7C" w:rsidP="002A5D7C">
      <w:pPr>
        <w:pStyle w:val="Nzov"/>
        <w:ind w:firstLine="708"/>
        <w:jc w:val="both"/>
        <w:rPr>
          <w:sz w:val="24"/>
          <w:szCs w:val="24"/>
        </w:rPr>
      </w:pPr>
      <w:r w:rsidRPr="00991B8A">
        <w:rPr>
          <w:bCs/>
          <w:sz w:val="24"/>
          <w:szCs w:val="24"/>
        </w:rPr>
        <w:t xml:space="preserve">Výpočet zvýšenia výdavkov z verejných rozpočtov </w:t>
      </w:r>
      <w:r w:rsidRPr="00991B8A">
        <w:rPr>
          <w:b/>
          <w:sz w:val="24"/>
          <w:szCs w:val="24"/>
        </w:rPr>
        <w:t>vrátane odvodov do poistných fondov</w:t>
      </w:r>
      <w:r w:rsidRPr="00991B8A">
        <w:rPr>
          <w:sz w:val="24"/>
          <w:szCs w:val="24"/>
        </w:rPr>
        <w:t xml:space="preserve"> v roku </w:t>
      </w:r>
      <w:r w:rsidR="00E80E64" w:rsidRPr="00991B8A">
        <w:rPr>
          <w:sz w:val="24"/>
          <w:szCs w:val="24"/>
        </w:rPr>
        <w:t>2019</w:t>
      </w:r>
      <w:r w:rsidRPr="00991B8A">
        <w:rPr>
          <w:sz w:val="24"/>
          <w:szCs w:val="24"/>
        </w:rPr>
        <w:t>:</w:t>
      </w:r>
    </w:p>
    <w:p w:rsidR="002A5D7C" w:rsidRPr="00991B8A" w:rsidRDefault="002A5D7C" w:rsidP="002A5D7C">
      <w:pPr>
        <w:pStyle w:val="Nzov"/>
        <w:tabs>
          <w:tab w:val="left" w:pos="1800"/>
        </w:tabs>
        <w:ind w:left="2160" w:hanging="2160"/>
        <w:jc w:val="both"/>
        <w:rPr>
          <w:sz w:val="24"/>
          <w:szCs w:val="24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0"/>
        <w:gridCol w:w="1980"/>
        <w:tblGridChange w:id="5">
          <w:tblGrid>
            <w:gridCol w:w="7030"/>
            <w:gridCol w:w="1980"/>
          </w:tblGrid>
        </w:tblGridChange>
      </w:tblGrid>
      <w:tr w:rsidR="0038274D" w:rsidRPr="00991B8A" w:rsidTr="0038274D">
        <w:trPr>
          <w:trHeight w:val="315"/>
        </w:trPr>
        <w:tc>
          <w:tcPr>
            <w:tcW w:w="7030" w:type="dxa"/>
            <w:noWrap/>
            <w:vAlign w:val="center"/>
          </w:tcPr>
          <w:p w:rsidR="0038274D" w:rsidRPr="00991B8A" w:rsidRDefault="0038274D" w:rsidP="00425438">
            <w:pPr>
              <w:rPr>
                <w:i/>
                <w:iCs/>
              </w:rPr>
            </w:pPr>
            <w:r w:rsidRPr="00991B8A">
              <w:rPr>
                <w:i/>
                <w:iCs/>
              </w:rPr>
              <w:t>Zvýšenie výdavkov na platy (bez odvodov) v eurách mesačne:</w:t>
            </w:r>
          </w:p>
        </w:tc>
        <w:tc>
          <w:tcPr>
            <w:tcW w:w="1980" w:type="dxa"/>
          </w:tcPr>
          <w:p w:rsidR="0038274D" w:rsidRPr="00991B8A" w:rsidRDefault="0038274D" w:rsidP="006106F6">
            <w:pPr>
              <w:jc w:val="center"/>
              <w:rPr>
                <w:i/>
              </w:rPr>
            </w:pPr>
            <w:r w:rsidRPr="00991B8A">
              <w:rPr>
                <w:i/>
              </w:rPr>
              <w:t>910 919,21</w:t>
            </w:r>
          </w:p>
        </w:tc>
      </w:tr>
      <w:tr w:rsidR="0038274D" w:rsidRPr="00991B8A" w:rsidTr="0038274D">
        <w:trPr>
          <w:trHeight w:val="315"/>
        </w:trPr>
        <w:tc>
          <w:tcPr>
            <w:tcW w:w="7030" w:type="dxa"/>
            <w:noWrap/>
            <w:vAlign w:val="center"/>
          </w:tcPr>
          <w:p w:rsidR="0038274D" w:rsidRPr="00991B8A" w:rsidRDefault="0038274D" w:rsidP="00425438">
            <w:pPr>
              <w:rPr>
                <w:b/>
                <w:bCs/>
              </w:rPr>
            </w:pPr>
            <w:r w:rsidRPr="00991B8A">
              <w:rPr>
                <w:b/>
                <w:bCs/>
              </w:rPr>
              <w:t>Zvýšenie výdavkov na platy (bez odvodov) v eurách ročne:</w:t>
            </w:r>
          </w:p>
        </w:tc>
        <w:tc>
          <w:tcPr>
            <w:tcW w:w="1980" w:type="dxa"/>
          </w:tcPr>
          <w:p w:rsidR="0038274D" w:rsidRPr="00991B8A" w:rsidRDefault="0038274D" w:rsidP="00002C6A">
            <w:pPr>
              <w:rPr>
                <w:b/>
              </w:rPr>
            </w:pPr>
            <w:r w:rsidRPr="00991B8A">
              <w:rPr>
                <w:b/>
              </w:rPr>
              <w:t>10 931 030,52</w:t>
            </w:r>
          </w:p>
        </w:tc>
      </w:tr>
      <w:tr w:rsidR="007525C7" w:rsidRPr="00991B8A" w:rsidTr="007525C7">
        <w:trPr>
          <w:trHeight w:val="330"/>
        </w:trPr>
        <w:tc>
          <w:tcPr>
            <w:tcW w:w="7030" w:type="dxa"/>
            <w:noWrap/>
            <w:vAlign w:val="center"/>
          </w:tcPr>
          <w:p w:rsidR="00741C75" w:rsidRPr="00991B8A" w:rsidRDefault="00741C75" w:rsidP="00425438">
            <w:pPr>
              <w:rPr>
                <w:i/>
                <w:iCs/>
              </w:rPr>
            </w:pPr>
            <w:r w:rsidRPr="00991B8A">
              <w:rPr>
                <w:i/>
                <w:iCs/>
              </w:rPr>
              <w:t>Odvody na sociálne poistenie zo zvýšenia výdavkov za zamestnávateľa v eurách ročne (24,95 %)</w:t>
            </w:r>
          </w:p>
        </w:tc>
        <w:tc>
          <w:tcPr>
            <w:tcW w:w="1980" w:type="dxa"/>
            <w:vAlign w:val="center"/>
          </w:tcPr>
          <w:p w:rsidR="00741C75" w:rsidRPr="00991B8A" w:rsidRDefault="00DB3C6F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2 727 292,12</w:t>
            </w:r>
          </w:p>
        </w:tc>
      </w:tr>
      <w:tr w:rsidR="007525C7" w:rsidRPr="00991B8A" w:rsidTr="007525C7">
        <w:trPr>
          <w:trHeight w:val="330"/>
        </w:trPr>
        <w:tc>
          <w:tcPr>
            <w:tcW w:w="7030" w:type="dxa"/>
            <w:noWrap/>
            <w:vAlign w:val="center"/>
          </w:tcPr>
          <w:p w:rsidR="00741C75" w:rsidRPr="00991B8A" w:rsidRDefault="00741C75" w:rsidP="00425438">
            <w:pPr>
              <w:rPr>
                <w:i/>
                <w:iCs/>
              </w:rPr>
            </w:pPr>
            <w:r w:rsidRPr="00991B8A">
              <w:rPr>
                <w:i/>
                <w:iCs/>
              </w:rPr>
              <w:lastRenderedPageBreak/>
              <w:t>Odvody na zdravotné poistenie zo zvýšenia výdavkov za zamestnávateľa v eurách ročne</w:t>
            </w:r>
            <w:r w:rsidRPr="00991B8A">
              <w:rPr>
                <w:i/>
                <w:iCs/>
                <w:vertAlign w:val="superscript"/>
              </w:rPr>
              <w:t>*)</w:t>
            </w:r>
          </w:p>
        </w:tc>
        <w:tc>
          <w:tcPr>
            <w:tcW w:w="1980" w:type="dxa"/>
            <w:vAlign w:val="center"/>
          </w:tcPr>
          <w:p w:rsidR="00741C75" w:rsidRPr="00991B8A" w:rsidRDefault="00DB3C6F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1 093 023,49</w:t>
            </w:r>
          </w:p>
        </w:tc>
      </w:tr>
      <w:tr w:rsidR="00A60808" w:rsidRPr="00991B8A" w:rsidTr="00614432">
        <w:trPr>
          <w:trHeight w:val="330"/>
        </w:trPr>
        <w:tc>
          <w:tcPr>
            <w:tcW w:w="7030" w:type="dxa"/>
            <w:noWrap/>
            <w:vAlign w:val="center"/>
          </w:tcPr>
          <w:p w:rsidR="00A60808" w:rsidRPr="00991B8A" w:rsidRDefault="00A60808" w:rsidP="00425438">
            <w:pPr>
              <w:rPr>
                <w:b/>
                <w:iCs/>
              </w:rPr>
            </w:pPr>
            <w:r w:rsidRPr="00991B8A">
              <w:rPr>
                <w:b/>
                <w:iCs/>
              </w:rPr>
              <w:t>Odvody zamestnávateľa do poistných fondov spolu v eurách ročne</w:t>
            </w:r>
          </w:p>
        </w:tc>
        <w:tc>
          <w:tcPr>
            <w:tcW w:w="1980" w:type="dxa"/>
            <w:vAlign w:val="center"/>
          </w:tcPr>
          <w:p w:rsidR="00A60808" w:rsidRPr="00991B8A" w:rsidRDefault="00DB3C6F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3 820 315,61</w:t>
            </w:r>
          </w:p>
        </w:tc>
      </w:tr>
      <w:tr w:rsidR="00A60808" w:rsidRPr="00991B8A" w:rsidTr="00614432">
        <w:trPr>
          <w:trHeight w:val="375"/>
        </w:trPr>
        <w:tc>
          <w:tcPr>
            <w:tcW w:w="7030" w:type="dxa"/>
            <w:shd w:val="clear" w:color="auto" w:fill="FFFFCC"/>
            <w:noWrap/>
            <w:vAlign w:val="center"/>
          </w:tcPr>
          <w:p w:rsidR="00A60808" w:rsidRPr="00991B8A" w:rsidRDefault="00A60808" w:rsidP="00425438">
            <w:pPr>
              <w:rPr>
                <w:b/>
              </w:rPr>
            </w:pPr>
            <w:r w:rsidRPr="00991B8A">
              <w:rPr>
                <w:b/>
              </w:rPr>
              <w:t>Zvýšenie výdavkov na platy vrátane odvodov v eurách ročne</w:t>
            </w:r>
          </w:p>
        </w:tc>
        <w:tc>
          <w:tcPr>
            <w:tcW w:w="1980" w:type="dxa"/>
            <w:shd w:val="clear" w:color="auto" w:fill="FFFFCC"/>
            <w:vAlign w:val="center"/>
          </w:tcPr>
          <w:p w:rsidR="00A60808" w:rsidRPr="00991B8A" w:rsidRDefault="00DB3C6F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14 751 346,13</w:t>
            </w:r>
          </w:p>
        </w:tc>
      </w:tr>
    </w:tbl>
    <w:p w:rsidR="002A5D7C" w:rsidRPr="00991B8A" w:rsidRDefault="00372B12" w:rsidP="00372B12">
      <w:pPr>
        <w:pStyle w:val="Nzov"/>
        <w:tabs>
          <w:tab w:val="left" w:pos="1800"/>
        </w:tabs>
        <w:spacing w:before="120"/>
        <w:ind w:left="2160" w:hanging="2160"/>
        <w:jc w:val="both"/>
        <w:rPr>
          <w:i/>
          <w:sz w:val="24"/>
          <w:szCs w:val="24"/>
        </w:rPr>
      </w:pPr>
      <w:r w:rsidRPr="00991B8A">
        <w:rPr>
          <w:i/>
          <w:sz w:val="24"/>
          <w:szCs w:val="24"/>
        </w:rPr>
        <w:t xml:space="preserve">*) Podrobnosti </w:t>
      </w:r>
      <w:r w:rsidR="00F44F6E" w:rsidRPr="00991B8A">
        <w:rPr>
          <w:i/>
          <w:sz w:val="24"/>
          <w:szCs w:val="24"/>
        </w:rPr>
        <w:t xml:space="preserve">spôsobu </w:t>
      </w:r>
      <w:r w:rsidR="00FE6392" w:rsidRPr="00991B8A">
        <w:rPr>
          <w:i/>
          <w:sz w:val="24"/>
          <w:szCs w:val="24"/>
        </w:rPr>
        <w:t xml:space="preserve">výpočtu odvodov na zdravotné poistenie </w:t>
      </w:r>
      <w:r w:rsidRPr="00991B8A">
        <w:rPr>
          <w:i/>
          <w:sz w:val="24"/>
          <w:szCs w:val="24"/>
        </w:rPr>
        <w:t>sú v časti C</w:t>
      </w:r>
      <w:r w:rsidR="00F44F6E" w:rsidRPr="00991B8A">
        <w:rPr>
          <w:i/>
          <w:sz w:val="24"/>
          <w:szCs w:val="24"/>
        </w:rPr>
        <w:t>.2.</w:t>
      </w:r>
    </w:p>
    <w:p w:rsidR="002A5D7C" w:rsidRPr="00991B8A" w:rsidRDefault="002A5D7C" w:rsidP="00A0360F">
      <w:pPr>
        <w:pStyle w:val="Nzov"/>
        <w:ind w:left="720"/>
        <w:jc w:val="both"/>
        <w:rPr>
          <w:sz w:val="24"/>
          <w:szCs w:val="24"/>
        </w:rPr>
      </w:pPr>
    </w:p>
    <w:p w:rsidR="002A5D7C" w:rsidRPr="00991B8A" w:rsidRDefault="002A5D7C" w:rsidP="00A0360F">
      <w:pPr>
        <w:pStyle w:val="Nzov"/>
        <w:ind w:firstLine="720"/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Na podklade údajov o zaradení zamestnancov do platových tried a platových stupňov z predchádzajúcich rokov a ich predpokladaného posunu </w:t>
      </w:r>
      <w:r w:rsidR="00BB685C" w:rsidRPr="00991B8A">
        <w:rPr>
          <w:sz w:val="24"/>
          <w:szCs w:val="24"/>
        </w:rPr>
        <w:t>do</w:t>
      </w:r>
      <w:r w:rsidRPr="00991B8A">
        <w:rPr>
          <w:sz w:val="24"/>
          <w:szCs w:val="24"/>
        </w:rPr>
        <w:t> vyšš</w:t>
      </w:r>
      <w:r w:rsidR="00BB685C" w:rsidRPr="00991B8A">
        <w:rPr>
          <w:sz w:val="24"/>
          <w:szCs w:val="24"/>
        </w:rPr>
        <w:t>ích</w:t>
      </w:r>
      <w:r w:rsidRPr="00991B8A">
        <w:rPr>
          <w:sz w:val="24"/>
          <w:szCs w:val="24"/>
        </w:rPr>
        <w:t xml:space="preserve"> platový</w:t>
      </w:r>
      <w:r w:rsidR="00BB685C" w:rsidRPr="00991B8A">
        <w:rPr>
          <w:sz w:val="24"/>
          <w:szCs w:val="24"/>
        </w:rPr>
        <w:t>ch</w:t>
      </w:r>
      <w:r w:rsidRPr="00991B8A">
        <w:rPr>
          <w:sz w:val="24"/>
          <w:szCs w:val="24"/>
        </w:rPr>
        <w:t xml:space="preserve"> stupňo</w:t>
      </w:r>
      <w:r w:rsidR="00BB685C" w:rsidRPr="00991B8A">
        <w:rPr>
          <w:sz w:val="24"/>
          <w:szCs w:val="24"/>
        </w:rPr>
        <w:t>v</w:t>
      </w:r>
      <w:r w:rsidRPr="00991B8A">
        <w:rPr>
          <w:sz w:val="24"/>
          <w:szCs w:val="24"/>
        </w:rPr>
        <w:t xml:space="preserve"> po získaní ďalšieho roka praxe možno kvalifikovane odhadnúť, že </w:t>
      </w:r>
      <w:r w:rsidR="005B3198" w:rsidRPr="00991B8A">
        <w:rPr>
          <w:sz w:val="24"/>
          <w:szCs w:val="24"/>
        </w:rPr>
        <w:t>pod úrovňou</w:t>
      </w:r>
      <w:r w:rsidR="00614432" w:rsidRPr="00991B8A">
        <w:rPr>
          <w:sz w:val="24"/>
          <w:szCs w:val="24"/>
        </w:rPr>
        <w:t xml:space="preserve"> </w:t>
      </w:r>
      <w:r w:rsidR="00E80E64" w:rsidRPr="00991B8A">
        <w:rPr>
          <w:sz w:val="24"/>
          <w:szCs w:val="24"/>
        </w:rPr>
        <w:t>520 eur</w:t>
      </w:r>
      <w:r w:rsidR="005B3198" w:rsidRPr="00991B8A" w:rsidDel="005B3198">
        <w:rPr>
          <w:sz w:val="24"/>
          <w:szCs w:val="24"/>
        </w:rPr>
        <w:t xml:space="preserve"> </w:t>
      </w:r>
      <w:r w:rsidR="005B3198" w:rsidRPr="00991B8A">
        <w:rPr>
          <w:sz w:val="24"/>
          <w:szCs w:val="24"/>
        </w:rPr>
        <w:t xml:space="preserve">mesačne </w:t>
      </w:r>
      <w:r w:rsidRPr="00991B8A">
        <w:rPr>
          <w:sz w:val="24"/>
          <w:szCs w:val="24"/>
        </w:rPr>
        <w:t>bude</w:t>
      </w:r>
      <w:r w:rsidR="001A70FF" w:rsidRPr="00991B8A">
        <w:rPr>
          <w:sz w:val="24"/>
          <w:szCs w:val="24"/>
        </w:rPr>
        <w:t xml:space="preserve"> v platových tarifách príslušných stupníc platových taríf zaradených</w:t>
      </w:r>
      <w:r w:rsidRPr="00991B8A">
        <w:rPr>
          <w:sz w:val="24"/>
          <w:szCs w:val="24"/>
        </w:rPr>
        <w:t>:</w:t>
      </w:r>
    </w:p>
    <w:p w:rsidR="002A5D7C" w:rsidRPr="00991B8A" w:rsidRDefault="002A5D7C" w:rsidP="00A0360F">
      <w:pPr>
        <w:pStyle w:val="Nzov"/>
        <w:numPr>
          <w:ilvl w:val="0"/>
          <w:numId w:val="11"/>
        </w:numPr>
        <w:tabs>
          <w:tab w:val="clear" w:pos="2160"/>
        </w:tabs>
        <w:ind w:left="714" w:hanging="357"/>
        <w:jc w:val="both"/>
        <w:rPr>
          <w:sz w:val="24"/>
          <w:szCs w:val="24"/>
        </w:rPr>
      </w:pPr>
      <w:r w:rsidRPr="00991B8A">
        <w:rPr>
          <w:b/>
          <w:bCs/>
          <w:sz w:val="24"/>
          <w:szCs w:val="24"/>
        </w:rPr>
        <w:t xml:space="preserve">v roku </w:t>
      </w:r>
      <w:r w:rsidR="00E80E64" w:rsidRPr="00991B8A">
        <w:rPr>
          <w:b/>
          <w:bCs/>
          <w:sz w:val="24"/>
          <w:szCs w:val="24"/>
        </w:rPr>
        <w:t>2020</w:t>
      </w:r>
      <w:r w:rsidRPr="00991B8A">
        <w:rPr>
          <w:sz w:val="24"/>
          <w:szCs w:val="24"/>
        </w:rPr>
        <w:t xml:space="preserve"> </w:t>
      </w:r>
      <w:r w:rsidRPr="00991B8A">
        <w:rPr>
          <w:b/>
          <w:bCs/>
          <w:sz w:val="24"/>
          <w:szCs w:val="24"/>
        </w:rPr>
        <w:t xml:space="preserve">cca </w:t>
      </w:r>
      <w:r w:rsidR="00DA4D24" w:rsidRPr="00991B8A">
        <w:rPr>
          <w:b/>
          <w:bCs/>
          <w:sz w:val="24"/>
          <w:szCs w:val="24"/>
        </w:rPr>
        <w:t>97,</w:t>
      </w:r>
      <w:r w:rsidR="00741C75" w:rsidRPr="00991B8A">
        <w:rPr>
          <w:b/>
          <w:bCs/>
          <w:sz w:val="24"/>
          <w:szCs w:val="24"/>
        </w:rPr>
        <w:t>5</w:t>
      </w:r>
      <w:r w:rsidR="00DA4D24" w:rsidRPr="00991B8A">
        <w:rPr>
          <w:b/>
          <w:bCs/>
          <w:sz w:val="24"/>
          <w:szCs w:val="24"/>
        </w:rPr>
        <w:t xml:space="preserve"> </w:t>
      </w:r>
      <w:r w:rsidRPr="00991B8A">
        <w:rPr>
          <w:b/>
          <w:bCs/>
          <w:sz w:val="24"/>
          <w:szCs w:val="24"/>
        </w:rPr>
        <w:t xml:space="preserve">% </w:t>
      </w:r>
      <w:r w:rsidRPr="00991B8A">
        <w:rPr>
          <w:sz w:val="24"/>
          <w:szCs w:val="24"/>
        </w:rPr>
        <w:t xml:space="preserve">z počtu zamestnancov, ktorí mali tarifný plat pod uvedenou sumou v roku </w:t>
      </w:r>
      <w:r w:rsidR="00E80E64" w:rsidRPr="00991B8A">
        <w:rPr>
          <w:sz w:val="24"/>
          <w:szCs w:val="24"/>
        </w:rPr>
        <w:t>2019</w:t>
      </w:r>
      <w:r w:rsidRPr="00991B8A">
        <w:rPr>
          <w:sz w:val="24"/>
          <w:szCs w:val="24"/>
        </w:rPr>
        <w:t>, a</w:t>
      </w:r>
    </w:p>
    <w:p w:rsidR="002A5D7C" w:rsidRPr="00991B8A" w:rsidRDefault="002A5D7C" w:rsidP="00A0360F">
      <w:pPr>
        <w:pStyle w:val="Nzov"/>
        <w:numPr>
          <w:ilvl w:val="0"/>
          <w:numId w:val="11"/>
        </w:numPr>
        <w:tabs>
          <w:tab w:val="clear" w:pos="2160"/>
        </w:tabs>
        <w:ind w:left="714" w:hanging="357"/>
        <w:jc w:val="both"/>
        <w:rPr>
          <w:sz w:val="24"/>
          <w:szCs w:val="24"/>
        </w:rPr>
      </w:pPr>
      <w:r w:rsidRPr="00991B8A">
        <w:rPr>
          <w:b/>
          <w:bCs/>
          <w:sz w:val="24"/>
          <w:szCs w:val="24"/>
        </w:rPr>
        <w:t xml:space="preserve">v roku </w:t>
      </w:r>
      <w:r w:rsidR="00E80E64" w:rsidRPr="00991B8A">
        <w:rPr>
          <w:b/>
          <w:bCs/>
          <w:sz w:val="24"/>
          <w:szCs w:val="24"/>
        </w:rPr>
        <w:t>2021</w:t>
      </w:r>
      <w:r w:rsidRPr="00991B8A">
        <w:rPr>
          <w:sz w:val="24"/>
          <w:szCs w:val="24"/>
        </w:rPr>
        <w:t xml:space="preserve"> </w:t>
      </w:r>
      <w:r w:rsidRPr="00991B8A">
        <w:rPr>
          <w:b/>
          <w:bCs/>
          <w:sz w:val="24"/>
          <w:szCs w:val="24"/>
        </w:rPr>
        <w:t xml:space="preserve">cca </w:t>
      </w:r>
      <w:r w:rsidR="00DA4D24" w:rsidRPr="00991B8A">
        <w:rPr>
          <w:b/>
          <w:bCs/>
          <w:sz w:val="24"/>
          <w:szCs w:val="24"/>
        </w:rPr>
        <w:t>95,</w:t>
      </w:r>
      <w:r w:rsidR="00741C75" w:rsidRPr="00991B8A">
        <w:rPr>
          <w:b/>
          <w:bCs/>
          <w:sz w:val="24"/>
          <w:szCs w:val="24"/>
        </w:rPr>
        <w:t>0</w:t>
      </w:r>
      <w:r w:rsidR="00DA4D24" w:rsidRPr="00991B8A">
        <w:rPr>
          <w:b/>
          <w:bCs/>
          <w:sz w:val="24"/>
          <w:szCs w:val="24"/>
        </w:rPr>
        <w:t xml:space="preserve"> </w:t>
      </w:r>
      <w:r w:rsidRPr="00991B8A">
        <w:rPr>
          <w:b/>
          <w:bCs/>
          <w:sz w:val="24"/>
          <w:szCs w:val="24"/>
        </w:rPr>
        <w:t>%</w:t>
      </w:r>
      <w:r w:rsidRPr="00991B8A">
        <w:rPr>
          <w:sz w:val="24"/>
          <w:szCs w:val="24"/>
        </w:rPr>
        <w:t xml:space="preserve"> z počtu zamestnancov, ktorí mali tarifný plat pod uvedenou sumou v roku </w:t>
      </w:r>
      <w:r w:rsidR="00E80E64" w:rsidRPr="00991B8A">
        <w:rPr>
          <w:sz w:val="24"/>
          <w:szCs w:val="24"/>
        </w:rPr>
        <w:t>2019</w:t>
      </w:r>
      <w:r w:rsidRPr="00991B8A">
        <w:rPr>
          <w:sz w:val="24"/>
          <w:szCs w:val="24"/>
        </w:rPr>
        <w:t>.</w:t>
      </w:r>
    </w:p>
    <w:p w:rsidR="002A5D7C" w:rsidRPr="00991B8A" w:rsidRDefault="002A5D7C" w:rsidP="00A0360F">
      <w:pPr>
        <w:pStyle w:val="Nzov"/>
        <w:tabs>
          <w:tab w:val="left" w:pos="1800"/>
        </w:tabs>
        <w:ind w:left="2160" w:hanging="2160"/>
        <w:jc w:val="both"/>
        <w:rPr>
          <w:sz w:val="24"/>
          <w:szCs w:val="24"/>
        </w:rPr>
      </w:pPr>
    </w:p>
    <w:p w:rsidR="002A5D7C" w:rsidRPr="00991B8A" w:rsidRDefault="00DA4D24" w:rsidP="00A0360F">
      <w:pPr>
        <w:pStyle w:val="Nzov"/>
        <w:ind w:firstLine="708"/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Kvalifikovaný odhad </w:t>
      </w:r>
      <w:r w:rsidR="002A5D7C" w:rsidRPr="00991B8A">
        <w:rPr>
          <w:sz w:val="24"/>
          <w:szCs w:val="24"/>
        </w:rPr>
        <w:t>dopad</w:t>
      </w:r>
      <w:r w:rsidRPr="00991B8A">
        <w:rPr>
          <w:sz w:val="24"/>
          <w:szCs w:val="24"/>
        </w:rPr>
        <w:t>u</w:t>
      </w:r>
      <w:r w:rsidR="002A5D7C" w:rsidRPr="00991B8A">
        <w:rPr>
          <w:sz w:val="24"/>
          <w:szCs w:val="24"/>
        </w:rPr>
        <w:t xml:space="preserve"> zvýšenia sumy minimálnej mzdy na verejné rozpočty v rokoch </w:t>
      </w:r>
      <w:r w:rsidR="00E80E64" w:rsidRPr="00991B8A">
        <w:rPr>
          <w:sz w:val="24"/>
          <w:szCs w:val="24"/>
        </w:rPr>
        <w:t>2020</w:t>
      </w:r>
      <w:r w:rsidR="002A5D7C" w:rsidRPr="00991B8A">
        <w:rPr>
          <w:sz w:val="24"/>
          <w:szCs w:val="24"/>
        </w:rPr>
        <w:t xml:space="preserve"> a </w:t>
      </w:r>
      <w:r w:rsidR="00E80E64" w:rsidRPr="00991B8A">
        <w:rPr>
          <w:sz w:val="24"/>
          <w:szCs w:val="24"/>
        </w:rPr>
        <w:t>2021</w:t>
      </w:r>
      <w:r w:rsidR="002A5D7C" w:rsidRPr="00991B8A">
        <w:rPr>
          <w:sz w:val="24"/>
          <w:szCs w:val="24"/>
        </w:rPr>
        <w:t xml:space="preserve">: </w:t>
      </w:r>
    </w:p>
    <w:p w:rsidR="002A5D7C" w:rsidRPr="00991B8A" w:rsidRDefault="002A5D7C" w:rsidP="00A0360F">
      <w:pPr>
        <w:pStyle w:val="Nzov"/>
        <w:tabs>
          <w:tab w:val="left" w:pos="1800"/>
        </w:tabs>
        <w:ind w:left="2160" w:hanging="2160"/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559"/>
        <w:gridCol w:w="1559"/>
        <w:gridCol w:w="1560"/>
      </w:tblGrid>
      <w:tr w:rsidR="00991B8A" w:rsidRPr="00991B8A" w:rsidTr="00991B8A">
        <w:tc>
          <w:tcPr>
            <w:tcW w:w="4644" w:type="dxa"/>
          </w:tcPr>
          <w:p w:rsidR="005B3198" w:rsidRPr="00991B8A" w:rsidRDefault="005B3198" w:rsidP="00A0360F">
            <w:pPr>
              <w:pStyle w:val="Nzov"/>
              <w:tabs>
                <w:tab w:val="left" w:pos="1800"/>
              </w:tabs>
              <w:jc w:val="left"/>
              <w:rPr>
                <w:bCs/>
                <w:sz w:val="24"/>
                <w:szCs w:val="24"/>
              </w:rPr>
            </w:pPr>
            <w:r w:rsidRPr="00991B8A">
              <w:rPr>
                <w:bCs/>
                <w:sz w:val="24"/>
                <w:szCs w:val="24"/>
              </w:rPr>
              <w:t>Ukazovateľ</w:t>
            </w:r>
          </w:p>
        </w:tc>
        <w:tc>
          <w:tcPr>
            <w:tcW w:w="1559" w:type="dxa"/>
            <w:vAlign w:val="center"/>
          </w:tcPr>
          <w:p w:rsidR="005B3198" w:rsidRPr="00991B8A" w:rsidRDefault="00E80E64" w:rsidP="00991B8A">
            <w:pPr>
              <w:pStyle w:val="Nzov"/>
              <w:tabs>
                <w:tab w:val="left" w:pos="1800"/>
              </w:tabs>
              <w:ind w:left="-65" w:right="-73"/>
              <w:rPr>
                <w:bCs/>
                <w:sz w:val="24"/>
                <w:szCs w:val="24"/>
              </w:rPr>
            </w:pPr>
            <w:r w:rsidRPr="00991B8A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5B3198" w:rsidRPr="00991B8A" w:rsidRDefault="00E80E64" w:rsidP="00991B8A">
            <w:pPr>
              <w:pStyle w:val="Nzov"/>
              <w:tabs>
                <w:tab w:val="left" w:pos="1800"/>
              </w:tabs>
              <w:ind w:left="-65" w:right="-73"/>
              <w:rPr>
                <w:bCs/>
                <w:sz w:val="24"/>
                <w:szCs w:val="24"/>
              </w:rPr>
            </w:pPr>
            <w:r w:rsidRPr="00991B8A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:rsidR="005B3198" w:rsidRPr="00991B8A" w:rsidRDefault="00E80E64" w:rsidP="00991B8A">
            <w:pPr>
              <w:pStyle w:val="Nzov"/>
              <w:tabs>
                <w:tab w:val="left" w:pos="1800"/>
              </w:tabs>
              <w:ind w:left="-65" w:right="-73"/>
              <w:rPr>
                <w:bCs/>
                <w:sz w:val="24"/>
                <w:szCs w:val="24"/>
              </w:rPr>
            </w:pPr>
            <w:r w:rsidRPr="00991B8A">
              <w:rPr>
                <w:bCs/>
                <w:sz w:val="24"/>
                <w:szCs w:val="24"/>
              </w:rPr>
              <w:t>2021</w:t>
            </w:r>
          </w:p>
        </w:tc>
      </w:tr>
      <w:tr w:rsidR="00991B8A" w:rsidRPr="00991B8A" w:rsidTr="00991B8A">
        <w:tc>
          <w:tcPr>
            <w:tcW w:w="4644" w:type="dxa"/>
          </w:tcPr>
          <w:p w:rsidR="00DB3C6F" w:rsidRPr="00991B8A" w:rsidRDefault="00DB3C6F" w:rsidP="00A0360F">
            <w:pPr>
              <w:pStyle w:val="Nzov"/>
              <w:tabs>
                <w:tab w:val="left" w:pos="1800"/>
              </w:tabs>
              <w:jc w:val="left"/>
              <w:rPr>
                <w:iCs/>
                <w:sz w:val="24"/>
                <w:szCs w:val="24"/>
              </w:rPr>
            </w:pPr>
            <w:r w:rsidRPr="00991B8A">
              <w:rPr>
                <w:iCs/>
                <w:sz w:val="24"/>
                <w:szCs w:val="24"/>
              </w:rPr>
              <w:t>Zvýšenie objemu doplatkov v jednotlivých rokoch v eurách ročne</w:t>
            </w:r>
          </w:p>
        </w:tc>
        <w:tc>
          <w:tcPr>
            <w:tcW w:w="1559" w:type="dxa"/>
            <w:vAlign w:val="center"/>
          </w:tcPr>
          <w:p w:rsidR="00DB3C6F" w:rsidRPr="00991B8A" w:rsidRDefault="00DB3C6F" w:rsidP="00991B8A">
            <w:pPr>
              <w:ind w:left="-65" w:right="-73"/>
              <w:jc w:val="center"/>
            </w:pPr>
            <w:r w:rsidRPr="00991B8A">
              <w:t>10 931 030,52</w:t>
            </w:r>
          </w:p>
        </w:tc>
        <w:tc>
          <w:tcPr>
            <w:tcW w:w="1559" w:type="dxa"/>
            <w:vAlign w:val="center"/>
          </w:tcPr>
          <w:p w:rsidR="00DB3C6F" w:rsidRPr="00991B8A" w:rsidRDefault="00DB3C6F" w:rsidP="00991B8A">
            <w:pPr>
              <w:ind w:left="-65" w:right="-73"/>
              <w:jc w:val="center"/>
            </w:pPr>
            <w:r w:rsidRPr="00991B8A">
              <w:t>10 657 737,12</w:t>
            </w:r>
          </w:p>
        </w:tc>
        <w:tc>
          <w:tcPr>
            <w:tcW w:w="1560" w:type="dxa"/>
            <w:vAlign w:val="center"/>
          </w:tcPr>
          <w:p w:rsidR="00DB3C6F" w:rsidRPr="00991B8A" w:rsidRDefault="00DB3C6F" w:rsidP="00991B8A">
            <w:pPr>
              <w:ind w:left="-65" w:right="-73"/>
              <w:jc w:val="center"/>
            </w:pPr>
            <w:r w:rsidRPr="00991B8A">
              <w:t>10 384 480,80</w:t>
            </w:r>
          </w:p>
        </w:tc>
      </w:tr>
      <w:tr w:rsidR="00991B8A" w:rsidRPr="00991B8A" w:rsidTr="00991B8A">
        <w:tc>
          <w:tcPr>
            <w:tcW w:w="4644" w:type="dxa"/>
          </w:tcPr>
          <w:p w:rsidR="00897478" w:rsidRPr="00991B8A" w:rsidRDefault="00897478" w:rsidP="00A0360F">
            <w:pPr>
              <w:pStyle w:val="Nzov"/>
              <w:tabs>
                <w:tab w:val="left" w:pos="1800"/>
              </w:tabs>
              <w:jc w:val="left"/>
              <w:rPr>
                <w:bCs/>
                <w:iCs/>
                <w:sz w:val="24"/>
                <w:szCs w:val="24"/>
              </w:rPr>
            </w:pPr>
            <w:r w:rsidRPr="00991B8A">
              <w:rPr>
                <w:bCs/>
                <w:iCs/>
                <w:sz w:val="24"/>
                <w:szCs w:val="24"/>
              </w:rPr>
              <w:t>Odvody zamestnávateľa do poistných fondov spolu v eurách ročne</w:t>
            </w:r>
          </w:p>
        </w:tc>
        <w:tc>
          <w:tcPr>
            <w:tcW w:w="1559" w:type="dxa"/>
            <w:vAlign w:val="center"/>
          </w:tcPr>
          <w:p w:rsidR="00897478" w:rsidRPr="00991B8A" w:rsidRDefault="00897478" w:rsidP="00991B8A">
            <w:pPr>
              <w:ind w:left="-65" w:right="-73"/>
              <w:jc w:val="center"/>
              <w:rPr>
                <w:bCs/>
              </w:rPr>
            </w:pPr>
            <w:r w:rsidRPr="00991B8A">
              <w:t>3 820 315,61</w:t>
            </w:r>
          </w:p>
        </w:tc>
        <w:tc>
          <w:tcPr>
            <w:tcW w:w="1559" w:type="dxa"/>
            <w:vAlign w:val="center"/>
          </w:tcPr>
          <w:p w:rsidR="00897478" w:rsidRPr="00991B8A" w:rsidRDefault="00897478" w:rsidP="00991B8A">
            <w:pPr>
              <w:ind w:left="-65" w:right="-73"/>
              <w:jc w:val="center"/>
              <w:rPr>
                <w:bCs/>
              </w:rPr>
            </w:pPr>
            <w:r w:rsidRPr="00991B8A">
              <w:t>3 724 803,31</w:t>
            </w:r>
          </w:p>
        </w:tc>
        <w:tc>
          <w:tcPr>
            <w:tcW w:w="1560" w:type="dxa"/>
            <w:vAlign w:val="center"/>
          </w:tcPr>
          <w:p w:rsidR="00897478" w:rsidRPr="00991B8A" w:rsidRDefault="00897478" w:rsidP="00991B8A">
            <w:pPr>
              <w:ind w:left="-65" w:right="-73"/>
              <w:jc w:val="center"/>
              <w:rPr>
                <w:bCs/>
              </w:rPr>
            </w:pPr>
            <w:r w:rsidRPr="00991B8A">
              <w:t>3 629 300,28</w:t>
            </w:r>
          </w:p>
        </w:tc>
      </w:tr>
      <w:tr w:rsidR="00991B8A" w:rsidRPr="00991B8A" w:rsidTr="00991B8A">
        <w:tc>
          <w:tcPr>
            <w:tcW w:w="4644" w:type="dxa"/>
            <w:shd w:val="clear" w:color="auto" w:fill="FFFFCC"/>
          </w:tcPr>
          <w:p w:rsidR="00897478" w:rsidRPr="00991B8A" w:rsidRDefault="00897478" w:rsidP="00A0360F">
            <w:pPr>
              <w:pStyle w:val="Nzov"/>
              <w:tabs>
                <w:tab w:val="left" w:pos="1800"/>
              </w:tabs>
              <w:jc w:val="left"/>
              <w:rPr>
                <w:b/>
                <w:sz w:val="24"/>
                <w:szCs w:val="24"/>
              </w:rPr>
            </w:pPr>
            <w:r w:rsidRPr="00991B8A">
              <w:rPr>
                <w:b/>
                <w:sz w:val="24"/>
                <w:szCs w:val="24"/>
              </w:rPr>
              <w:t>Zvýšenie výdavkov na doplatky do sumy minimálnej mzdy vrátane odvodov do poistných fondov v eurách ročne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897478" w:rsidRPr="00991B8A" w:rsidRDefault="00897478" w:rsidP="00991B8A">
            <w:pPr>
              <w:ind w:left="-65" w:right="-73"/>
              <w:jc w:val="center"/>
              <w:rPr>
                <w:b/>
                <w:bCs/>
              </w:rPr>
            </w:pPr>
            <w:r w:rsidRPr="00991B8A">
              <w:rPr>
                <w:b/>
              </w:rPr>
              <w:t>14 751 346,13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897478" w:rsidRPr="00991B8A" w:rsidRDefault="00897478" w:rsidP="00991B8A">
            <w:pPr>
              <w:ind w:left="-65" w:right="-73"/>
              <w:jc w:val="center"/>
              <w:rPr>
                <w:b/>
                <w:bCs/>
              </w:rPr>
            </w:pPr>
            <w:r w:rsidRPr="00991B8A">
              <w:rPr>
                <w:b/>
              </w:rPr>
              <w:t>14 382 540,43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897478" w:rsidRPr="00991B8A" w:rsidRDefault="00897478" w:rsidP="00991B8A">
            <w:pPr>
              <w:ind w:left="-65" w:right="-73"/>
              <w:jc w:val="center"/>
              <w:rPr>
                <w:b/>
                <w:bCs/>
              </w:rPr>
            </w:pPr>
            <w:r w:rsidRPr="00991B8A">
              <w:rPr>
                <w:b/>
              </w:rPr>
              <w:t>14 013 781,08</w:t>
            </w:r>
          </w:p>
        </w:tc>
      </w:tr>
    </w:tbl>
    <w:p w:rsidR="00F44F6E" w:rsidRPr="00991B8A" w:rsidRDefault="00F44F6E" w:rsidP="00A0360F">
      <w:pPr>
        <w:ind w:firstLine="708"/>
        <w:jc w:val="both"/>
      </w:pPr>
    </w:p>
    <w:p w:rsidR="002A5D7C" w:rsidRPr="00991B8A" w:rsidRDefault="00F44F6E" w:rsidP="000C3E58">
      <w:pPr>
        <w:jc w:val="both"/>
        <w:rPr>
          <w:i/>
        </w:rPr>
      </w:pPr>
      <w:r w:rsidRPr="00991B8A">
        <w:rPr>
          <w:i/>
        </w:rPr>
        <w:t xml:space="preserve">*) </w:t>
      </w:r>
      <w:r w:rsidR="007E63C7" w:rsidRPr="00991B8A">
        <w:rPr>
          <w:i/>
        </w:rPr>
        <w:t xml:space="preserve">Suma odvodov je </w:t>
      </w:r>
      <w:r w:rsidR="002A5D7C" w:rsidRPr="00991B8A">
        <w:rPr>
          <w:i/>
        </w:rPr>
        <w:t>príjmom zdravotných poisťovní</w:t>
      </w:r>
      <w:r w:rsidR="00091460" w:rsidRPr="00991B8A">
        <w:rPr>
          <w:i/>
        </w:rPr>
        <w:t xml:space="preserve"> a zároveň</w:t>
      </w:r>
      <w:r w:rsidR="002A5D7C" w:rsidRPr="00991B8A">
        <w:rPr>
          <w:i/>
        </w:rPr>
        <w:t xml:space="preserve"> </w:t>
      </w:r>
      <w:r w:rsidR="009746E6" w:rsidRPr="00991B8A">
        <w:rPr>
          <w:i/>
        </w:rPr>
        <w:t>sa v danom roku uvádzajú aj ako výdavky zdravotných poisťovní</w:t>
      </w:r>
      <w:r w:rsidR="00BB685C" w:rsidRPr="00991B8A">
        <w:rPr>
          <w:i/>
        </w:rPr>
        <w:t>. A</w:t>
      </w:r>
      <w:r w:rsidR="002A5D7C" w:rsidRPr="00991B8A">
        <w:rPr>
          <w:i/>
        </w:rPr>
        <w:t>ko prostriedky zdravotn</w:t>
      </w:r>
      <w:r w:rsidR="004F3EC2" w:rsidRPr="00991B8A">
        <w:rPr>
          <w:i/>
        </w:rPr>
        <w:t>ých</w:t>
      </w:r>
      <w:r w:rsidR="002A5D7C" w:rsidRPr="00991B8A">
        <w:rPr>
          <w:i/>
        </w:rPr>
        <w:t xml:space="preserve"> poisťovn</w:t>
      </w:r>
      <w:r w:rsidR="004F3EC2" w:rsidRPr="00991B8A">
        <w:rPr>
          <w:i/>
        </w:rPr>
        <w:t>í</w:t>
      </w:r>
      <w:r w:rsidR="002A5D7C" w:rsidRPr="00991B8A">
        <w:rPr>
          <w:i/>
        </w:rPr>
        <w:t xml:space="preserve"> </w:t>
      </w:r>
      <w:r w:rsidR="00091460" w:rsidRPr="00991B8A">
        <w:rPr>
          <w:i/>
        </w:rPr>
        <w:t xml:space="preserve">sú tak </w:t>
      </w:r>
      <w:r w:rsidR="002A5D7C" w:rsidRPr="00991B8A">
        <w:rPr>
          <w:b/>
          <w:bCs/>
          <w:i/>
        </w:rPr>
        <w:t>súčasť</w:t>
      </w:r>
      <w:r w:rsidR="00091460" w:rsidRPr="00991B8A">
        <w:rPr>
          <w:b/>
          <w:bCs/>
          <w:i/>
        </w:rPr>
        <w:t>ou</w:t>
      </w:r>
      <w:r w:rsidR="002A5D7C" w:rsidRPr="00991B8A">
        <w:rPr>
          <w:b/>
          <w:bCs/>
          <w:i/>
        </w:rPr>
        <w:t xml:space="preserve"> celkových výdavkov zdravotných poisťovní</w:t>
      </w:r>
      <w:r w:rsidR="002A5D7C" w:rsidRPr="00991B8A">
        <w:rPr>
          <w:i/>
        </w:rPr>
        <w:t xml:space="preserve"> </w:t>
      </w:r>
      <w:r w:rsidR="004F3EC2" w:rsidRPr="00991B8A">
        <w:rPr>
          <w:i/>
        </w:rPr>
        <w:t xml:space="preserve">v prospech zdravotníckych zariadení, </w:t>
      </w:r>
      <w:r w:rsidR="002A5D7C" w:rsidRPr="00991B8A">
        <w:rPr>
          <w:i/>
        </w:rPr>
        <w:t xml:space="preserve">kvantifikovaných v časti C.2. </w:t>
      </w:r>
      <w:r w:rsidR="007E63C7" w:rsidRPr="00991B8A">
        <w:rPr>
          <w:i/>
        </w:rPr>
        <w:t>a v</w:t>
      </w:r>
      <w:r w:rsidR="002A5D7C" w:rsidRPr="00991B8A">
        <w:rPr>
          <w:i/>
        </w:rPr>
        <w:t xml:space="preserve"> rámci výdavkov verejného rozpočtu ide o dva samostatné druhy bežných výdavkov: </w:t>
      </w:r>
      <w:r w:rsidR="00D917FA" w:rsidRPr="00991B8A">
        <w:rPr>
          <w:i/>
          <w:iCs/>
        </w:rPr>
        <w:t>„</w:t>
      </w:r>
      <w:r w:rsidR="002A5D7C" w:rsidRPr="00991B8A">
        <w:rPr>
          <w:i/>
          <w:iCs/>
        </w:rPr>
        <w:t>Poistné a príspevok do poisťovní (621 + 623)</w:t>
      </w:r>
      <w:r w:rsidR="00D917FA" w:rsidRPr="00991B8A">
        <w:rPr>
          <w:i/>
          <w:iCs/>
        </w:rPr>
        <w:t>“</w:t>
      </w:r>
      <w:r w:rsidR="002A5D7C" w:rsidRPr="00991B8A">
        <w:rPr>
          <w:i/>
        </w:rPr>
        <w:t xml:space="preserve"> a</w:t>
      </w:r>
      <w:r w:rsidR="00614432" w:rsidRPr="00991B8A">
        <w:rPr>
          <w:i/>
        </w:rPr>
        <w:t xml:space="preserve"> </w:t>
      </w:r>
      <w:r w:rsidR="00D917FA" w:rsidRPr="00991B8A">
        <w:rPr>
          <w:i/>
          <w:iCs/>
        </w:rPr>
        <w:t>„</w:t>
      </w:r>
      <w:r w:rsidR="002A5D7C" w:rsidRPr="00991B8A">
        <w:rPr>
          <w:i/>
          <w:iCs/>
        </w:rPr>
        <w:t>Výdavky zdravotných poisťovní na služby zdravotníckych zariadení (637034)</w:t>
      </w:r>
      <w:r w:rsidR="00D917FA" w:rsidRPr="00991B8A">
        <w:rPr>
          <w:i/>
          <w:iCs/>
        </w:rPr>
        <w:t>“</w:t>
      </w:r>
      <w:r w:rsidR="002A5D7C" w:rsidRPr="00991B8A">
        <w:rPr>
          <w:i/>
        </w:rPr>
        <w:t>.</w:t>
      </w:r>
      <w:r w:rsidR="00091460" w:rsidRPr="00991B8A">
        <w:rPr>
          <w:i/>
        </w:rPr>
        <w:t xml:space="preserve"> </w:t>
      </w:r>
    </w:p>
    <w:p w:rsidR="002A5D7C" w:rsidRPr="00991B8A" w:rsidRDefault="002A5D7C" w:rsidP="00A0360F">
      <w:pPr>
        <w:pStyle w:val="Nzov"/>
        <w:ind w:firstLine="720"/>
        <w:jc w:val="both"/>
        <w:rPr>
          <w:sz w:val="24"/>
          <w:szCs w:val="24"/>
        </w:rPr>
      </w:pPr>
    </w:p>
    <w:p w:rsidR="002A5D7C" w:rsidRPr="00991B8A" w:rsidRDefault="002A5D7C" w:rsidP="00A0360F">
      <w:pPr>
        <w:pStyle w:val="Nzov"/>
        <w:ind w:left="720" w:hanging="720"/>
        <w:jc w:val="both"/>
        <w:rPr>
          <w:sz w:val="24"/>
          <w:szCs w:val="24"/>
        </w:rPr>
      </w:pPr>
    </w:p>
    <w:p w:rsidR="002A5D7C" w:rsidRPr="00991B8A" w:rsidRDefault="002A5D7C" w:rsidP="00A0360F">
      <w:pPr>
        <w:pStyle w:val="Nzov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91B8A">
        <w:rPr>
          <w:b/>
          <w:sz w:val="24"/>
          <w:szCs w:val="24"/>
        </w:rPr>
        <w:t>Kvalifikovaný odhad rozdelenia výdavkov verejného rozpočtu na štátny rozpočet a na rozpočty územných samospráv:</w:t>
      </w:r>
    </w:p>
    <w:p w:rsidR="002A5D7C" w:rsidRPr="00991B8A" w:rsidRDefault="002A5D7C" w:rsidP="00A0360F">
      <w:pPr>
        <w:pStyle w:val="Nzov"/>
        <w:jc w:val="both"/>
        <w:rPr>
          <w:sz w:val="24"/>
          <w:szCs w:val="24"/>
        </w:rPr>
      </w:pPr>
    </w:p>
    <w:p w:rsidR="00091460" w:rsidRPr="00991B8A" w:rsidRDefault="002A5D7C" w:rsidP="00A0360F">
      <w:pPr>
        <w:pStyle w:val="Nzov"/>
        <w:ind w:firstLine="708"/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Na účely </w:t>
      </w:r>
      <w:r w:rsidR="00956A25" w:rsidRPr="00991B8A">
        <w:rPr>
          <w:sz w:val="24"/>
          <w:szCs w:val="24"/>
        </w:rPr>
        <w:t xml:space="preserve">výpočtu a </w:t>
      </w:r>
      <w:r w:rsidRPr="00991B8A">
        <w:rPr>
          <w:sz w:val="24"/>
          <w:szCs w:val="24"/>
        </w:rPr>
        <w:t xml:space="preserve">rozčlenenia vplyvov zvýšenia sumy minimálnej mzdy na štátny rozpočet a na rozpočty územných samospráv sa vychádzalo </w:t>
      </w:r>
      <w:r w:rsidR="00956A25" w:rsidRPr="00991B8A">
        <w:rPr>
          <w:sz w:val="24"/>
          <w:szCs w:val="24"/>
        </w:rPr>
        <w:t xml:space="preserve">zo štatistických údajov v gescii ŠÚ SR a MF SR </w:t>
      </w:r>
      <w:r w:rsidR="009219A5" w:rsidRPr="00991B8A">
        <w:rPr>
          <w:sz w:val="24"/>
          <w:szCs w:val="24"/>
        </w:rPr>
        <w:t>o počtoch zamestnancov napojených na štátny rozpočet a na rozpočty územných samospráv</w:t>
      </w:r>
      <w:r w:rsidR="00956A25" w:rsidRPr="00991B8A">
        <w:rPr>
          <w:sz w:val="24"/>
          <w:szCs w:val="24"/>
        </w:rPr>
        <w:t xml:space="preserve">, skutočnosť za I. štvrťrok </w:t>
      </w:r>
      <w:r w:rsidR="00E80E64" w:rsidRPr="00991B8A">
        <w:rPr>
          <w:sz w:val="24"/>
          <w:szCs w:val="24"/>
        </w:rPr>
        <w:t>2018</w:t>
      </w:r>
      <w:r w:rsidR="00956A25" w:rsidRPr="00991B8A">
        <w:rPr>
          <w:sz w:val="24"/>
          <w:szCs w:val="24"/>
        </w:rPr>
        <w:t xml:space="preserve"> a </w:t>
      </w:r>
      <w:r w:rsidRPr="00991B8A">
        <w:rPr>
          <w:sz w:val="24"/>
          <w:szCs w:val="24"/>
        </w:rPr>
        <w:t>z</w:t>
      </w:r>
      <w:r w:rsidR="00693CFF" w:rsidRPr="00991B8A">
        <w:rPr>
          <w:sz w:val="24"/>
          <w:szCs w:val="24"/>
        </w:rPr>
        <w:t> </w:t>
      </w:r>
      <w:r w:rsidRPr="00991B8A">
        <w:rPr>
          <w:sz w:val="24"/>
          <w:szCs w:val="24"/>
        </w:rPr>
        <w:t>podkladov</w:t>
      </w:r>
      <w:r w:rsidR="00693CFF" w:rsidRPr="00991B8A">
        <w:rPr>
          <w:sz w:val="24"/>
          <w:szCs w:val="24"/>
        </w:rPr>
        <w:t xml:space="preserve"> </w:t>
      </w:r>
      <w:r w:rsidR="00000698" w:rsidRPr="00991B8A">
        <w:rPr>
          <w:bCs/>
          <w:sz w:val="24"/>
          <w:szCs w:val="24"/>
        </w:rPr>
        <w:t>Treximy, spol. s r.o. Bratislava</w:t>
      </w:r>
      <w:r w:rsidR="00956A25" w:rsidRPr="00991B8A">
        <w:rPr>
          <w:sz w:val="24"/>
          <w:szCs w:val="24"/>
        </w:rPr>
        <w:t xml:space="preserve"> o </w:t>
      </w:r>
      <w:r w:rsidR="00244DAA" w:rsidRPr="00991B8A">
        <w:rPr>
          <w:sz w:val="24"/>
          <w:szCs w:val="24"/>
        </w:rPr>
        <w:t xml:space="preserve">počtoch zamestnancov </w:t>
      </w:r>
      <w:r w:rsidR="009C6A60" w:rsidRPr="00991B8A">
        <w:rPr>
          <w:sz w:val="24"/>
          <w:szCs w:val="24"/>
        </w:rPr>
        <w:t xml:space="preserve">tzv. nepodnikateľskej sféry spolu </w:t>
      </w:r>
      <w:r w:rsidR="009219A5" w:rsidRPr="00991B8A">
        <w:rPr>
          <w:sz w:val="24"/>
          <w:szCs w:val="24"/>
        </w:rPr>
        <w:t xml:space="preserve">a z nej osobitne za obce a VÚC </w:t>
      </w:r>
      <w:r w:rsidR="009C6A60" w:rsidRPr="00991B8A">
        <w:rPr>
          <w:sz w:val="24"/>
          <w:szCs w:val="24"/>
        </w:rPr>
        <w:t xml:space="preserve">za </w:t>
      </w:r>
      <w:r w:rsidR="00BF5E1B" w:rsidRPr="00991B8A">
        <w:rPr>
          <w:sz w:val="24"/>
          <w:szCs w:val="24"/>
        </w:rPr>
        <w:t xml:space="preserve">I. </w:t>
      </w:r>
      <w:r w:rsidR="00956A25" w:rsidRPr="00991B8A">
        <w:rPr>
          <w:sz w:val="24"/>
          <w:szCs w:val="24"/>
        </w:rPr>
        <w:t>štv</w:t>
      </w:r>
      <w:r w:rsidR="00A0360F" w:rsidRPr="00991B8A">
        <w:rPr>
          <w:sz w:val="24"/>
          <w:szCs w:val="24"/>
        </w:rPr>
        <w:t>r</w:t>
      </w:r>
      <w:r w:rsidR="00956A25" w:rsidRPr="00991B8A">
        <w:rPr>
          <w:sz w:val="24"/>
          <w:szCs w:val="24"/>
        </w:rPr>
        <w:t xml:space="preserve">ťrok </w:t>
      </w:r>
      <w:r w:rsidR="00E80E64" w:rsidRPr="00991B8A">
        <w:rPr>
          <w:sz w:val="24"/>
          <w:szCs w:val="24"/>
        </w:rPr>
        <w:t>2018</w:t>
      </w:r>
      <w:r w:rsidR="00091460" w:rsidRPr="00991B8A">
        <w:rPr>
          <w:sz w:val="24"/>
          <w:szCs w:val="24"/>
        </w:rPr>
        <w:t xml:space="preserve">. </w:t>
      </w:r>
    </w:p>
    <w:p w:rsidR="00000698" w:rsidRPr="00991B8A" w:rsidRDefault="00000698" w:rsidP="00A0360F">
      <w:pPr>
        <w:pStyle w:val="Nzov"/>
        <w:ind w:left="993"/>
        <w:jc w:val="both"/>
        <w:rPr>
          <w:sz w:val="24"/>
          <w:szCs w:val="24"/>
        </w:rPr>
      </w:pPr>
    </w:p>
    <w:p w:rsidR="002A5D7C" w:rsidRPr="00991B8A" w:rsidRDefault="002A5D7C" w:rsidP="00A0360F">
      <w:pPr>
        <w:pStyle w:val="Nzov"/>
        <w:widowControl w:val="0"/>
        <w:ind w:firstLine="709"/>
        <w:jc w:val="both"/>
        <w:rPr>
          <w:b/>
          <w:bCs/>
          <w:sz w:val="24"/>
          <w:szCs w:val="24"/>
        </w:rPr>
      </w:pPr>
      <w:r w:rsidRPr="00991B8A">
        <w:rPr>
          <w:b/>
          <w:bCs/>
          <w:sz w:val="24"/>
          <w:szCs w:val="24"/>
        </w:rPr>
        <w:t>B.1 – Zamestnanci napojení na štátny rozpočet</w:t>
      </w:r>
    </w:p>
    <w:p w:rsidR="009C6A60" w:rsidRPr="00991B8A" w:rsidRDefault="009C6A60" w:rsidP="00A0360F">
      <w:pPr>
        <w:pStyle w:val="Nzov"/>
        <w:widowControl w:val="0"/>
        <w:ind w:firstLine="709"/>
        <w:jc w:val="both"/>
        <w:rPr>
          <w:sz w:val="24"/>
          <w:szCs w:val="24"/>
        </w:rPr>
      </w:pPr>
    </w:p>
    <w:p w:rsidR="007869EE" w:rsidRPr="00991B8A" w:rsidRDefault="00F256BE" w:rsidP="00A0360F">
      <w:pPr>
        <w:pStyle w:val="Nzov"/>
        <w:widowControl w:val="0"/>
        <w:ind w:firstLine="709"/>
        <w:jc w:val="both"/>
        <w:rPr>
          <w:sz w:val="24"/>
          <w:szCs w:val="24"/>
        </w:rPr>
      </w:pPr>
      <w:r w:rsidRPr="00991B8A">
        <w:rPr>
          <w:sz w:val="24"/>
          <w:szCs w:val="24"/>
        </w:rPr>
        <w:t>Z</w:t>
      </w:r>
      <w:r w:rsidR="00E478D3" w:rsidRPr="00991B8A">
        <w:rPr>
          <w:sz w:val="24"/>
          <w:szCs w:val="24"/>
        </w:rPr>
        <w:t>o</w:t>
      </w:r>
      <w:r w:rsidRPr="00991B8A">
        <w:rPr>
          <w:sz w:val="24"/>
          <w:szCs w:val="24"/>
        </w:rPr>
        <w:t xml:space="preserve"> štatistických údajov v gescii ŠÚ SR a MF SR</w:t>
      </w:r>
      <w:r w:rsidR="002A5D7C" w:rsidRPr="00991B8A">
        <w:rPr>
          <w:sz w:val="24"/>
          <w:szCs w:val="24"/>
        </w:rPr>
        <w:t xml:space="preserve"> vyplýva, že celkový priemerný evidenčný počet zamestnancov (prepočítaný)</w:t>
      </w:r>
      <w:r w:rsidR="009402C4" w:rsidRPr="00991B8A">
        <w:rPr>
          <w:sz w:val="24"/>
          <w:szCs w:val="24"/>
        </w:rPr>
        <w:t xml:space="preserve"> vrátane prenesených kompetencií na obce a VÚC</w:t>
      </w:r>
      <w:r w:rsidR="002A5D7C" w:rsidRPr="00991B8A">
        <w:rPr>
          <w:sz w:val="24"/>
          <w:szCs w:val="24"/>
        </w:rPr>
        <w:t xml:space="preserve"> </w:t>
      </w:r>
      <w:r w:rsidR="002A5D7C" w:rsidRPr="00991B8A">
        <w:rPr>
          <w:sz w:val="24"/>
          <w:szCs w:val="24"/>
        </w:rPr>
        <w:lastRenderedPageBreak/>
        <w:t xml:space="preserve">predstavoval </w:t>
      </w:r>
      <w:r w:rsidR="009402C4" w:rsidRPr="00991B8A">
        <w:rPr>
          <w:sz w:val="24"/>
          <w:szCs w:val="24"/>
        </w:rPr>
        <w:t xml:space="preserve">cca </w:t>
      </w:r>
      <w:r w:rsidR="00FD4BE7" w:rsidRPr="00991B8A">
        <w:rPr>
          <w:b/>
          <w:bCs/>
          <w:sz w:val="24"/>
          <w:szCs w:val="24"/>
        </w:rPr>
        <w:t xml:space="preserve">168,5 </w:t>
      </w:r>
      <w:r w:rsidR="002A5D7C" w:rsidRPr="00991B8A">
        <w:rPr>
          <w:b/>
          <w:bCs/>
          <w:sz w:val="24"/>
          <w:szCs w:val="24"/>
        </w:rPr>
        <w:t>tis. osôb</w:t>
      </w:r>
      <w:r w:rsidR="007869EE" w:rsidRPr="00991B8A">
        <w:rPr>
          <w:b/>
          <w:bCs/>
          <w:sz w:val="24"/>
          <w:szCs w:val="24"/>
        </w:rPr>
        <w:t xml:space="preserve"> </w:t>
      </w:r>
      <w:r w:rsidR="007869EE" w:rsidRPr="00991B8A">
        <w:rPr>
          <w:sz w:val="24"/>
          <w:szCs w:val="24"/>
        </w:rPr>
        <w:t>v členení:</w:t>
      </w:r>
    </w:p>
    <w:p w:rsidR="00CA1310" w:rsidRPr="00991B8A" w:rsidRDefault="00F44F6E" w:rsidP="000C3E58">
      <w:pPr>
        <w:pStyle w:val="Nzov"/>
        <w:tabs>
          <w:tab w:val="left" w:pos="720"/>
          <w:tab w:val="left" w:pos="7020"/>
        </w:tabs>
        <w:spacing w:before="120"/>
        <w:ind w:left="709"/>
        <w:jc w:val="both"/>
        <w:rPr>
          <w:sz w:val="24"/>
          <w:szCs w:val="24"/>
        </w:rPr>
      </w:pPr>
      <w:r w:rsidRPr="00991B8A">
        <w:rPr>
          <w:sz w:val="24"/>
          <w:szCs w:val="24"/>
        </w:rPr>
        <w:t>Š</w:t>
      </w:r>
      <w:r w:rsidR="00CA1310" w:rsidRPr="00991B8A">
        <w:rPr>
          <w:sz w:val="24"/>
          <w:szCs w:val="24"/>
        </w:rPr>
        <w:t xml:space="preserve">tátni zamestnanci (zákon č. </w:t>
      </w:r>
      <w:r w:rsidR="00B1496D" w:rsidRPr="00991B8A">
        <w:rPr>
          <w:sz w:val="24"/>
          <w:szCs w:val="24"/>
        </w:rPr>
        <w:t xml:space="preserve">55/2017 </w:t>
      </w:r>
      <w:r w:rsidR="00CA1310" w:rsidRPr="00991B8A">
        <w:rPr>
          <w:sz w:val="24"/>
          <w:szCs w:val="24"/>
        </w:rPr>
        <w:t>Z. z.)</w:t>
      </w:r>
      <w:r w:rsidR="00CA1310" w:rsidRPr="00991B8A">
        <w:rPr>
          <w:sz w:val="24"/>
          <w:szCs w:val="24"/>
        </w:rPr>
        <w:tab/>
      </w:r>
      <w:r w:rsidR="00EC32FB" w:rsidRPr="00991B8A">
        <w:rPr>
          <w:sz w:val="24"/>
          <w:szCs w:val="24"/>
        </w:rPr>
        <w:tab/>
      </w:r>
      <w:r w:rsidR="00CA1310" w:rsidRPr="00991B8A">
        <w:rPr>
          <w:sz w:val="24"/>
          <w:szCs w:val="24"/>
        </w:rPr>
        <w:t xml:space="preserve">cca </w:t>
      </w:r>
      <w:r w:rsidR="00FD4BE7" w:rsidRPr="00991B8A">
        <w:rPr>
          <w:sz w:val="24"/>
          <w:szCs w:val="24"/>
        </w:rPr>
        <w:t>38,6</w:t>
      </w:r>
      <w:r w:rsidR="00E478D3" w:rsidRPr="00991B8A">
        <w:rPr>
          <w:sz w:val="24"/>
          <w:szCs w:val="24"/>
        </w:rPr>
        <w:t xml:space="preserve"> </w:t>
      </w:r>
      <w:r w:rsidR="00CA1310" w:rsidRPr="00991B8A">
        <w:rPr>
          <w:sz w:val="24"/>
          <w:szCs w:val="24"/>
        </w:rPr>
        <w:t>tis. osôb,</w:t>
      </w:r>
    </w:p>
    <w:p w:rsidR="002D3869" w:rsidRPr="00991B8A" w:rsidRDefault="002D3869" w:rsidP="00F44F6E">
      <w:pPr>
        <w:pStyle w:val="Nzov"/>
        <w:spacing w:before="120"/>
        <w:ind w:firstLine="709"/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Zamestnanci </w:t>
      </w:r>
      <w:r w:rsidR="00464053" w:rsidRPr="00991B8A">
        <w:rPr>
          <w:sz w:val="24"/>
          <w:szCs w:val="24"/>
        </w:rPr>
        <w:t xml:space="preserve">pri výkone práce vo verejnom záujme </w:t>
      </w:r>
      <w:r w:rsidRPr="00991B8A">
        <w:rPr>
          <w:sz w:val="24"/>
          <w:szCs w:val="24"/>
        </w:rPr>
        <w:t>(zákon č. 553/2003 Z. z.):</w:t>
      </w:r>
    </w:p>
    <w:p w:rsidR="007869EE" w:rsidRPr="00991B8A" w:rsidRDefault="007869EE" w:rsidP="000C3E58">
      <w:pPr>
        <w:pStyle w:val="Nzov"/>
        <w:numPr>
          <w:ilvl w:val="0"/>
          <w:numId w:val="19"/>
        </w:numPr>
        <w:tabs>
          <w:tab w:val="left" w:pos="720"/>
          <w:tab w:val="left" w:pos="7020"/>
        </w:tabs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v štátnych rozpočtových organizáciách </w:t>
      </w:r>
      <w:r w:rsidRPr="00991B8A">
        <w:rPr>
          <w:sz w:val="24"/>
          <w:szCs w:val="24"/>
        </w:rPr>
        <w:tab/>
      </w:r>
      <w:r w:rsidR="00EC32FB" w:rsidRPr="00991B8A">
        <w:rPr>
          <w:sz w:val="24"/>
          <w:szCs w:val="24"/>
        </w:rPr>
        <w:tab/>
      </w:r>
      <w:r w:rsidRPr="00991B8A">
        <w:rPr>
          <w:sz w:val="24"/>
          <w:szCs w:val="24"/>
        </w:rPr>
        <w:t xml:space="preserve">cca </w:t>
      </w:r>
      <w:r w:rsidR="00E478D3" w:rsidRPr="00991B8A">
        <w:rPr>
          <w:sz w:val="24"/>
          <w:szCs w:val="24"/>
        </w:rPr>
        <w:t>35,</w:t>
      </w:r>
      <w:r w:rsidR="00FD4BE7" w:rsidRPr="00991B8A">
        <w:rPr>
          <w:sz w:val="24"/>
          <w:szCs w:val="24"/>
        </w:rPr>
        <w:t>3</w:t>
      </w:r>
      <w:r w:rsidR="00E478D3" w:rsidRPr="00991B8A">
        <w:rPr>
          <w:sz w:val="24"/>
          <w:szCs w:val="24"/>
        </w:rPr>
        <w:t xml:space="preserve"> </w:t>
      </w:r>
      <w:r w:rsidRPr="00991B8A">
        <w:rPr>
          <w:sz w:val="24"/>
          <w:szCs w:val="24"/>
        </w:rPr>
        <w:t>tis. osôb,</w:t>
      </w:r>
    </w:p>
    <w:p w:rsidR="007869EE" w:rsidRPr="00991B8A" w:rsidRDefault="007869EE" w:rsidP="000C3E58">
      <w:pPr>
        <w:pStyle w:val="Nzov"/>
        <w:numPr>
          <w:ilvl w:val="0"/>
          <w:numId w:val="19"/>
        </w:numPr>
        <w:tabs>
          <w:tab w:val="left" w:pos="720"/>
          <w:tab w:val="left" w:pos="7020"/>
        </w:tabs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v štátnych príspevkových organizáciách </w:t>
      </w:r>
      <w:r w:rsidRPr="00991B8A">
        <w:rPr>
          <w:sz w:val="24"/>
          <w:szCs w:val="24"/>
        </w:rPr>
        <w:tab/>
      </w:r>
      <w:r w:rsidR="00EC32FB" w:rsidRPr="00991B8A">
        <w:rPr>
          <w:sz w:val="24"/>
          <w:szCs w:val="24"/>
        </w:rPr>
        <w:tab/>
      </w:r>
      <w:r w:rsidRPr="00991B8A">
        <w:rPr>
          <w:sz w:val="24"/>
          <w:szCs w:val="24"/>
        </w:rPr>
        <w:t>cca</w:t>
      </w:r>
      <w:r w:rsidR="00693CFF" w:rsidRPr="00991B8A">
        <w:rPr>
          <w:sz w:val="24"/>
          <w:szCs w:val="24"/>
        </w:rPr>
        <w:t xml:space="preserve"> </w:t>
      </w:r>
      <w:r w:rsidR="00402AAA" w:rsidRPr="00991B8A">
        <w:rPr>
          <w:sz w:val="24"/>
          <w:szCs w:val="24"/>
        </w:rPr>
        <w:t>11,</w:t>
      </w:r>
      <w:r w:rsidR="00FD4BE7" w:rsidRPr="00991B8A">
        <w:rPr>
          <w:sz w:val="24"/>
          <w:szCs w:val="24"/>
        </w:rPr>
        <w:t>7</w:t>
      </w:r>
      <w:r w:rsidR="00402AAA" w:rsidRPr="00991B8A">
        <w:rPr>
          <w:sz w:val="24"/>
          <w:szCs w:val="24"/>
        </w:rPr>
        <w:t xml:space="preserve"> </w:t>
      </w:r>
      <w:r w:rsidR="00007F9A" w:rsidRPr="00991B8A">
        <w:rPr>
          <w:sz w:val="24"/>
          <w:szCs w:val="24"/>
        </w:rPr>
        <w:t>tis. osôb,</w:t>
      </w:r>
    </w:p>
    <w:p w:rsidR="007869EE" w:rsidRPr="00991B8A" w:rsidRDefault="007869EE" w:rsidP="000C3E58">
      <w:pPr>
        <w:pStyle w:val="Nzov"/>
        <w:numPr>
          <w:ilvl w:val="0"/>
          <w:numId w:val="19"/>
        </w:numPr>
        <w:tabs>
          <w:tab w:val="left" w:pos="720"/>
          <w:tab w:val="left" w:pos="7020"/>
        </w:tabs>
        <w:jc w:val="both"/>
        <w:rPr>
          <w:sz w:val="24"/>
          <w:szCs w:val="24"/>
        </w:rPr>
      </w:pPr>
      <w:r w:rsidRPr="00991B8A">
        <w:rPr>
          <w:sz w:val="24"/>
          <w:szCs w:val="24"/>
        </w:rPr>
        <w:t>na verejných vysokých školách</w:t>
      </w:r>
      <w:r w:rsidRPr="00991B8A">
        <w:rPr>
          <w:sz w:val="24"/>
          <w:szCs w:val="24"/>
        </w:rPr>
        <w:tab/>
      </w:r>
      <w:r w:rsidR="00EC32FB" w:rsidRPr="00991B8A">
        <w:rPr>
          <w:sz w:val="24"/>
          <w:szCs w:val="24"/>
        </w:rPr>
        <w:tab/>
      </w:r>
      <w:r w:rsidRPr="00991B8A">
        <w:rPr>
          <w:sz w:val="24"/>
          <w:szCs w:val="24"/>
        </w:rPr>
        <w:t xml:space="preserve">cca </w:t>
      </w:r>
      <w:r w:rsidR="00402AAA" w:rsidRPr="00991B8A">
        <w:rPr>
          <w:sz w:val="24"/>
          <w:szCs w:val="24"/>
        </w:rPr>
        <w:t>20,</w:t>
      </w:r>
      <w:r w:rsidR="00FD4BE7" w:rsidRPr="00991B8A">
        <w:rPr>
          <w:sz w:val="24"/>
          <w:szCs w:val="24"/>
        </w:rPr>
        <w:t>6</w:t>
      </w:r>
      <w:r w:rsidR="00E478D3" w:rsidRPr="00991B8A">
        <w:rPr>
          <w:sz w:val="24"/>
          <w:szCs w:val="24"/>
        </w:rPr>
        <w:t xml:space="preserve"> </w:t>
      </w:r>
      <w:r w:rsidRPr="00991B8A">
        <w:rPr>
          <w:sz w:val="24"/>
          <w:szCs w:val="24"/>
        </w:rPr>
        <w:t>tis. osôb,</w:t>
      </w:r>
    </w:p>
    <w:p w:rsidR="00F44F6E" w:rsidRPr="00991B8A" w:rsidRDefault="00007F9A" w:rsidP="000C3E58">
      <w:pPr>
        <w:pStyle w:val="Nzov"/>
        <w:numPr>
          <w:ilvl w:val="0"/>
          <w:numId w:val="19"/>
        </w:numPr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s prenesenými kompetenciami </w:t>
      </w:r>
      <w:r w:rsidR="007869EE" w:rsidRPr="00991B8A">
        <w:rPr>
          <w:sz w:val="24"/>
          <w:szCs w:val="24"/>
        </w:rPr>
        <w:t xml:space="preserve">v školstve na obce </w:t>
      </w:r>
      <w:r w:rsidR="009219A5" w:rsidRPr="00991B8A">
        <w:rPr>
          <w:sz w:val="24"/>
          <w:szCs w:val="24"/>
        </w:rPr>
        <w:t>a</w:t>
      </w:r>
      <w:r w:rsidRPr="00991B8A">
        <w:rPr>
          <w:sz w:val="24"/>
          <w:szCs w:val="24"/>
        </w:rPr>
        <w:tab/>
      </w:r>
      <w:r w:rsidR="00EC32FB" w:rsidRPr="00991B8A">
        <w:rPr>
          <w:sz w:val="24"/>
          <w:szCs w:val="24"/>
        </w:rPr>
        <w:tab/>
      </w:r>
      <w:r w:rsidR="00EC32FB" w:rsidRPr="00991B8A">
        <w:rPr>
          <w:sz w:val="24"/>
          <w:szCs w:val="24"/>
        </w:rPr>
        <w:tab/>
      </w:r>
      <w:r w:rsidR="007869EE" w:rsidRPr="00991B8A">
        <w:rPr>
          <w:sz w:val="24"/>
          <w:szCs w:val="24"/>
        </w:rPr>
        <w:t xml:space="preserve">cca </w:t>
      </w:r>
      <w:r w:rsidR="00FD4BE7" w:rsidRPr="00991B8A">
        <w:rPr>
          <w:sz w:val="24"/>
          <w:szCs w:val="24"/>
        </w:rPr>
        <w:t>41,3</w:t>
      </w:r>
      <w:r w:rsidR="00E478D3" w:rsidRPr="00991B8A">
        <w:rPr>
          <w:sz w:val="24"/>
          <w:szCs w:val="24"/>
        </w:rPr>
        <w:t xml:space="preserve"> </w:t>
      </w:r>
      <w:r w:rsidR="007869EE" w:rsidRPr="00991B8A">
        <w:rPr>
          <w:sz w:val="24"/>
          <w:szCs w:val="24"/>
        </w:rPr>
        <w:t>tis.</w:t>
      </w:r>
      <w:r w:rsidRPr="00991B8A">
        <w:rPr>
          <w:sz w:val="24"/>
          <w:szCs w:val="24"/>
        </w:rPr>
        <w:t xml:space="preserve"> osôb</w:t>
      </w:r>
    </w:p>
    <w:p w:rsidR="009C6A60" w:rsidRPr="00991B8A" w:rsidRDefault="00007F9A" w:rsidP="000C3E58">
      <w:pPr>
        <w:pStyle w:val="Nzov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991B8A">
        <w:rPr>
          <w:sz w:val="24"/>
          <w:szCs w:val="24"/>
        </w:rPr>
        <w:t>s prenesenými kompetenciami v školstve n</w:t>
      </w:r>
      <w:r w:rsidR="007869EE" w:rsidRPr="00991B8A">
        <w:rPr>
          <w:sz w:val="24"/>
          <w:szCs w:val="24"/>
        </w:rPr>
        <w:t>a VÚC</w:t>
      </w:r>
      <w:r w:rsidR="007869EE" w:rsidRPr="00991B8A">
        <w:rPr>
          <w:sz w:val="24"/>
          <w:szCs w:val="24"/>
        </w:rPr>
        <w:tab/>
      </w:r>
      <w:r w:rsidR="00EC32FB" w:rsidRPr="00991B8A">
        <w:rPr>
          <w:sz w:val="24"/>
          <w:szCs w:val="24"/>
        </w:rPr>
        <w:tab/>
      </w:r>
      <w:r w:rsidR="00EC32FB" w:rsidRPr="00991B8A">
        <w:rPr>
          <w:sz w:val="24"/>
          <w:szCs w:val="24"/>
        </w:rPr>
        <w:tab/>
      </w:r>
      <w:r w:rsidR="007869EE" w:rsidRPr="00991B8A">
        <w:rPr>
          <w:sz w:val="24"/>
          <w:szCs w:val="24"/>
        </w:rPr>
        <w:t xml:space="preserve">cca </w:t>
      </w:r>
      <w:r w:rsidR="00402AAA" w:rsidRPr="00991B8A">
        <w:rPr>
          <w:sz w:val="24"/>
          <w:szCs w:val="24"/>
        </w:rPr>
        <w:t>21,</w:t>
      </w:r>
      <w:r w:rsidR="00F366E1" w:rsidRPr="00991B8A">
        <w:rPr>
          <w:sz w:val="24"/>
          <w:szCs w:val="24"/>
        </w:rPr>
        <w:t>0</w:t>
      </w:r>
      <w:r w:rsidR="00E478D3" w:rsidRPr="00991B8A">
        <w:rPr>
          <w:sz w:val="24"/>
          <w:szCs w:val="24"/>
        </w:rPr>
        <w:t xml:space="preserve"> </w:t>
      </w:r>
      <w:r w:rsidRPr="00991B8A">
        <w:rPr>
          <w:sz w:val="24"/>
          <w:szCs w:val="24"/>
        </w:rPr>
        <w:t xml:space="preserve">tis. osôb </w:t>
      </w:r>
    </w:p>
    <w:p w:rsidR="00A02254" w:rsidRPr="00991B8A" w:rsidRDefault="00A02254" w:rsidP="00A02254">
      <w:pPr>
        <w:pStyle w:val="Nzov"/>
        <w:jc w:val="both"/>
        <w:rPr>
          <w:b/>
          <w:bCs/>
          <w:sz w:val="24"/>
          <w:szCs w:val="24"/>
        </w:rPr>
      </w:pPr>
    </w:p>
    <w:p w:rsidR="00A02254" w:rsidRPr="00991B8A" w:rsidRDefault="005456BB" w:rsidP="00A02254">
      <w:pPr>
        <w:pStyle w:val="Nzov"/>
        <w:ind w:firstLine="709"/>
        <w:jc w:val="both"/>
        <w:rPr>
          <w:bCs/>
          <w:sz w:val="24"/>
          <w:szCs w:val="24"/>
        </w:rPr>
      </w:pPr>
      <w:r w:rsidRPr="00991B8A">
        <w:rPr>
          <w:iCs/>
          <w:sz w:val="24"/>
          <w:szCs w:val="24"/>
        </w:rPr>
        <w:t>V</w:t>
      </w:r>
      <w:r w:rsidR="00A02254" w:rsidRPr="00991B8A">
        <w:rPr>
          <w:bCs/>
          <w:sz w:val="24"/>
          <w:szCs w:val="24"/>
        </w:rPr>
        <w:t xml:space="preserve">plyv zvýšenia doplatkov do novej sumy minimálnej mzdy </w:t>
      </w:r>
      <w:r w:rsidR="00A02254" w:rsidRPr="00991B8A">
        <w:rPr>
          <w:b/>
          <w:sz w:val="24"/>
          <w:szCs w:val="24"/>
        </w:rPr>
        <w:t>na štátny rozpočet</w:t>
      </w:r>
      <w:r w:rsidR="00A02254" w:rsidRPr="00991B8A">
        <w:rPr>
          <w:bCs/>
          <w:sz w:val="24"/>
          <w:szCs w:val="24"/>
        </w:rPr>
        <w:t>:</w:t>
      </w:r>
    </w:p>
    <w:p w:rsidR="00A02254" w:rsidRPr="00991B8A" w:rsidRDefault="00A02254" w:rsidP="00A02254">
      <w:pPr>
        <w:pStyle w:val="Nzov"/>
        <w:ind w:firstLine="709"/>
        <w:jc w:val="both"/>
        <w:rPr>
          <w:bCs/>
          <w:sz w:val="24"/>
          <w:szCs w:val="24"/>
        </w:rPr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95"/>
        <w:gridCol w:w="2195"/>
        <w:gridCol w:w="2268"/>
      </w:tblGrid>
      <w:tr w:rsidR="00A02254" w:rsidRPr="00991B8A" w:rsidTr="0063665B">
        <w:tc>
          <w:tcPr>
            <w:tcW w:w="3119" w:type="dxa"/>
            <w:vMerge w:val="restart"/>
            <w:shd w:val="clear" w:color="auto" w:fill="auto"/>
            <w:vAlign w:val="center"/>
          </w:tcPr>
          <w:p w:rsidR="00A02254" w:rsidRPr="00991B8A" w:rsidRDefault="00A02254" w:rsidP="0063665B">
            <w:pPr>
              <w:pStyle w:val="Nzov"/>
              <w:tabs>
                <w:tab w:val="left" w:pos="1800"/>
              </w:tabs>
              <w:jc w:val="left"/>
              <w:rPr>
                <w:sz w:val="24"/>
                <w:szCs w:val="24"/>
                <w:lang w:bidi="bn-BD"/>
              </w:rPr>
            </w:pPr>
            <w:r w:rsidRPr="00991B8A">
              <w:rPr>
                <w:sz w:val="24"/>
                <w:szCs w:val="24"/>
                <w:lang w:bidi="bn-BD"/>
              </w:rPr>
              <w:t>Mzdové pásmo</w:t>
            </w:r>
          </w:p>
          <w:p w:rsidR="00A02254" w:rsidRPr="00991B8A" w:rsidRDefault="00A02254" w:rsidP="0063665B">
            <w:pPr>
              <w:pStyle w:val="Nzov"/>
              <w:tabs>
                <w:tab w:val="left" w:pos="1800"/>
              </w:tabs>
              <w:jc w:val="left"/>
              <w:rPr>
                <w:sz w:val="24"/>
                <w:szCs w:val="24"/>
                <w:lang w:bidi="bn-BD"/>
              </w:rPr>
            </w:pPr>
            <w:r w:rsidRPr="00991B8A">
              <w:rPr>
                <w:sz w:val="24"/>
                <w:szCs w:val="24"/>
                <w:lang w:bidi="bn-BD"/>
              </w:rPr>
              <w:t>hrubej priemernej</w:t>
            </w:r>
          </w:p>
          <w:p w:rsidR="00A02254" w:rsidRPr="00991B8A" w:rsidRDefault="00A02254" w:rsidP="0063665B">
            <w:pPr>
              <w:pStyle w:val="Nzov"/>
              <w:tabs>
                <w:tab w:val="left" w:pos="1800"/>
              </w:tabs>
              <w:jc w:val="left"/>
              <w:rPr>
                <w:sz w:val="24"/>
                <w:szCs w:val="24"/>
                <w:lang w:bidi="bn-BD"/>
              </w:rPr>
            </w:pPr>
            <w:r w:rsidRPr="00991B8A">
              <w:rPr>
                <w:sz w:val="24"/>
                <w:szCs w:val="24"/>
                <w:lang w:bidi="bn-BD"/>
              </w:rPr>
              <w:t>mesačnej mzdy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A02254" w:rsidRPr="00991B8A" w:rsidRDefault="00A02254" w:rsidP="0063665B">
            <w:pPr>
              <w:pStyle w:val="Nzov"/>
              <w:tabs>
                <w:tab w:val="left" w:pos="1800"/>
              </w:tabs>
              <w:rPr>
                <w:b/>
                <w:sz w:val="24"/>
                <w:szCs w:val="24"/>
                <w:lang w:bidi="bn-BD"/>
              </w:rPr>
            </w:pPr>
            <w:r w:rsidRPr="00991B8A">
              <w:rPr>
                <w:b/>
                <w:bCs/>
                <w:sz w:val="24"/>
                <w:szCs w:val="24"/>
                <w:lang w:bidi="bn-BD"/>
              </w:rPr>
              <w:t>Zamestnanci napojení na štátny rozpočet</w:t>
            </w:r>
          </w:p>
        </w:tc>
      </w:tr>
      <w:tr w:rsidR="00A02254" w:rsidRPr="00991B8A" w:rsidTr="0063665B">
        <w:tc>
          <w:tcPr>
            <w:tcW w:w="3119" w:type="dxa"/>
            <w:vMerge/>
            <w:shd w:val="clear" w:color="auto" w:fill="auto"/>
            <w:vAlign w:val="center"/>
          </w:tcPr>
          <w:p w:rsidR="00A02254" w:rsidRPr="00991B8A" w:rsidRDefault="00A02254" w:rsidP="0063665B">
            <w:pPr>
              <w:pStyle w:val="Nzov"/>
              <w:tabs>
                <w:tab w:val="left" w:pos="1800"/>
              </w:tabs>
              <w:jc w:val="left"/>
              <w:rPr>
                <w:sz w:val="24"/>
                <w:szCs w:val="24"/>
                <w:lang w:bidi="bn-BD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02254" w:rsidRPr="00991B8A" w:rsidRDefault="00A02254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  <w:r w:rsidRPr="00991B8A">
              <w:rPr>
                <w:bCs/>
                <w:sz w:val="24"/>
                <w:szCs w:val="24"/>
                <w:lang w:bidi="bn-BD"/>
              </w:rPr>
              <w:t>Podiely v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02254" w:rsidRPr="00991B8A" w:rsidRDefault="00A02254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  <w:r w:rsidRPr="00991B8A">
              <w:rPr>
                <w:bCs/>
                <w:sz w:val="24"/>
                <w:szCs w:val="24"/>
                <w:lang w:bidi="bn-BD"/>
              </w:rPr>
              <w:t xml:space="preserve">Počet zamestnancov </w:t>
            </w:r>
          </w:p>
        </w:tc>
        <w:tc>
          <w:tcPr>
            <w:tcW w:w="2268" w:type="dxa"/>
            <w:shd w:val="clear" w:color="auto" w:fill="auto"/>
          </w:tcPr>
          <w:p w:rsidR="00A02254" w:rsidRPr="00991B8A" w:rsidRDefault="00A02254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  <w:r w:rsidRPr="00991B8A">
              <w:rPr>
                <w:bCs/>
                <w:sz w:val="24"/>
                <w:szCs w:val="24"/>
                <w:lang w:bidi="bn-BD"/>
              </w:rPr>
              <w:t>Potreba na doplatky v eurách mesačne</w:t>
            </w:r>
          </w:p>
        </w:tc>
      </w:tr>
      <w:tr w:rsidR="00A173CD" w:rsidRPr="00991B8A" w:rsidTr="0063665B">
        <w:tc>
          <w:tcPr>
            <w:tcW w:w="3119" w:type="dxa"/>
            <w:shd w:val="clear" w:color="auto" w:fill="auto"/>
          </w:tcPr>
          <w:p w:rsidR="00A173CD" w:rsidRPr="00991B8A" w:rsidRDefault="00A173CD" w:rsidP="0063665B">
            <w:pPr>
              <w:pStyle w:val="Nzov"/>
              <w:tabs>
                <w:tab w:val="left" w:pos="1800"/>
              </w:tabs>
              <w:jc w:val="left"/>
              <w:rPr>
                <w:sz w:val="24"/>
                <w:szCs w:val="24"/>
                <w:lang w:bidi="bn-BD"/>
              </w:rPr>
            </w:pPr>
            <w:r w:rsidRPr="00991B8A">
              <w:rPr>
                <w:sz w:val="24"/>
                <w:szCs w:val="24"/>
                <w:lang w:bidi="bn-BD"/>
              </w:rPr>
              <w:t>do 480 eur</w:t>
            </w:r>
          </w:p>
        </w:tc>
        <w:tc>
          <w:tcPr>
            <w:tcW w:w="1595" w:type="dxa"/>
            <w:shd w:val="clear" w:color="auto" w:fill="auto"/>
          </w:tcPr>
          <w:p w:rsidR="00A173CD" w:rsidRPr="00991B8A" w:rsidRDefault="00A173CD" w:rsidP="0063665B">
            <w:pPr>
              <w:jc w:val="center"/>
              <w:rPr>
                <w:lang w:bidi="bn-BD"/>
              </w:rPr>
            </w:pPr>
            <w:r w:rsidRPr="00991B8A">
              <w:t>2,455</w:t>
            </w:r>
          </w:p>
        </w:tc>
        <w:tc>
          <w:tcPr>
            <w:tcW w:w="2195" w:type="dxa"/>
            <w:shd w:val="clear" w:color="auto" w:fill="auto"/>
          </w:tcPr>
          <w:p w:rsidR="00A173CD" w:rsidRPr="00991B8A" w:rsidRDefault="00A173CD" w:rsidP="0063665B">
            <w:pPr>
              <w:jc w:val="center"/>
              <w:rPr>
                <w:lang w:bidi="bn-BD"/>
              </w:rPr>
            </w:pPr>
            <w:r w:rsidRPr="00991B8A">
              <w:t>4 136,8</w:t>
            </w:r>
          </w:p>
        </w:tc>
        <w:tc>
          <w:tcPr>
            <w:tcW w:w="2268" w:type="dxa"/>
            <w:shd w:val="clear" w:color="auto" w:fill="auto"/>
          </w:tcPr>
          <w:p w:rsidR="00A173CD" w:rsidRPr="00991B8A" w:rsidRDefault="00A173CD" w:rsidP="0063665B">
            <w:pPr>
              <w:jc w:val="center"/>
              <w:rPr>
                <w:lang w:bidi="bn-BD"/>
              </w:rPr>
            </w:pPr>
            <w:r w:rsidRPr="00991B8A">
              <w:t>165 472,00</w:t>
            </w:r>
          </w:p>
        </w:tc>
      </w:tr>
      <w:tr w:rsidR="00A173CD" w:rsidRPr="00991B8A" w:rsidTr="0063665B">
        <w:tc>
          <w:tcPr>
            <w:tcW w:w="3119" w:type="dxa"/>
            <w:shd w:val="clear" w:color="auto" w:fill="auto"/>
          </w:tcPr>
          <w:p w:rsidR="00A173CD" w:rsidRPr="00991B8A" w:rsidRDefault="00A173CD" w:rsidP="0063665B">
            <w:pPr>
              <w:pStyle w:val="Nzov"/>
              <w:tabs>
                <w:tab w:val="left" w:pos="1800"/>
              </w:tabs>
              <w:jc w:val="left"/>
              <w:rPr>
                <w:sz w:val="24"/>
                <w:szCs w:val="24"/>
                <w:lang w:bidi="bn-BD"/>
              </w:rPr>
            </w:pPr>
            <w:r w:rsidRPr="00991B8A">
              <w:rPr>
                <w:sz w:val="24"/>
                <w:szCs w:val="24"/>
                <w:lang w:bidi="bn-BD"/>
              </w:rPr>
              <w:t>nad 480 eur do  520 eur</w:t>
            </w:r>
          </w:p>
        </w:tc>
        <w:tc>
          <w:tcPr>
            <w:tcW w:w="1595" w:type="dxa"/>
            <w:shd w:val="clear" w:color="auto" w:fill="auto"/>
          </w:tcPr>
          <w:p w:rsidR="00A173CD" w:rsidRPr="00991B8A" w:rsidRDefault="00A173CD" w:rsidP="0063665B">
            <w:pPr>
              <w:jc w:val="center"/>
              <w:rPr>
                <w:lang w:bidi="bn-BD"/>
              </w:rPr>
            </w:pPr>
            <w:r w:rsidRPr="00991B8A">
              <w:t>6,527</w:t>
            </w:r>
          </w:p>
        </w:tc>
        <w:tc>
          <w:tcPr>
            <w:tcW w:w="2195" w:type="dxa"/>
            <w:shd w:val="clear" w:color="auto" w:fill="auto"/>
          </w:tcPr>
          <w:p w:rsidR="00A173CD" w:rsidRPr="00991B8A" w:rsidRDefault="00A173CD" w:rsidP="0063665B">
            <w:pPr>
              <w:jc w:val="center"/>
              <w:rPr>
                <w:lang w:bidi="bn-BD"/>
              </w:rPr>
            </w:pPr>
            <w:r w:rsidRPr="00991B8A">
              <w:t>11 000,2</w:t>
            </w:r>
          </w:p>
        </w:tc>
        <w:tc>
          <w:tcPr>
            <w:tcW w:w="2268" w:type="dxa"/>
            <w:shd w:val="clear" w:color="auto" w:fill="auto"/>
          </w:tcPr>
          <w:p w:rsidR="00A173CD" w:rsidRPr="00991B8A" w:rsidRDefault="00A173CD" w:rsidP="0063665B">
            <w:pPr>
              <w:jc w:val="center"/>
              <w:rPr>
                <w:lang w:bidi="bn-BD"/>
              </w:rPr>
            </w:pPr>
            <w:r w:rsidRPr="00991B8A">
              <w:t>290 488,95</w:t>
            </w:r>
          </w:p>
        </w:tc>
      </w:tr>
      <w:tr w:rsidR="00A02254" w:rsidRPr="00991B8A" w:rsidTr="0063665B">
        <w:trPr>
          <w:trHeight w:val="270"/>
        </w:trPr>
        <w:tc>
          <w:tcPr>
            <w:tcW w:w="3119" w:type="dxa"/>
            <w:shd w:val="clear" w:color="auto" w:fill="FFFFCC"/>
            <w:noWrap/>
            <w:vAlign w:val="center"/>
          </w:tcPr>
          <w:p w:rsidR="00A02254" w:rsidRPr="00991B8A" w:rsidRDefault="00A02254" w:rsidP="0063665B">
            <w:pPr>
              <w:rPr>
                <w:b/>
                <w:lang w:bidi="bn-BD"/>
              </w:rPr>
            </w:pPr>
            <w:r w:rsidRPr="00991B8A">
              <w:rPr>
                <w:b/>
                <w:lang w:bidi="bn-BD"/>
              </w:rPr>
              <w:t xml:space="preserve">Počet zamestnancov s doplatkom </w:t>
            </w:r>
            <w:r w:rsidRPr="00991B8A">
              <w:rPr>
                <w:bCs/>
                <w:lang w:bidi="bn-BD"/>
              </w:rPr>
              <w:t>(št. rozpočet):</w:t>
            </w:r>
          </w:p>
        </w:tc>
        <w:tc>
          <w:tcPr>
            <w:tcW w:w="1595" w:type="dxa"/>
            <w:shd w:val="clear" w:color="auto" w:fill="FFFFCC"/>
            <w:noWrap/>
            <w:vAlign w:val="center"/>
          </w:tcPr>
          <w:p w:rsidR="00A02254" w:rsidRPr="00991B8A" w:rsidRDefault="00A173CD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15 137,0</w:t>
            </w:r>
          </w:p>
        </w:tc>
        <w:tc>
          <w:tcPr>
            <w:tcW w:w="2195" w:type="dxa"/>
            <w:shd w:val="clear" w:color="auto" w:fill="FFFFCC"/>
            <w:noWrap/>
            <w:vAlign w:val="center"/>
          </w:tcPr>
          <w:p w:rsidR="00A02254" w:rsidRPr="00991B8A" w:rsidRDefault="00A02254" w:rsidP="0063665B">
            <w:pPr>
              <w:rPr>
                <w:b/>
                <w:bCs/>
                <w:lang w:bidi="bn-BD"/>
              </w:rPr>
            </w:pPr>
            <w:r w:rsidRPr="00991B8A">
              <w:rPr>
                <w:b/>
                <w:bCs/>
                <w:lang w:bidi="bn-BD"/>
              </w:rPr>
              <w:t>Zvýšenie objemu doplatkov spolu: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A02254" w:rsidRPr="00991B8A" w:rsidRDefault="00A173CD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455 960,95</w:t>
            </w:r>
          </w:p>
        </w:tc>
      </w:tr>
    </w:tbl>
    <w:p w:rsidR="00A02254" w:rsidRPr="00991B8A" w:rsidRDefault="00A02254" w:rsidP="00A02254">
      <w:pPr>
        <w:pStyle w:val="Nzov"/>
        <w:ind w:firstLine="708"/>
        <w:jc w:val="both"/>
        <w:rPr>
          <w:b/>
          <w:bCs/>
          <w:sz w:val="24"/>
          <w:szCs w:val="24"/>
        </w:rPr>
      </w:pPr>
    </w:p>
    <w:p w:rsidR="00A02254" w:rsidRPr="00991B8A" w:rsidRDefault="00A02254" w:rsidP="00A02254">
      <w:pPr>
        <w:pStyle w:val="Nzov"/>
        <w:ind w:firstLine="708"/>
        <w:jc w:val="both"/>
        <w:rPr>
          <w:sz w:val="24"/>
          <w:szCs w:val="24"/>
        </w:rPr>
      </w:pPr>
      <w:r w:rsidRPr="00991B8A">
        <w:rPr>
          <w:b/>
          <w:sz w:val="24"/>
          <w:szCs w:val="24"/>
        </w:rPr>
        <w:t xml:space="preserve">Výpočet zvýšenia výdavkov zo štátneho rozpočtu </w:t>
      </w:r>
      <w:r w:rsidRPr="00991B8A">
        <w:rPr>
          <w:sz w:val="24"/>
          <w:szCs w:val="24"/>
        </w:rPr>
        <w:t xml:space="preserve">vrátane odvodov do poistných fondov v roku </w:t>
      </w:r>
      <w:r w:rsidR="00E80E64" w:rsidRPr="00991B8A">
        <w:rPr>
          <w:sz w:val="24"/>
          <w:szCs w:val="24"/>
        </w:rPr>
        <w:t>2019</w:t>
      </w:r>
      <w:r w:rsidRPr="00991B8A">
        <w:rPr>
          <w:sz w:val="24"/>
          <w:szCs w:val="24"/>
        </w:rPr>
        <w:t>:</w:t>
      </w:r>
    </w:p>
    <w:p w:rsidR="00A02254" w:rsidRPr="00991B8A" w:rsidRDefault="00A02254" w:rsidP="00A02254">
      <w:pPr>
        <w:pStyle w:val="Nzov"/>
        <w:tabs>
          <w:tab w:val="left" w:pos="1800"/>
        </w:tabs>
        <w:ind w:left="2160" w:hanging="2160"/>
        <w:jc w:val="both"/>
        <w:rPr>
          <w:sz w:val="24"/>
          <w:szCs w:val="24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0"/>
        <w:gridCol w:w="1980"/>
      </w:tblGrid>
      <w:tr w:rsidR="00A02254" w:rsidRPr="00991B8A" w:rsidTr="0063665B">
        <w:trPr>
          <w:trHeight w:val="315"/>
        </w:trPr>
        <w:tc>
          <w:tcPr>
            <w:tcW w:w="7030" w:type="dxa"/>
            <w:noWrap/>
            <w:vAlign w:val="center"/>
          </w:tcPr>
          <w:p w:rsidR="00A02254" w:rsidRPr="00991B8A" w:rsidRDefault="00A02254" w:rsidP="0063665B">
            <w:pPr>
              <w:rPr>
                <w:i/>
                <w:iCs/>
              </w:rPr>
            </w:pPr>
            <w:r w:rsidRPr="00991B8A">
              <w:rPr>
                <w:i/>
                <w:iCs/>
              </w:rPr>
              <w:t>Zvýšenie výdavkov na platy (bez odvodov) v eurách mesačne:</w:t>
            </w:r>
          </w:p>
        </w:tc>
        <w:tc>
          <w:tcPr>
            <w:tcW w:w="1980" w:type="dxa"/>
          </w:tcPr>
          <w:p w:rsidR="00A02254" w:rsidRPr="00991B8A" w:rsidRDefault="00A173CD" w:rsidP="0063665B">
            <w:pPr>
              <w:jc w:val="center"/>
              <w:rPr>
                <w:i/>
              </w:rPr>
            </w:pPr>
            <w:r w:rsidRPr="00991B8A">
              <w:rPr>
                <w:i/>
              </w:rPr>
              <w:t>455 960,95</w:t>
            </w:r>
          </w:p>
        </w:tc>
      </w:tr>
      <w:tr w:rsidR="00A02254" w:rsidRPr="00991B8A" w:rsidTr="0063665B">
        <w:trPr>
          <w:trHeight w:val="315"/>
        </w:trPr>
        <w:tc>
          <w:tcPr>
            <w:tcW w:w="7030" w:type="dxa"/>
            <w:noWrap/>
            <w:vAlign w:val="center"/>
          </w:tcPr>
          <w:p w:rsidR="00A02254" w:rsidRPr="00991B8A" w:rsidRDefault="00A02254" w:rsidP="0063665B">
            <w:pPr>
              <w:rPr>
                <w:b/>
              </w:rPr>
            </w:pPr>
            <w:r w:rsidRPr="00991B8A">
              <w:rPr>
                <w:b/>
              </w:rPr>
              <w:t>Zvýšenie výdavkov na platy (bez odvodov) v eurách ročne:</w:t>
            </w:r>
          </w:p>
        </w:tc>
        <w:tc>
          <w:tcPr>
            <w:tcW w:w="1980" w:type="dxa"/>
          </w:tcPr>
          <w:p w:rsidR="00A02254" w:rsidRPr="00991B8A" w:rsidRDefault="00A173CD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5 471 531,40</w:t>
            </w:r>
          </w:p>
        </w:tc>
      </w:tr>
      <w:tr w:rsidR="00A173CD" w:rsidRPr="00991B8A" w:rsidTr="0063665B">
        <w:trPr>
          <w:trHeight w:val="330"/>
        </w:trPr>
        <w:tc>
          <w:tcPr>
            <w:tcW w:w="7030" w:type="dxa"/>
            <w:noWrap/>
            <w:vAlign w:val="center"/>
          </w:tcPr>
          <w:p w:rsidR="00A173CD" w:rsidRPr="00991B8A" w:rsidRDefault="00A173CD" w:rsidP="006106F6">
            <w:pPr>
              <w:rPr>
                <w:i/>
              </w:rPr>
            </w:pPr>
            <w:r w:rsidRPr="00991B8A">
              <w:rPr>
                <w:i/>
                <w:iCs/>
              </w:rPr>
              <w:t>Odvody do Sociálnej poisťovne v eurách ročne (odvod = 24,95 %)</w:t>
            </w:r>
          </w:p>
        </w:tc>
        <w:tc>
          <w:tcPr>
            <w:tcW w:w="1980" w:type="dxa"/>
          </w:tcPr>
          <w:p w:rsidR="00A173CD" w:rsidRPr="00991B8A" w:rsidRDefault="00A173CD" w:rsidP="0063665B">
            <w:pPr>
              <w:jc w:val="center"/>
              <w:rPr>
                <w:i/>
              </w:rPr>
            </w:pPr>
            <w:r w:rsidRPr="00991B8A">
              <w:rPr>
                <w:i/>
              </w:rPr>
              <w:t>1 365 147,09</w:t>
            </w:r>
          </w:p>
        </w:tc>
      </w:tr>
      <w:tr w:rsidR="00A173CD" w:rsidRPr="00991B8A" w:rsidTr="0063665B">
        <w:trPr>
          <w:trHeight w:val="330"/>
        </w:trPr>
        <w:tc>
          <w:tcPr>
            <w:tcW w:w="7030" w:type="dxa"/>
            <w:noWrap/>
            <w:vAlign w:val="center"/>
          </w:tcPr>
          <w:p w:rsidR="00A173CD" w:rsidRPr="00991B8A" w:rsidRDefault="00A173CD" w:rsidP="0063665B">
            <w:pPr>
              <w:rPr>
                <w:i/>
              </w:rPr>
            </w:pPr>
            <w:r w:rsidRPr="00991B8A">
              <w:rPr>
                <w:i/>
                <w:iCs/>
              </w:rPr>
              <w:t>Odvody do zdravotných poisťovní v eurách ročne</w:t>
            </w:r>
          </w:p>
        </w:tc>
        <w:tc>
          <w:tcPr>
            <w:tcW w:w="1980" w:type="dxa"/>
          </w:tcPr>
          <w:p w:rsidR="00A173CD" w:rsidRPr="00991B8A" w:rsidRDefault="00A173CD" w:rsidP="0063665B">
            <w:pPr>
              <w:jc w:val="center"/>
              <w:rPr>
                <w:i/>
              </w:rPr>
            </w:pPr>
            <w:r w:rsidRPr="00991B8A">
              <w:rPr>
                <w:i/>
              </w:rPr>
              <w:t>550 748,80</w:t>
            </w:r>
          </w:p>
        </w:tc>
      </w:tr>
      <w:tr w:rsidR="00E3784C" w:rsidRPr="00991B8A" w:rsidTr="0063665B">
        <w:trPr>
          <w:trHeight w:val="330"/>
        </w:trPr>
        <w:tc>
          <w:tcPr>
            <w:tcW w:w="7030" w:type="dxa"/>
            <w:noWrap/>
            <w:vAlign w:val="center"/>
          </w:tcPr>
          <w:p w:rsidR="00E3784C" w:rsidRPr="00991B8A" w:rsidRDefault="00E3784C" w:rsidP="0063665B">
            <w:pPr>
              <w:rPr>
                <w:b/>
              </w:rPr>
            </w:pPr>
            <w:r w:rsidRPr="00991B8A">
              <w:rPr>
                <w:b/>
              </w:rPr>
              <w:t>Odvody zamestnávateľa do poistných fondov spolu v eurách ročne</w:t>
            </w:r>
          </w:p>
        </w:tc>
        <w:tc>
          <w:tcPr>
            <w:tcW w:w="1980" w:type="dxa"/>
          </w:tcPr>
          <w:p w:rsidR="00E3784C" w:rsidRPr="00991B8A" w:rsidRDefault="00E3784C" w:rsidP="0063665B">
            <w:pPr>
              <w:jc w:val="center"/>
              <w:rPr>
                <w:b/>
              </w:rPr>
            </w:pPr>
            <w:r w:rsidRPr="00991B8A">
              <w:rPr>
                <w:b/>
              </w:rPr>
              <w:t>1 915 895,89</w:t>
            </w:r>
          </w:p>
        </w:tc>
      </w:tr>
      <w:tr w:rsidR="00E3784C" w:rsidRPr="00991B8A" w:rsidTr="0063665B">
        <w:trPr>
          <w:trHeight w:val="375"/>
        </w:trPr>
        <w:tc>
          <w:tcPr>
            <w:tcW w:w="7030" w:type="dxa"/>
            <w:shd w:val="clear" w:color="auto" w:fill="FFFFCC"/>
            <w:noWrap/>
            <w:vAlign w:val="center"/>
          </w:tcPr>
          <w:p w:rsidR="00E3784C" w:rsidRPr="00991B8A" w:rsidRDefault="00E3784C" w:rsidP="0063665B">
            <w:pPr>
              <w:rPr>
                <w:b/>
              </w:rPr>
            </w:pPr>
            <w:r w:rsidRPr="00991B8A">
              <w:rPr>
                <w:b/>
              </w:rPr>
              <w:t>Zvýšenie výdavkov na platy vrátane odvodov v eurách ročne</w:t>
            </w:r>
          </w:p>
        </w:tc>
        <w:tc>
          <w:tcPr>
            <w:tcW w:w="1980" w:type="dxa"/>
            <w:shd w:val="clear" w:color="auto" w:fill="FFFFCC"/>
          </w:tcPr>
          <w:p w:rsidR="00E3784C" w:rsidRPr="00991B8A" w:rsidRDefault="00E3784C" w:rsidP="0063665B">
            <w:pPr>
              <w:jc w:val="center"/>
              <w:rPr>
                <w:b/>
              </w:rPr>
            </w:pPr>
            <w:r w:rsidRPr="00991B8A">
              <w:rPr>
                <w:b/>
              </w:rPr>
              <w:t>7 387 427,29</w:t>
            </w:r>
          </w:p>
        </w:tc>
      </w:tr>
    </w:tbl>
    <w:p w:rsidR="00A02254" w:rsidRPr="00991B8A" w:rsidRDefault="00A02254" w:rsidP="00A02254">
      <w:pPr>
        <w:pStyle w:val="Nzov"/>
        <w:ind w:firstLine="708"/>
        <w:jc w:val="both"/>
        <w:rPr>
          <w:b/>
          <w:bCs/>
          <w:i/>
          <w:iCs/>
          <w:sz w:val="24"/>
          <w:szCs w:val="24"/>
        </w:rPr>
      </w:pPr>
    </w:p>
    <w:p w:rsidR="00A02254" w:rsidRPr="00991B8A" w:rsidRDefault="00A02254" w:rsidP="00A0360F">
      <w:pPr>
        <w:pStyle w:val="Nzov"/>
        <w:ind w:firstLine="708"/>
        <w:jc w:val="both"/>
        <w:rPr>
          <w:b/>
          <w:bCs/>
          <w:sz w:val="24"/>
          <w:szCs w:val="24"/>
        </w:rPr>
      </w:pPr>
    </w:p>
    <w:p w:rsidR="002A5D7C" w:rsidRPr="00991B8A" w:rsidRDefault="002A5D7C" w:rsidP="00A0360F">
      <w:pPr>
        <w:pStyle w:val="Nzov"/>
        <w:ind w:firstLine="708"/>
        <w:jc w:val="both"/>
        <w:rPr>
          <w:b/>
          <w:bCs/>
          <w:sz w:val="24"/>
          <w:szCs w:val="24"/>
        </w:rPr>
      </w:pPr>
      <w:r w:rsidRPr="00991B8A">
        <w:rPr>
          <w:b/>
          <w:bCs/>
          <w:sz w:val="24"/>
          <w:szCs w:val="24"/>
        </w:rPr>
        <w:t>B.2 – Zamestnanci napojení na r</w:t>
      </w:r>
      <w:r w:rsidR="00F44F6E" w:rsidRPr="00991B8A">
        <w:rPr>
          <w:b/>
          <w:bCs/>
          <w:sz w:val="24"/>
          <w:szCs w:val="24"/>
        </w:rPr>
        <w:t>o</w:t>
      </w:r>
      <w:r w:rsidRPr="00991B8A">
        <w:rPr>
          <w:b/>
          <w:bCs/>
          <w:sz w:val="24"/>
          <w:szCs w:val="24"/>
        </w:rPr>
        <w:t>zpočty územnej samosprávy</w:t>
      </w:r>
    </w:p>
    <w:p w:rsidR="00A0360F" w:rsidRPr="00991B8A" w:rsidRDefault="00A0360F" w:rsidP="00A0360F">
      <w:pPr>
        <w:pStyle w:val="Nzov"/>
        <w:ind w:firstLine="709"/>
        <w:jc w:val="both"/>
        <w:rPr>
          <w:sz w:val="24"/>
          <w:szCs w:val="24"/>
        </w:rPr>
      </w:pPr>
    </w:p>
    <w:p w:rsidR="002A5D7C" w:rsidRPr="00991B8A" w:rsidRDefault="002A5D7C" w:rsidP="00A0360F">
      <w:pPr>
        <w:pStyle w:val="Nzov"/>
        <w:ind w:firstLine="709"/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Z celkového počtu zamestnancov územnej samosprávy </w:t>
      </w:r>
      <w:r w:rsidR="009066D0" w:rsidRPr="00991B8A">
        <w:rPr>
          <w:sz w:val="24"/>
          <w:szCs w:val="24"/>
        </w:rPr>
        <w:t xml:space="preserve">vrátane prenesených kompetencií </w:t>
      </w:r>
      <w:r w:rsidRPr="00991B8A">
        <w:rPr>
          <w:sz w:val="24"/>
          <w:szCs w:val="24"/>
        </w:rPr>
        <w:t>cca</w:t>
      </w:r>
      <w:r w:rsidR="001F7C69" w:rsidRPr="00991B8A">
        <w:rPr>
          <w:sz w:val="24"/>
          <w:szCs w:val="24"/>
        </w:rPr>
        <w:t xml:space="preserve"> </w:t>
      </w:r>
      <w:r w:rsidR="00E3784C" w:rsidRPr="00991B8A">
        <w:rPr>
          <w:sz w:val="24"/>
          <w:szCs w:val="24"/>
        </w:rPr>
        <w:t>180,</w:t>
      </w:r>
      <w:r w:rsidR="001934BA" w:rsidRPr="00991B8A">
        <w:rPr>
          <w:sz w:val="24"/>
          <w:szCs w:val="24"/>
        </w:rPr>
        <w:t>56</w:t>
      </w:r>
      <w:r w:rsidR="00E3784C" w:rsidRPr="00991B8A">
        <w:rPr>
          <w:sz w:val="24"/>
          <w:szCs w:val="24"/>
        </w:rPr>
        <w:t xml:space="preserve"> </w:t>
      </w:r>
      <w:r w:rsidRPr="00991B8A">
        <w:rPr>
          <w:sz w:val="24"/>
          <w:szCs w:val="24"/>
        </w:rPr>
        <w:t xml:space="preserve">tis. osôb </w:t>
      </w:r>
      <w:r w:rsidR="00E73AB0" w:rsidRPr="00991B8A">
        <w:rPr>
          <w:sz w:val="24"/>
          <w:szCs w:val="24"/>
        </w:rPr>
        <w:t>predstavuje</w:t>
      </w:r>
      <w:r w:rsidRPr="00991B8A">
        <w:rPr>
          <w:sz w:val="24"/>
          <w:szCs w:val="24"/>
        </w:rPr>
        <w:t>:</w:t>
      </w:r>
    </w:p>
    <w:p w:rsidR="00E73AB0" w:rsidRPr="00991B8A" w:rsidRDefault="00E73AB0" w:rsidP="00A0360F">
      <w:pPr>
        <w:pStyle w:val="Nzov"/>
        <w:numPr>
          <w:ilvl w:val="0"/>
          <w:numId w:val="11"/>
        </w:numPr>
        <w:tabs>
          <w:tab w:val="clear" w:pos="2160"/>
        </w:tabs>
        <w:ind w:left="714" w:hanging="357"/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počet zamestnancov VÚC </w:t>
      </w:r>
      <w:r w:rsidRPr="00991B8A">
        <w:rPr>
          <w:sz w:val="24"/>
          <w:szCs w:val="24"/>
        </w:rPr>
        <w:tab/>
      </w:r>
      <w:r w:rsidRPr="00991B8A">
        <w:rPr>
          <w:sz w:val="24"/>
          <w:szCs w:val="24"/>
        </w:rPr>
        <w:tab/>
      </w:r>
      <w:r w:rsidRPr="00991B8A">
        <w:rPr>
          <w:sz w:val="24"/>
          <w:szCs w:val="24"/>
        </w:rPr>
        <w:tab/>
      </w:r>
      <w:r w:rsidRPr="00991B8A">
        <w:rPr>
          <w:sz w:val="24"/>
          <w:szCs w:val="24"/>
        </w:rPr>
        <w:tab/>
      </w:r>
      <w:r w:rsidR="00B728DF" w:rsidRPr="00991B8A">
        <w:rPr>
          <w:sz w:val="24"/>
          <w:szCs w:val="24"/>
        </w:rPr>
        <w:tab/>
      </w:r>
      <w:r w:rsidR="00BB685C" w:rsidRPr="00991B8A">
        <w:rPr>
          <w:sz w:val="24"/>
          <w:szCs w:val="24"/>
        </w:rPr>
        <w:tab/>
      </w:r>
      <w:r w:rsidRPr="00991B8A">
        <w:rPr>
          <w:sz w:val="24"/>
          <w:szCs w:val="24"/>
        </w:rPr>
        <w:t>cca</w:t>
      </w:r>
      <w:r w:rsidR="00614432" w:rsidRPr="00991B8A">
        <w:rPr>
          <w:sz w:val="24"/>
          <w:szCs w:val="24"/>
        </w:rPr>
        <w:t xml:space="preserve"> </w:t>
      </w:r>
      <w:r w:rsidR="00D84DDF" w:rsidRPr="00991B8A">
        <w:rPr>
          <w:sz w:val="24"/>
          <w:szCs w:val="24"/>
        </w:rPr>
        <w:t xml:space="preserve"> </w:t>
      </w:r>
      <w:r w:rsidR="00EA5700" w:rsidRPr="00991B8A">
        <w:rPr>
          <w:sz w:val="24"/>
          <w:szCs w:val="24"/>
        </w:rPr>
        <w:t>43</w:t>
      </w:r>
      <w:r w:rsidR="00191A68" w:rsidRPr="00991B8A">
        <w:rPr>
          <w:sz w:val="24"/>
          <w:szCs w:val="24"/>
        </w:rPr>
        <w:t>,</w:t>
      </w:r>
      <w:r w:rsidR="00E3784C" w:rsidRPr="00991B8A">
        <w:rPr>
          <w:sz w:val="24"/>
          <w:szCs w:val="24"/>
        </w:rPr>
        <w:t>0</w:t>
      </w:r>
      <w:r w:rsidR="001934BA" w:rsidRPr="00991B8A">
        <w:rPr>
          <w:sz w:val="24"/>
          <w:szCs w:val="24"/>
        </w:rPr>
        <w:t>0</w:t>
      </w:r>
      <w:r w:rsidR="00191A68" w:rsidRPr="00991B8A">
        <w:rPr>
          <w:sz w:val="24"/>
          <w:szCs w:val="24"/>
        </w:rPr>
        <w:t xml:space="preserve"> </w:t>
      </w:r>
      <w:r w:rsidRPr="00991B8A">
        <w:rPr>
          <w:sz w:val="24"/>
          <w:szCs w:val="24"/>
        </w:rPr>
        <w:t>tis. osôb a</w:t>
      </w:r>
    </w:p>
    <w:p w:rsidR="002A5D7C" w:rsidRPr="00991B8A" w:rsidRDefault="002A5D7C" w:rsidP="00A0360F">
      <w:pPr>
        <w:pStyle w:val="Nzov"/>
        <w:numPr>
          <w:ilvl w:val="0"/>
          <w:numId w:val="11"/>
        </w:numPr>
        <w:tabs>
          <w:tab w:val="clear" w:pos="2160"/>
        </w:tabs>
        <w:ind w:left="714" w:hanging="357"/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počet zamestnancov obcí </w:t>
      </w:r>
      <w:r w:rsidR="00E73AB0" w:rsidRPr="00991B8A">
        <w:rPr>
          <w:sz w:val="24"/>
          <w:szCs w:val="24"/>
        </w:rPr>
        <w:tab/>
      </w:r>
      <w:r w:rsidR="00E73AB0" w:rsidRPr="00991B8A">
        <w:rPr>
          <w:sz w:val="24"/>
          <w:szCs w:val="24"/>
        </w:rPr>
        <w:tab/>
      </w:r>
      <w:r w:rsidR="00E73AB0" w:rsidRPr="00991B8A">
        <w:rPr>
          <w:sz w:val="24"/>
          <w:szCs w:val="24"/>
        </w:rPr>
        <w:tab/>
      </w:r>
      <w:r w:rsidR="00BB685C" w:rsidRPr="00991B8A">
        <w:rPr>
          <w:sz w:val="24"/>
          <w:szCs w:val="24"/>
        </w:rPr>
        <w:tab/>
      </w:r>
      <w:r w:rsidR="00B728DF" w:rsidRPr="00991B8A">
        <w:rPr>
          <w:sz w:val="24"/>
          <w:szCs w:val="24"/>
        </w:rPr>
        <w:tab/>
      </w:r>
      <w:r w:rsidR="004760A7" w:rsidRPr="00991B8A">
        <w:rPr>
          <w:sz w:val="24"/>
          <w:szCs w:val="24"/>
        </w:rPr>
        <w:tab/>
      </w:r>
      <w:r w:rsidRPr="00991B8A">
        <w:rPr>
          <w:sz w:val="24"/>
          <w:szCs w:val="24"/>
        </w:rPr>
        <w:t xml:space="preserve">cca </w:t>
      </w:r>
      <w:r w:rsidR="00E3784C" w:rsidRPr="00991B8A">
        <w:rPr>
          <w:sz w:val="24"/>
          <w:szCs w:val="24"/>
        </w:rPr>
        <w:t>137</w:t>
      </w:r>
      <w:r w:rsidR="008F4351" w:rsidRPr="00991B8A">
        <w:rPr>
          <w:sz w:val="24"/>
          <w:szCs w:val="24"/>
        </w:rPr>
        <w:t>,</w:t>
      </w:r>
      <w:r w:rsidR="001934BA" w:rsidRPr="00991B8A">
        <w:rPr>
          <w:sz w:val="24"/>
          <w:szCs w:val="24"/>
        </w:rPr>
        <w:t>5</w:t>
      </w:r>
      <w:r w:rsidR="008F4351" w:rsidRPr="00991B8A">
        <w:rPr>
          <w:sz w:val="24"/>
          <w:szCs w:val="24"/>
        </w:rPr>
        <w:t xml:space="preserve">6 </w:t>
      </w:r>
      <w:r w:rsidRPr="00991B8A">
        <w:rPr>
          <w:sz w:val="24"/>
          <w:szCs w:val="24"/>
        </w:rPr>
        <w:t xml:space="preserve">tis. </w:t>
      </w:r>
      <w:r w:rsidR="009066D0" w:rsidRPr="00991B8A">
        <w:rPr>
          <w:sz w:val="24"/>
          <w:szCs w:val="24"/>
        </w:rPr>
        <w:t>osôb.</w:t>
      </w:r>
    </w:p>
    <w:p w:rsidR="002A5D7C" w:rsidRPr="00991B8A" w:rsidRDefault="002A5D7C" w:rsidP="00A0360F">
      <w:pPr>
        <w:pStyle w:val="Nzov"/>
        <w:jc w:val="both"/>
        <w:rPr>
          <w:sz w:val="24"/>
          <w:szCs w:val="24"/>
        </w:rPr>
      </w:pPr>
    </w:p>
    <w:p w:rsidR="002A5D7C" w:rsidRPr="00991B8A" w:rsidRDefault="00F256BE" w:rsidP="00A0360F">
      <w:pPr>
        <w:pStyle w:val="Nzov"/>
        <w:ind w:firstLine="708"/>
        <w:jc w:val="both"/>
        <w:rPr>
          <w:sz w:val="24"/>
          <w:szCs w:val="24"/>
        </w:rPr>
      </w:pPr>
      <w:r w:rsidRPr="00991B8A">
        <w:rPr>
          <w:sz w:val="24"/>
          <w:szCs w:val="24"/>
        </w:rPr>
        <w:t>P</w:t>
      </w:r>
      <w:r w:rsidR="00D91EFC" w:rsidRPr="00991B8A">
        <w:rPr>
          <w:sz w:val="24"/>
          <w:szCs w:val="24"/>
        </w:rPr>
        <w:t xml:space="preserve">očty </w:t>
      </w:r>
      <w:r w:rsidR="009066D0" w:rsidRPr="00991B8A">
        <w:rPr>
          <w:sz w:val="24"/>
          <w:szCs w:val="24"/>
        </w:rPr>
        <w:t xml:space="preserve">zamestnancov obcí a VÚC, </w:t>
      </w:r>
      <w:r w:rsidR="009066D0" w:rsidRPr="00991B8A">
        <w:rPr>
          <w:b/>
          <w:bCs/>
          <w:sz w:val="24"/>
          <w:szCs w:val="24"/>
        </w:rPr>
        <w:t>na ktorých boli prenesené kompetencie štátu</w:t>
      </w:r>
      <w:r w:rsidR="009066D0" w:rsidRPr="00991B8A">
        <w:rPr>
          <w:sz w:val="24"/>
          <w:szCs w:val="24"/>
        </w:rPr>
        <w:t xml:space="preserve"> a výdavky na ich platy a odvody </w:t>
      </w:r>
      <w:r w:rsidR="009066D0" w:rsidRPr="00991B8A">
        <w:rPr>
          <w:b/>
          <w:sz w:val="24"/>
          <w:szCs w:val="24"/>
        </w:rPr>
        <w:t>nie sú hradené z rozpočtov územných samospráv</w:t>
      </w:r>
      <w:r w:rsidR="009066D0" w:rsidRPr="00991B8A">
        <w:rPr>
          <w:sz w:val="24"/>
          <w:szCs w:val="24"/>
        </w:rPr>
        <w:t>:</w:t>
      </w:r>
    </w:p>
    <w:p w:rsidR="00A73F47" w:rsidRPr="00991B8A" w:rsidRDefault="002A5D7C" w:rsidP="00A0360F">
      <w:pPr>
        <w:pStyle w:val="Nzov"/>
        <w:numPr>
          <w:ilvl w:val="0"/>
          <w:numId w:val="11"/>
        </w:numPr>
        <w:tabs>
          <w:tab w:val="clear" w:pos="2160"/>
          <w:tab w:val="left" w:pos="567"/>
          <w:tab w:val="left" w:pos="6663"/>
        </w:tabs>
        <w:ind w:left="284" w:firstLine="0"/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pedagogickí </w:t>
      </w:r>
      <w:r w:rsidR="00A73F47" w:rsidRPr="00991B8A">
        <w:rPr>
          <w:sz w:val="24"/>
          <w:szCs w:val="24"/>
        </w:rPr>
        <w:t xml:space="preserve">a nepedagogickí </w:t>
      </w:r>
      <w:r w:rsidRPr="00991B8A">
        <w:rPr>
          <w:sz w:val="24"/>
          <w:szCs w:val="24"/>
        </w:rPr>
        <w:t xml:space="preserve">zamestnanci </w:t>
      </w:r>
      <w:r w:rsidR="00A73F47" w:rsidRPr="00991B8A">
        <w:rPr>
          <w:sz w:val="24"/>
          <w:szCs w:val="24"/>
        </w:rPr>
        <w:t>v školstve obcí</w:t>
      </w:r>
      <w:r w:rsidR="00A73F47" w:rsidRPr="00991B8A">
        <w:rPr>
          <w:sz w:val="24"/>
          <w:szCs w:val="24"/>
        </w:rPr>
        <w:tab/>
      </w:r>
      <w:r w:rsidR="003F0090" w:rsidRPr="00991B8A">
        <w:rPr>
          <w:sz w:val="24"/>
          <w:szCs w:val="24"/>
        </w:rPr>
        <w:tab/>
      </w:r>
      <w:r w:rsidR="00A73F47" w:rsidRPr="00991B8A">
        <w:rPr>
          <w:sz w:val="24"/>
          <w:szCs w:val="24"/>
        </w:rPr>
        <w:t xml:space="preserve">cca </w:t>
      </w:r>
      <w:r w:rsidR="00E3784C" w:rsidRPr="00991B8A">
        <w:rPr>
          <w:sz w:val="24"/>
          <w:szCs w:val="24"/>
        </w:rPr>
        <w:t>41,</w:t>
      </w:r>
      <w:r w:rsidR="001934BA" w:rsidRPr="00991B8A">
        <w:rPr>
          <w:sz w:val="24"/>
          <w:szCs w:val="24"/>
        </w:rPr>
        <w:t>28</w:t>
      </w:r>
      <w:r w:rsidR="008A215A" w:rsidRPr="00991B8A">
        <w:rPr>
          <w:sz w:val="24"/>
          <w:szCs w:val="24"/>
        </w:rPr>
        <w:t xml:space="preserve"> </w:t>
      </w:r>
      <w:r w:rsidR="00A73F47" w:rsidRPr="00991B8A">
        <w:rPr>
          <w:sz w:val="24"/>
          <w:szCs w:val="24"/>
        </w:rPr>
        <w:t>tis. osôb,</w:t>
      </w:r>
    </w:p>
    <w:p w:rsidR="00A73F47" w:rsidRPr="00991B8A" w:rsidRDefault="00A73F47" w:rsidP="00A0360F">
      <w:pPr>
        <w:pStyle w:val="Nzov"/>
        <w:numPr>
          <w:ilvl w:val="0"/>
          <w:numId w:val="11"/>
        </w:numPr>
        <w:tabs>
          <w:tab w:val="clear" w:pos="2160"/>
          <w:tab w:val="left" w:pos="567"/>
          <w:tab w:val="left" w:pos="6663"/>
        </w:tabs>
        <w:ind w:left="284" w:firstLine="0"/>
        <w:jc w:val="both"/>
        <w:rPr>
          <w:sz w:val="24"/>
          <w:szCs w:val="24"/>
        </w:rPr>
      </w:pPr>
      <w:r w:rsidRPr="00991B8A">
        <w:rPr>
          <w:sz w:val="24"/>
          <w:szCs w:val="24"/>
        </w:rPr>
        <w:t>pedagogickí a nepedagogickí zamestnanci v školstve VÚC</w:t>
      </w:r>
      <w:r w:rsidRPr="00991B8A">
        <w:rPr>
          <w:sz w:val="24"/>
          <w:szCs w:val="24"/>
        </w:rPr>
        <w:tab/>
      </w:r>
      <w:r w:rsidR="003F0090" w:rsidRPr="00991B8A">
        <w:rPr>
          <w:sz w:val="24"/>
          <w:szCs w:val="24"/>
        </w:rPr>
        <w:tab/>
      </w:r>
      <w:r w:rsidRPr="00991B8A">
        <w:rPr>
          <w:sz w:val="24"/>
          <w:szCs w:val="24"/>
        </w:rPr>
        <w:t xml:space="preserve">cca </w:t>
      </w:r>
      <w:r w:rsidR="008F4351" w:rsidRPr="00991B8A">
        <w:rPr>
          <w:sz w:val="24"/>
          <w:szCs w:val="24"/>
        </w:rPr>
        <w:t>21,</w:t>
      </w:r>
      <w:r w:rsidR="001934BA" w:rsidRPr="00991B8A">
        <w:rPr>
          <w:sz w:val="24"/>
          <w:szCs w:val="24"/>
        </w:rPr>
        <w:t>0</w:t>
      </w:r>
      <w:r w:rsidR="008F4351" w:rsidRPr="00991B8A">
        <w:rPr>
          <w:sz w:val="24"/>
          <w:szCs w:val="24"/>
        </w:rPr>
        <w:t xml:space="preserve">6 </w:t>
      </w:r>
      <w:r w:rsidRPr="00991B8A">
        <w:rPr>
          <w:sz w:val="24"/>
          <w:szCs w:val="24"/>
        </w:rPr>
        <w:t>tis. osôb.</w:t>
      </w:r>
    </w:p>
    <w:p w:rsidR="004760A7" w:rsidRPr="00991B8A" w:rsidRDefault="004760A7" w:rsidP="00A0360F">
      <w:pPr>
        <w:pStyle w:val="Nzov"/>
        <w:tabs>
          <w:tab w:val="left" w:pos="567"/>
          <w:tab w:val="left" w:pos="6663"/>
        </w:tabs>
        <w:ind w:left="284"/>
        <w:jc w:val="both"/>
        <w:rPr>
          <w:sz w:val="24"/>
          <w:szCs w:val="24"/>
        </w:rPr>
      </w:pPr>
    </w:p>
    <w:p w:rsidR="00E174CE" w:rsidRPr="00991B8A" w:rsidRDefault="00E174CE" w:rsidP="00A0360F">
      <w:pPr>
        <w:pStyle w:val="Nzov"/>
        <w:ind w:firstLine="708"/>
        <w:jc w:val="both"/>
        <w:rPr>
          <w:sz w:val="24"/>
          <w:szCs w:val="24"/>
        </w:rPr>
      </w:pPr>
      <w:r w:rsidRPr="00991B8A">
        <w:rPr>
          <w:sz w:val="24"/>
          <w:szCs w:val="24"/>
        </w:rPr>
        <w:t>Počet zamestnancov</w:t>
      </w:r>
      <w:r w:rsidR="009219A5" w:rsidRPr="00991B8A">
        <w:rPr>
          <w:sz w:val="24"/>
          <w:szCs w:val="24"/>
        </w:rPr>
        <w:t xml:space="preserve"> obcí a VÚC</w:t>
      </w:r>
      <w:r w:rsidRPr="00991B8A">
        <w:rPr>
          <w:sz w:val="24"/>
          <w:szCs w:val="24"/>
        </w:rPr>
        <w:t xml:space="preserve">, v okruhu ktorých sa môže vyskytnúť potreba doplatku do novej sumy minimálnej mzdy z prostriedkov rozpočtu územnej samosprávy, </w:t>
      </w:r>
      <w:r w:rsidR="009219A5" w:rsidRPr="00991B8A">
        <w:rPr>
          <w:sz w:val="24"/>
          <w:szCs w:val="24"/>
        </w:rPr>
        <w:t xml:space="preserve">možno </w:t>
      </w:r>
      <w:r w:rsidRPr="00991B8A">
        <w:rPr>
          <w:b/>
          <w:bCs/>
          <w:sz w:val="24"/>
          <w:szCs w:val="24"/>
        </w:rPr>
        <w:t xml:space="preserve">kvalifikovane odhadnúť na cca </w:t>
      </w:r>
      <w:r w:rsidR="001934BA" w:rsidRPr="00991B8A">
        <w:rPr>
          <w:b/>
          <w:bCs/>
          <w:sz w:val="24"/>
          <w:szCs w:val="24"/>
        </w:rPr>
        <w:t>118,22</w:t>
      </w:r>
      <w:r w:rsidR="008F4351" w:rsidRPr="00991B8A">
        <w:rPr>
          <w:b/>
          <w:bCs/>
          <w:sz w:val="24"/>
          <w:szCs w:val="24"/>
        </w:rPr>
        <w:t xml:space="preserve"> </w:t>
      </w:r>
      <w:r w:rsidRPr="00991B8A">
        <w:rPr>
          <w:b/>
          <w:bCs/>
          <w:sz w:val="24"/>
          <w:szCs w:val="24"/>
        </w:rPr>
        <w:t>tis. osôb</w:t>
      </w:r>
      <w:r w:rsidRPr="00991B8A">
        <w:rPr>
          <w:sz w:val="24"/>
          <w:szCs w:val="24"/>
        </w:rPr>
        <w:t>, v tom:</w:t>
      </w:r>
    </w:p>
    <w:p w:rsidR="002A5D7C" w:rsidRPr="00991B8A" w:rsidRDefault="002A5D7C" w:rsidP="00A0360F">
      <w:pPr>
        <w:pStyle w:val="Nzov"/>
        <w:numPr>
          <w:ilvl w:val="0"/>
          <w:numId w:val="11"/>
        </w:numPr>
        <w:tabs>
          <w:tab w:val="clear" w:pos="2160"/>
          <w:tab w:val="left" w:pos="720"/>
          <w:tab w:val="left" w:pos="6840"/>
        </w:tabs>
        <w:ind w:left="714" w:hanging="357"/>
        <w:jc w:val="both"/>
        <w:rPr>
          <w:b/>
          <w:sz w:val="24"/>
          <w:szCs w:val="24"/>
        </w:rPr>
      </w:pPr>
      <w:r w:rsidRPr="00991B8A">
        <w:rPr>
          <w:bCs/>
          <w:sz w:val="24"/>
          <w:szCs w:val="24"/>
        </w:rPr>
        <w:t xml:space="preserve">cca </w:t>
      </w:r>
      <w:r w:rsidR="001C3158" w:rsidRPr="00991B8A">
        <w:rPr>
          <w:bCs/>
          <w:sz w:val="24"/>
          <w:szCs w:val="24"/>
        </w:rPr>
        <w:t xml:space="preserve">96,28 </w:t>
      </w:r>
      <w:r w:rsidRPr="00991B8A">
        <w:rPr>
          <w:bCs/>
          <w:sz w:val="24"/>
          <w:szCs w:val="24"/>
        </w:rPr>
        <w:t>tis.</w:t>
      </w:r>
      <w:r w:rsidRPr="00991B8A">
        <w:rPr>
          <w:b/>
          <w:sz w:val="24"/>
          <w:szCs w:val="24"/>
        </w:rPr>
        <w:t xml:space="preserve"> </w:t>
      </w:r>
      <w:r w:rsidRPr="00991B8A">
        <w:rPr>
          <w:sz w:val="24"/>
          <w:szCs w:val="24"/>
        </w:rPr>
        <w:t>zamestnancov obcí (</w:t>
      </w:r>
      <w:r w:rsidR="001C3158" w:rsidRPr="00991B8A">
        <w:rPr>
          <w:sz w:val="24"/>
          <w:szCs w:val="24"/>
        </w:rPr>
        <w:t>137,5</w:t>
      </w:r>
      <w:r w:rsidR="008A215A" w:rsidRPr="00991B8A">
        <w:rPr>
          <w:sz w:val="24"/>
          <w:szCs w:val="24"/>
        </w:rPr>
        <w:t xml:space="preserve">6 </w:t>
      </w:r>
      <w:r w:rsidRPr="00991B8A">
        <w:rPr>
          <w:sz w:val="24"/>
          <w:szCs w:val="24"/>
        </w:rPr>
        <w:t xml:space="preserve">tis. bez </w:t>
      </w:r>
      <w:r w:rsidR="001C3158" w:rsidRPr="00991B8A">
        <w:rPr>
          <w:sz w:val="24"/>
          <w:szCs w:val="24"/>
        </w:rPr>
        <w:t>41,28</w:t>
      </w:r>
      <w:r w:rsidR="008A215A" w:rsidRPr="00991B8A">
        <w:rPr>
          <w:sz w:val="24"/>
          <w:szCs w:val="24"/>
        </w:rPr>
        <w:t xml:space="preserve"> </w:t>
      </w:r>
      <w:r w:rsidRPr="00991B8A">
        <w:rPr>
          <w:sz w:val="24"/>
          <w:szCs w:val="24"/>
        </w:rPr>
        <w:t>tis.) a</w:t>
      </w:r>
    </w:p>
    <w:p w:rsidR="002A5D7C" w:rsidRPr="00991B8A" w:rsidRDefault="002A5D7C" w:rsidP="00A0360F">
      <w:pPr>
        <w:pStyle w:val="Nzov"/>
        <w:numPr>
          <w:ilvl w:val="0"/>
          <w:numId w:val="11"/>
        </w:numPr>
        <w:tabs>
          <w:tab w:val="clear" w:pos="2160"/>
          <w:tab w:val="left" w:pos="720"/>
          <w:tab w:val="left" w:pos="6840"/>
        </w:tabs>
        <w:ind w:left="714" w:hanging="357"/>
        <w:jc w:val="both"/>
        <w:rPr>
          <w:sz w:val="24"/>
          <w:szCs w:val="24"/>
        </w:rPr>
      </w:pPr>
      <w:r w:rsidRPr="00991B8A">
        <w:rPr>
          <w:bCs/>
          <w:sz w:val="24"/>
          <w:szCs w:val="24"/>
        </w:rPr>
        <w:t xml:space="preserve">cca </w:t>
      </w:r>
      <w:r w:rsidR="001C3158" w:rsidRPr="00991B8A">
        <w:rPr>
          <w:bCs/>
          <w:sz w:val="24"/>
          <w:szCs w:val="24"/>
        </w:rPr>
        <w:t xml:space="preserve">21,94 </w:t>
      </w:r>
      <w:r w:rsidRPr="00991B8A">
        <w:rPr>
          <w:bCs/>
          <w:sz w:val="24"/>
          <w:szCs w:val="24"/>
        </w:rPr>
        <w:t>tis.</w:t>
      </w:r>
      <w:r w:rsidRPr="00991B8A">
        <w:rPr>
          <w:sz w:val="24"/>
          <w:szCs w:val="24"/>
        </w:rPr>
        <w:t xml:space="preserve"> zamestnancov VÚC (</w:t>
      </w:r>
      <w:r w:rsidR="008F4351" w:rsidRPr="00991B8A">
        <w:rPr>
          <w:sz w:val="24"/>
          <w:szCs w:val="24"/>
        </w:rPr>
        <w:t>43</w:t>
      </w:r>
      <w:r w:rsidR="008A215A" w:rsidRPr="00991B8A">
        <w:rPr>
          <w:sz w:val="24"/>
          <w:szCs w:val="24"/>
        </w:rPr>
        <w:t>,</w:t>
      </w:r>
      <w:r w:rsidR="001C3158" w:rsidRPr="00991B8A">
        <w:rPr>
          <w:sz w:val="24"/>
          <w:szCs w:val="24"/>
        </w:rPr>
        <w:t>00</w:t>
      </w:r>
      <w:r w:rsidR="008A215A" w:rsidRPr="00991B8A">
        <w:rPr>
          <w:sz w:val="24"/>
          <w:szCs w:val="24"/>
        </w:rPr>
        <w:t xml:space="preserve"> </w:t>
      </w:r>
      <w:r w:rsidRPr="00991B8A">
        <w:rPr>
          <w:sz w:val="24"/>
          <w:szCs w:val="24"/>
        </w:rPr>
        <w:t xml:space="preserve">tis. bez </w:t>
      </w:r>
      <w:r w:rsidR="002C772E" w:rsidRPr="00991B8A">
        <w:rPr>
          <w:sz w:val="24"/>
          <w:szCs w:val="24"/>
        </w:rPr>
        <w:t>21,</w:t>
      </w:r>
      <w:r w:rsidR="001C3158" w:rsidRPr="00991B8A">
        <w:rPr>
          <w:sz w:val="24"/>
          <w:szCs w:val="24"/>
        </w:rPr>
        <w:t>0</w:t>
      </w:r>
      <w:r w:rsidR="002C772E" w:rsidRPr="00991B8A">
        <w:rPr>
          <w:sz w:val="24"/>
          <w:szCs w:val="24"/>
        </w:rPr>
        <w:t xml:space="preserve">6 </w:t>
      </w:r>
      <w:r w:rsidRPr="00991B8A">
        <w:rPr>
          <w:sz w:val="24"/>
          <w:szCs w:val="24"/>
        </w:rPr>
        <w:t>tis.).</w:t>
      </w:r>
    </w:p>
    <w:p w:rsidR="002A5D7C" w:rsidRPr="00991B8A" w:rsidRDefault="002A5D7C" w:rsidP="00A0360F">
      <w:pPr>
        <w:pStyle w:val="Nzov"/>
        <w:ind w:firstLine="708"/>
        <w:jc w:val="both"/>
        <w:rPr>
          <w:sz w:val="24"/>
          <w:szCs w:val="24"/>
        </w:rPr>
      </w:pPr>
    </w:p>
    <w:p w:rsidR="005456BB" w:rsidRPr="00991B8A" w:rsidRDefault="005456BB" w:rsidP="005456BB">
      <w:pPr>
        <w:pStyle w:val="Nzov"/>
        <w:ind w:firstLine="709"/>
        <w:jc w:val="both"/>
        <w:rPr>
          <w:bCs/>
          <w:sz w:val="24"/>
          <w:szCs w:val="24"/>
        </w:rPr>
      </w:pPr>
      <w:r w:rsidRPr="00991B8A">
        <w:rPr>
          <w:bCs/>
          <w:sz w:val="24"/>
          <w:szCs w:val="24"/>
        </w:rPr>
        <w:lastRenderedPageBreak/>
        <w:t xml:space="preserve">Vplyv zvýšenia doplatkov do novej sumy minimálnej mzdy </w:t>
      </w:r>
      <w:r w:rsidRPr="00991B8A">
        <w:rPr>
          <w:b/>
          <w:sz w:val="24"/>
          <w:szCs w:val="24"/>
        </w:rPr>
        <w:t>na rozpočty územných samospráv</w:t>
      </w:r>
      <w:r w:rsidRPr="00991B8A">
        <w:rPr>
          <w:bCs/>
          <w:sz w:val="24"/>
          <w:szCs w:val="24"/>
        </w:rPr>
        <w:t>:</w:t>
      </w:r>
    </w:p>
    <w:p w:rsidR="005456BB" w:rsidRPr="00991B8A" w:rsidRDefault="005456BB" w:rsidP="005456BB">
      <w:pPr>
        <w:pStyle w:val="Nzov"/>
        <w:ind w:firstLine="708"/>
        <w:jc w:val="both"/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2268"/>
        <w:gridCol w:w="2268"/>
      </w:tblGrid>
      <w:tr w:rsidR="005456BB" w:rsidRPr="00991B8A" w:rsidTr="00614432">
        <w:trPr>
          <w:jc w:val="center"/>
        </w:trPr>
        <w:tc>
          <w:tcPr>
            <w:tcW w:w="2835" w:type="dxa"/>
            <w:vMerge w:val="restart"/>
            <w:shd w:val="clear" w:color="auto" w:fill="auto"/>
          </w:tcPr>
          <w:p w:rsidR="005456BB" w:rsidRPr="00991B8A" w:rsidRDefault="005456BB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  <w:r w:rsidRPr="00991B8A">
              <w:rPr>
                <w:sz w:val="24"/>
                <w:szCs w:val="24"/>
                <w:lang w:bidi="bn-BD"/>
              </w:rPr>
              <w:t>Mzdové pásmo</w:t>
            </w:r>
          </w:p>
          <w:p w:rsidR="005456BB" w:rsidRPr="00991B8A" w:rsidRDefault="005456BB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  <w:r w:rsidRPr="00991B8A">
              <w:rPr>
                <w:sz w:val="24"/>
                <w:szCs w:val="24"/>
                <w:lang w:bidi="bn-BD"/>
              </w:rPr>
              <w:t>hrubej priemernej</w:t>
            </w:r>
          </w:p>
          <w:p w:rsidR="005456BB" w:rsidRPr="00991B8A" w:rsidRDefault="005456BB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  <w:r w:rsidRPr="00991B8A">
              <w:rPr>
                <w:sz w:val="24"/>
                <w:szCs w:val="24"/>
                <w:lang w:bidi="bn-BD"/>
              </w:rPr>
              <w:t>mesačnej mzdy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5456BB" w:rsidRPr="00991B8A" w:rsidRDefault="005456BB" w:rsidP="0063665B">
            <w:pPr>
              <w:pStyle w:val="Nzov"/>
              <w:tabs>
                <w:tab w:val="left" w:pos="1800"/>
              </w:tabs>
              <w:rPr>
                <w:b/>
                <w:sz w:val="24"/>
                <w:szCs w:val="24"/>
                <w:lang w:bidi="bn-BD"/>
              </w:rPr>
            </w:pPr>
            <w:r w:rsidRPr="00991B8A">
              <w:rPr>
                <w:b/>
                <w:bCs/>
                <w:sz w:val="24"/>
                <w:szCs w:val="24"/>
                <w:lang w:bidi="bn-BD"/>
              </w:rPr>
              <w:t>Len zamestnanci obcí a VÚC</w:t>
            </w:r>
          </w:p>
        </w:tc>
      </w:tr>
      <w:tr w:rsidR="005456BB" w:rsidRPr="00991B8A" w:rsidTr="00614432">
        <w:trPr>
          <w:jc w:val="center"/>
        </w:trPr>
        <w:tc>
          <w:tcPr>
            <w:tcW w:w="2835" w:type="dxa"/>
            <w:vMerge/>
            <w:shd w:val="clear" w:color="auto" w:fill="auto"/>
          </w:tcPr>
          <w:p w:rsidR="005456BB" w:rsidRPr="00991B8A" w:rsidRDefault="005456BB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56BB" w:rsidRPr="00991B8A" w:rsidRDefault="005456BB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  <w:r w:rsidRPr="00991B8A">
              <w:rPr>
                <w:bCs/>
                <w:sz w:val="24"/>
                <w:szCs w:val="24"/>
                <w:lang w:bidi="bn-BD"/>
              </w:rPr>
              <w:t>Podiely v 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6BB" w:rsidRPr="00991B8A" w:rsidRDefault="005456BB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  <w:r w:rsidRPr="00991B8A">
              <w:rPr>
                <w:bCs/>
                <w:sz w:val="24"/>
                <w:szCs w:val="24"/>
                <w:lang w:bidi="bn-BD"/>
              </w:rPr>
              <w:t xml:space="preserve">Počet zamestnancov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6BB" w:rsidRPr="00991B8A" w:rsidRDefault="005456BB" w:rsidP="0063665B">
            <w:pPr>
              <w:pStyle w:val="Nzov"/>
              <w:tabs>
                <w:tab w:val="left" w:pos="1800"/>
              </w:tabs>
              <w:jc w:val="both"/>
              <w:rPr>
                <w:sz w:val="24"/>
                <w:szCs w:val="24"/>
                <w:lang w:bidi="bn-BD"/>
              </w:rPr>
            </w:pPr>
            <w:r w:rsidRPr="00991B8A">
              <w:rPr>
                <w:bCs/>
                <w:sz w:val="24"/>
                <w:szCs w:val="24"/>
                <w:lang w:bidi="bn-BD"/>
              </w:rPr>
              <w:t>Potreba na doplatky v eurách mesačne</w:t>
            </w:r>
          </w:p>
        </w:tc>
      </w:tr>
      <w:tr w:rsidR="00991B8A" w:rsidRPr="00991B8A" w:rsidTr="00991B8A">
        <w:trPr>
          <w:trHeight w:val="39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C3158" w:rsidRPr="00991B8A" w:rsidRDefault="001C3158" w:rsidP="00614432">
            <w:pPr>
              <w:pStyle w:val="Nzov"/>
              <w:tabs>
                <w:tab w:val="left" w:pos="1800"/>
              </w:tabs>
              <w:jc w:val="left"/>
              <w:rPr>
                <w:sz w:val="24"/>
                <w:szCs w:val="24"/>
                <w:lang w:bidi="bn-BD"/>
              </w:rPr>
            </w:pPr>
            <w:r w:rsidRPr="00991B8A">
              <w:rPr>
                <w:sz w:val="24"/>
                <w:szCs w:val="24"/>
                <w:lang w:bidi="bn-BD"/>
              </w:rPr>
              <w:t>do 480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158" w:rsidRPr="00991B8A" w:rsidRDefault="001C3158" w:rsidP="00991B8A">
            <w:pPr>
              <w:jc w:val="center"/>
              <w:rPr>
                <w:lang w:bidi="bn-BD"/>
              </w:rPr>
            </w:pPr>
            <w:r w:rsidRPr="00991B8A">
              <w:t>4,609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3158" w:rsidRPr="00991B8A" w:rsidRDefault="001C3158" w:rsidP="00991B8A">
            <w:pPr>
              <w:jc w:val="center"/>
              <w:rPr>
                <w:lang w:bidi="bn-BD"/>
              </w:rPr>
            </w:pPr>
            <w:r w:rsidRPr="00991B8A">
              <w:t>5 449,2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3158" w:rsidRPr="00991B8A" w:rsidRDefault="001C3158" w:rsidP="00991B8A">
            <w:pPr>
              <w:jc w:val="center"/>
              <w:rPr>
                <w:lang w:bidi="bn-BD"/>
              </w:rPr>
            </w:pPr>
            <w:r w:rsidRPr="00991B8A">
              <w:t>217 968,00</w:t>
            </w:r>
          </w:p>
        </w:tc>
      </w:tr>
      <w:tr w:rsidR="00991B8A" w:rsidRPr="00991B8A" w:rsidTr="00991B8A">
        <w:trPr>
          <w:trHeight w:val="39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C3158" w:rsidRPr="00991B8A" w:rsidRDefault="001C3158" w:rsidP="00614432">
            <w:pPr>
              <w:pStyle w:val="Nzov"/>
              <w:tabs>
                <w:tab w:val="left" w:pos="1800"/>
              </w:tabs>
              <w:jc w:val="left"/>
              <w:rPr>
                <w:sz w:val="24"/>
                <w:szCs w:val="24"/>
                <w:lang w:bidi="bn-BD"/>
              </w:rPr>
            </w:pPr>
            <w:r w:rsidRPr="00991B8A">
              <w:rPr>
                <w:sz w:val="24"/>
                <w:szCs w:val="24"/>
                <w:lang w:bidi="bn-BD"/>
              </w:rPr>
              <w:t>nad 480 eur do  520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158" w:rsidRPr="00991B8A" w:rsidRDefault="001C3158" w:rsidP="00991B8A">
            <w:pPr>
              <w:jc w:val="center"/>
              <w:rPr>
                <w:lang w:bidi="bn-BD"/>
              </w:rPr>
            </w:pPr>
            <w:r w:rsidRPr="00991B8A">
              <w:t>7,417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3158" w:rsidRPr="00991B8A" w:rsidRDefault="001C3158" w:rsidP="00991B8A">
            <w:pPr>
              <w:jc w:val="center"/>
              <w:rPr>
                <w:lang w:bidi="bn-BD"/>
              </w:rPr>
            </w:pPr>
            <w:r w:rsidRPr="00991B8A">
              <w:t>8 767,9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3158" w:rsidRPr="00991B8A" w:rsidRDefault="001C3158" w:rsidP="00991B8A">
            <w:pPr>
              <w:jc w:val="center"/>
              <w:rPr>
                <w:lang w:bidi="bn-BD"/>
              </w:rPr>
            </w:pPr>
            <w:r w:rsidRPr="00991B8A">
              <w:t>236 990,26</w:t>
            </w:r>
          </w:p>
        </w:tc>
      </w:tr>
      <w:tr w:rsidR="005456BB" w:rsidRPr="00991B8A" w:rsidTr="00614432">
        <w:trPr>
          <w:trHeight w:val="270"/>
          <w:jc w:val="center"/>
        </w:trPr>
        <w:tc>
          <w:tcPr>
            <w:tcW w:w="2835" w:type="dxa"/>
            <w:shd w:val="clear" w:color="auto" w:fill="FFFFCC"/>
            <w:noWrap/>
          </w:tcPr>
          <w:p w:rsidR="005456BB" w:rsidRPr="00991B8A" w:rsidRDefault="005456BB" w:rsidP="0063665B">
            <w:pPr>
              <w:rPr>
                <w:b/>
                <w:lang w:bidi="bn-BD"/>
              </w:rPr>
            </w:pPr>
            <w:r w:rsidRPr="00991B8A">
              <w:rPr>
                <w:b/>
                <w:lang w:bidi="bn-BD"/>
              </w:rPr>
              <w:t xml:space="preserve">Počet zamestnancov s doplatkom </w:t>
            </w:r>
            <w:r w:rsidRPr="00991B8A">
              <w:rPr>
                <w:bCs/>
                <w:lang w:bidi="bn-BD"/>
              </w:rPr>
              <w:t>(rozpočty územných samospráv):</w:t>
            </w:r>
          </w:p>
        </w:tc>
        <w:tc>
          <w:tcPr>
            <w:tcW w:w="1701" w:type="dxa"/>
            <w:shd w:val="clear" w:color="auto" w:fill="FFFFCC"/>
            <w:noWrap/>
            <w:vAlign w:val="center"/>
          </w:tcPr>
          <w:p w:rsidR="005456BB" w:rsidRPr="00991B8A" w:rsidRDefault="001C3158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14 217,1</w:t>
            </w:r>
          </w:p>
        </w:tc>
        <w:tc>
          <w:tcPr>
            <w:tcW w:w="2268" w:type="dxa"/>
            <w:shd w:val="clear" w:color="auto" w:fill="FFFFCC"/>
            <w:noWrap/>
            <w:vAlign w:val="center"/>
          </w:tcPr>
          <w:p w:rsidR="005456BB" w:rsidRPr="00991B8A" w:rsidRDefault="005456BB" w:rsidP="0063665B">
            <w:pPr>
              <w:rPr>
                <w:b/>
                <w:bCs/>
                <w:lang w:bidi="bn-BD"/>
              </w:rPr>
            </w:pPr>
            <w:r w:rsidRPr="00991B8A">
              <w:rPr>
                <w:b/>
                <w:bCs/>
                <w:lang w:bidi="bn-BD"/>
              </w:rPr>
              <w:t>Zvýšenie objemu doplatkov spolu: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5456BB" w:rsidRPr="00991B8A" w:rsidRDefault="00C63570" w:rsidP="00991B8A">
            <w:pPr>
              <w:jc w:val="center"/>
              <w:rPr>
                <w:b/>
                <w:bCs/>
                <w:lang w:bidi="bn-BD"/>
              </w:rPr>
            </w:pPr>
            <w:r w:rsidRPr="00991B8A">
              <w:rPr>
                <w:b/>
                <w:bCs/>
                <w:lang w:bidi="bn-BD"/>
              </w:rPr>
              <w:t>454 958,26</w:t>
            </w:r>
          </w:p>
        </w:tc>
      </w:tr>
    </w:tbl>
    <w:p w:rsidR="005456BB" w:rsidRPr="00991B8A" w:rsidRDefault="005456BB" w:rsidP="005456BB">
      <w:pPr>
        <w:pStyle w:val="Nzov"/>
        <w:ind w:firstLine="708"/>
        <w:jc w:val="both"/>
        <w:rPr>
          <w:sz w:val="24"/>
          <w:szCs w:val="24"/>
        </w:rPr>
      </w:pPr>
    </w:p>
    <w:p w:rsidR="005456BB" w:rsidRPr="00991B8A" w:rsidRDefault="005456BB" w:rsidP="005456BB">
      <w:pPr>
        <w:pStyle w:val="Nzov"/>
        <w:ind w:firstLine="708"/>
        <w:jc w:val="both"/>
        <w:rPr>
          <w:sz w:val="24"/>
          <w:szCs w:val="24"/>
        </w:rPr>
      </w:pPr>
      <w:r w:rsidRPr="00991B8A">
        <w:rPr>
          <w:b/>
          <w:sz w:val="24"/>
          <w:szCs w:val="24"/>
        </w:rPr>
        <w:t>Výpočet zvýšenia výdavkov z rozpočtov</w:t>
      </w:r>
      <w:r w:rsidRPr="00991B8A">
        <w:rPr>
          <w:sz w:val="24"/>
          <w:szCs w:val="24"/>
        </w:rPr>
        <w:t xml:space="preserve"> </w:t>
      </w:r>
      <w:r w:rsidRPr="00991B8A">
        <w:rPr>
          <w:b/>
          <w:bCs/>
          <w:sz w:val="24"/>
          <w:szCs w:val="24"/>
        </w:rPr>
        <w:t>územnej samosprávy</w:t>
      </w:r>
      <w:r w:rsidRPr="00991B8A">
        <w:rPr>
          <w:sz w:val="24"/>
          <w:szCs w:val="24"/>
        </w:rPr>
        <w:t xml:space="preserve"> vrátane odvodov do poistných fondov v roku </w:t>
      </w:r>
      <w:r w:rsidR="00E80E64" w:rsidRPr="00991B8A">
        <w:rPr>
          <w:sz w:val="24"/>
          <w:szCs w:val="24"/>
        </w:rPr>
        <w:t>2019</w:t>
      </w:r>
      <w:r w:rsidRPr="00991B8A">
        <w:rPr>
          <w:sz w:val="24"/>
          <w:szCs w:val="24"/>
        </w:rPr>
        <w:t>:</w:t>
      </w:r>
    </w:p>
    <w:p w:rsidR="005456BB" w:rsidRPr="00991B8A" w:rsidRDefault="005456BB" w:rsidP="005456BB">
      <w:pPr>
        <w:pStyle w:val="Nzov"/>
        <w:tabs>
          <w:tab w:val="left" w:pos="1800"/>
        </w:tabs>
        <w:ind w:left="2160" w:hanging="2160"/>
        <w:jc w:val="both"/>
        <w:rPr>
          <w:sz w:val="24"/>
          <w:szCs w:val="24"/>
        </w:rPr>
      </w:pPr>
    </w:p>
    <w:tbl>
      <w:tblPr>
        <w:tblW w:w="908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1"/>
        <w:gridCol w:w="1701"/>
        <w:tblGridChange w:id="6">
          <w:tblGrid>
            <w:gridCol w:w="7381"/>
            <w:gridCol w:w="1701"/>
          </w:tblGrid>
        </w:tblGridChange>
      </w:tblGrid>
      <w:tr w:rsidR="00991B8A" w:rsidRPr="00991B8A" w:rsidTr="00991B8A">
        <w:trPr>
          <w:trHeight w:val="397"/>
        </w:trPr>
        <w:tc>
          <w:tcPr>
            <w:tcW w:w="7381" w:type="dxa"/>
            <w:noWrap/>
            <w:vAlign w:val="center"/>
          </w:tcPr>
          <w:p w:rsidR="00C63570" w:rsidRPr="00991B8A" w:rsidRDefault="00C63570" w:rsidP="006106F6">
            <w:pPr>
              <w:rPr>
                <w:i/>
                <w:iCs/>
              </w:rPr>
            </w:pPr>
            <w:r w:rsidRPr="00991B8A">
              <w:rPr>
                <w:i/>
                <w:iCs/>
              </w:rPr>
              <w:t>Zvýšenie výdavkov na platy (bez odvodov) v eurách mesačne:</w:t>
            </w:r>
          </w:p>
        </w:tc>
        <w:tc>
          <w:tcPr>
            <w:tcW w:w="1701" w:type="dxa"/>
            <w:vAlign w:val="center"/>
          </w:tcPr>
          <w:p w:rsidR="00C63570" w:rsidRPr="00991B8A" w:rsidRDefault="00C63570" w:rsidP="00991B8A">
            <w:pPr>
              <w:jc w:val="center"/>
              <w:rPr>
                <w:i/>
                <w:iCs/>
              </w:rPr>
            </w:pPr>
            <w:r w:rsidRPr="00991B8A">
              <w:rPr>
                <w:i/>
              </w:rPr>
              <w:t>454 958,26</w:t>
            </w:r>
          </w:p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7381" w:type="dxa"/>
            <w:noWrap/>
            <w:vAlign w:val="center"/>
          </w:tcPr>
          <w:p w:rsidR="00C63570" w:rsidRPr="00991B8A" w:rsidRDefault="00C63570" w:rsidP="006106F6">
            <w:pPr>
              <w:rPr>
                <w:b/>
              </w:rPr>
            </w:pPr>
            <w:r w:rsidRPr="00991B8A">
              <w:rPr>
                <w:b/>
              </w:rPr>
              <w:t>Zvýšenie výdavkov na platy (bez odvodov) v eurách ročne:</w:t>
            </w:r>
          </w:p>
        </w:tc>
        <w:tc>
          <w:tcPr>
            <w:tcW w:w="1701" w:type="dxa"/>
            <w:vAlign w:val="center"/>
          </w:tcPr>
          <w:p w:rsidR="00C63570" w:rsidRPr="00991B8A" w:rsidRDefault="00C63570" w:rsidP="00991B8A">
            <w:pPr>
              <w:jc w:val="center"/>
              <w:rPr>
                <w:b/>
              </w:rPr>
            </w:pPr>
            <w:r w:rsidRPr="00991B8A">
              <w:rPr>
                <w:b/>
              </w:rPr>
              <w:t>5 459 499,12</w:t>
            </w:r>
          </w:p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7381" w:type="dxa"/>
            <w:noWrap/>
            <w:vAlign w:val="center"/>
          </w:tcPr>
          <w:p w:rsidR="00C63570" w:rsidRPr="00991B8A" w:rsidRDefault="00C63570" w:rsidP="006106F6">
            <w:pPr>
              <w:rPr>
                <w:i/>
              </w:rPr>
            </w:pPr>
            <w:r w:rsidRPr="00991B8A">
              <w:rPr>
                <w:i/>
                <w:iCs/>
              </w:rPr>
              <w:t>Odvody do Soc. poisťovne v eurách ročne (odvod = 24,95 %)</w:t>
            </w:r>
          </w:p>
        </w:tc>
        <w:tc>
          <w:tcPr>
            <w:tcW w:w="1701" w:type="dxa"/>
            <w:vAlign w:val="center"/>
          </w:tcPr>
          <w:p w:rsidR="00C63570" w:rsidRPr="00991B8A" w:rsidRDefault="00C63570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1 362 145,03</w:t>
            </w:r>
          </w:p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7381" w:type="dxa"/>
            <w:noWrap/>
            <w:vAlign w:val="center"/>
          </w:tcPr>
          <w:p w:rsidR="00C63570" w:rsidRPr="00991B8A" w:rsidRDefault="00C63570" w:rsidP="006106F6">
            <w:pPr>
              <w:rPr>
                <w:i/>
              </w:rPr>
            </w:pPr>
            <w:r w:rsidRPr="00991B8A">
              <w:rPr>
                <w:i/>
                <w:iCs/>
              </w:rPr>
              <w:t>Odvody do zdrav. poisťovní v eurách ročne</w:t>
            </w:r>
          </w:p>
        </w:tc>
        <w:tc>
          <w:tcPr>
            <w:tcW w:w="1701" w:type="dxa"/>
            <w:vAlign w:val="center"/>
          </w:tcPr>
          <w:p w:rsidR="00C63570" w:rsidRPr="00991B8A" w:rsidRDefault="00C63570" w:rsidP="00991B8A">
            <w:pPr>
              <w:jc w:val="center"/>
              <w:rPr>
                <w:bCs/>
                <w:i/>
              </w:rPr>
            </w:pPr>
            <w:r w:rsidRPr="00991B8A">
              <w:rPr>
                <w:bCs/>
                <w:i/>
              </w:rPr>
              <w:t>542 274,69</w:t>
            </w:r>
          </w:p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7381" w:type="dxa"/>
            <w:noWrap/>
            <w:vAlign w:val="center"/>
          </w:tcPr>
          <w:p w:rsidR="00C63570" w:rsidRPr="00991B8A" w:rsidRDefault="00C63570" w:rsidP="006106F6">
            <w:pPr>
              <w:rPr>
                <w:b/>
              </w:rPr>
            </w:pPr>
            <w:r w:rsidRPr="00991B8A">
              <w:rPr>
                <w:b/>
              </w:rPr>
              <w:t>Odvody zamestnávateľa do poistných fondov v eurách ročne</w:t>
            </w:r>
          </w:p>
        </w:tc>
        <w:tc>
          <w:tcPr>
            <w:tcW w:w="1701" w:type="dxa"/>
            <w:vAlign w:val="center"/>
          </w:tcPr>
          <w:p w:rsidR="00C63570" w:rsidRPr="00991B8A" w:rsidRDefault="00C63570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1 904 419,72</w:t>
            </w:r>
          </w:p>
        </w:tc>
      </w:tr>
      <w:tr w:rsidR="00A76C93" w:rsidRPr="00991B8A" w:rsidTr="00A76C9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7381" w:type="dxa"/>
            <w:shd w:val="clear" w:color="auto" w:fill="FFFFCC"/>
            <w:noWrap/>
            <w:vAlign w:val="center"/>
          </w:tcPr>
          <w:p w:rsidR="00C63570" w:rsidRPr="00991B8A" w:rsidRDefault="00C63570" w:rsidP="006106F6">
            <w:pPr>
              <w:rPr>
                <w:b/>
              </w:rPr>
            </w:pPr>
            <w:r w:rsidRPr="00991B8A">
              <w:rPr>
                <w:b/>
              </w:rPr>
              <w:t>Zvýšenie výdavkov na platy vrátane odvodov v eurách ročne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C63570" w:rsidRPr="00991B8A" w:rsidRDefault="00C63570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7 363 918,84</w:t>
            </w:r>
          </w:p>
        </w:tc>
      </w:tr>
    </w:tbl>
    <w:p w:rsidR="002A5D7C" w:rsidRPr="00991B8A" w:rsidRDefault="002A5D7C" w:rsidP="00A0360F">
      <w:pPr>
        <w:pStyle w:val="Nzov"/>
        <w:ind w:firstLine="708"/>
        <w:jc w:val="both"/>
        <w:rPr>
          <w:b/>
          <w:bCs/>
          <w:sz w:val="24"/>
          <w:szCs w:val="24"/>
        </w:rPr>
      </w:pPr>
    </w:p>
    <w:p w:rsidR="0077169D" w:rsidRPr="00991B8A" w:rsidRDefault="0077169D" w:rsidP="00A0360F">
      <w:pPr>
        <w:pStyle w:val="Nzov"/>
        <w:ind w:firstLine="708"/>
        <w:jc w:val="both"/>
        <w:rPr>
          <w:b/>
          <w:bCs/>
          <w:sz w:val="24"/>
          <w:szCs w:val="24"/>
        </w:rPr>
      </w:pPr>
    </w:p>
    <w:p w:rsidR="00C66915" w:rsidRPr="00991B8A" w:rsidRDefault="00D7363D" w:rsidP="00A0360F">
      <w:pPr>
        <w:pStyle w:val="Nzov"/>
        <w:ind w:firstLine="708"/>
        <w:jc w:val="both"/>
        <w:rPr>
          <w:b/>
          <w:bCs/>
          <w:iCs/>
          <w:sz w:val="24"/>
          <w:szCs w:val="24"/>
        </w:rPr>
      </w:pPr>
      <w:r w:rsidRPr="00991B8A">
        <w:rPr>
          <w:b/>
          <w:bCs/>
          <w:iCs/>
          <w:sz w:val="24"/>
          <w:szCs w:val="24"/>
        </w:rPr>
        <w:t xml:space="preserve">B.3 </w:t>
      </w:r>
      <w:r w:rsidR="007D2D55" w:rsidRPr="00991B8A">
        <w:rPr>
          <w:b/>
          <w:bCs/>
          <w:iCs/>
          <w:sz w:val="24"/>
          <w:szCs w:val="24"/>
        </w:rPr>
        <w:t>Vplyv na v</w:t>
      </w:r>
      <w:r w:rsidR="00C66915" w:rsidRPr="00991B8A">
        <w:rPr>
          <w:b/>
          <w:bCs/>
          <w:iCs/>
          <w:sz w:val="24"/>
          <w:szCs w:val="24"/>
        </w:rPr>
        <w:t>erejné rozpočty spolu</w:t>
      </w:r>
      <w:r w:rsidR="007D2D55" w:rsidRPr="00991B8A">
        <w:rPr>
          <w:b/>
          <w:bCs/>
          <w:iCs/>
          <w:sz w:val="24"/>
          <w:szCs w:val="24"/>
        </w:rPr>
        <w:t xml:space="preserve"> na roky </w:t>
      </w:r>
      <w:r w:rsidR="00E80E64" w:rsidRPr="00991B8A">
        <w:rPr>
          <w:b/>
          <w:bCs/>
          <w:iCs/>
          <w:sz w:val="24"/>
          <w:szCs w:val="24"/>
        </w:rPr>
        <w:t>2019</w:t>
      </w:r>
      <w:r w:rsidR="007D2D55" w:rsidRPr="00991B8A">
        <w:rPr>
          <w:b/>
          <w:bCs/>
          <w:iCs/>
          <w:sz w:val="24"/>
          <w:szCs w:val="24"/>
        </w:rPr>
        <w:t xml:space="preserve"> až </w:t>
      </w:r>
      <w:r w:rsidR="00E80E64" w:rsidRPr="00991B8A">
        <w:rPr>
          <w:b/>
          <w:bCs/>
          <w:iCs/>
          <w:sz w:val="24"/>
          <w:szCs w:val="24"/>
        </w:rPr>
        <w:t>2021</w:t>
      </w:r>
    </w:p>
    <w:p w:rsidR="00C66915" w:rsidRPr="00991B8A" w:rsidRDefault="00C66915" w:rsidP="00A0360F">
      <w:pPr>
        <w:pStyle w:val="Nzov"/>
        <w:ind w:firstLine="708"/>
        <w:jc w:val="both"/>
        <w:rPr>
          <w:b/>
          <w:bCs/>
          <w:i/>
          <w:iCs/>
          <w:sz w:val="24"/>
          <w:szCs w:val="24"/>
        </w:rPr>
      </w:pPr>
    </w:p>
    <w:p w:rsidR="002A5D7C" w:rsidRPr="00991B8A" w:rsidRDefault="002A5D7C" w:rsidP="00A0360F">
      <w:pPr>
        <w:pStyle w:val="Nzov"/>
        <w:ind w:firstLine="708"/>
        <w:jc w:val="both"/>
        <w:rPr>
          <w:sz w:val="24"/>
          <w:szCs w:val="24"/>
        </w:rPr>
      </w:pPr>
      <w:r w:rsidRPr="00991B8A">
        <w:rPr>
          <w:b/>
          <w:bCs/>
          <w:sz w:val="24"/>
          <w:szCs w:val="24"/>
        </w:rPr>
        <w:t>Kvalifikovaný odhad počtu zamestnancov</w:t>
      </w:r>
      <w:r w:rsidRPr="00991B8A">
        <w:rPr>
          <w:sz w:val="24"/>
          <w:szCs w:val="24"/>
        </w:rPr>
        <w:t>, ktorým sa bude doplácať do navrhovanej sumy minimálnej mzdy:</w:t>
      </w:r>
    </w:p>
    <w:p w:rsidR="002A5D7C" w:rsidRPr="00991B8A" w:rsidRDefault="002A5D7C" w:rsidP="00A0360F">
      <w:pPr>
        <w:pStyle w:val="Nzov"/>
        <w:ind w:firstLine="708"/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417"/>
        <w:gridCol w:w="1418"/>
        <w:gridCol w:w="1417"/>
        <w:tblGridChange w:id="7">
          <w:tblGrid>
            <w:gridCol w:w="5070"/>
            <w:gridCol w:w="1417"/>
            <w:gridCol w:w="1418"/>
            <w:gridCol w:w="1417"/>
          </w:tblGrid>
        </w:tblGridChange>
      </w:tblGrid>
      <w:tr w:rsidR="00965D95" w:rsidRPr="00991B8A" w:rsidTr="00604743">
        <w:tc>
          <w:tcPr>
            <w:tcW w:w="5070" w:type="dxa"/>
            <w:vAlign w:val="center"/>
          </w:tcPr>
          <w:p w:rsidR="00965D95" w:rsidRPr="00991B8A" w:rsidRDefault="00965D95" w:rsidP="00614432">
            <w:pPr>
              <w:pStyle w:val="Nzov"/>
              <w:tabs>
                <w:tab w:val="left" w:pos="1800"/>
              </w:tabs>
              <w:jc w:val="left"/>
              <w:rPr>
                <w:bCs/>
                <w:sz w:val="24"/>
                <w:szCs w:val="24"/>
              </w:rPr>
            </w:pPr>
            <w:r w:rsidRPr="00991B8A">
              <w:rPr>
                <w:bCs/>
                <w:sz w:val="24"/>
                <w:szCs w:val="24"/>
              </w:rPr>
              <w:t>Počet zamestnancov so mzdou pod úrovňou sumy minimálnej mzdy, napojených na:</w:t>
            </w:r>
          </w:p>
        </w:tc>
        <w:tc>
          <w:tcPr>
            <w:tcW w:w="1417" w:type="dxa"/>
            <w:vAlign w:val="center"/>
          </w:tcPr>
          <w:p w:rsidR="00965D95" w:rsidRPr="00991B8A" w:rsidRDefault="00E80E64" w:rsidP="00604743">
            <w:pPr>
              <w:pStyle w:val="Nzov"/>
              <w:tabs>
                <w:tab w:val="left" w:pos="1800"/>
              </w:tabs>
              <w:rPr>
                <w:bCs/>
                <w:sz w:val="24"/>
                <w:szCs w:val="22"/>
              </w:rPr>
            </w:pPr>
            <w:r w:rsidRPr="00991B8A">
              <w:rPr>
                <w:sz w:val="24"/>
                <w:szCs w:val="22"/>
              </w:rPr>
              <w:t>2019</w:t>
            </w:r>
          </w:p>
        </w:tc>
        <w:tc>
          <w:tcPr>
            <w:tcW w:w="1418" w:type="dxa"/>
            <w:vAlign w:val="center"/>
          </w:tcPr>
          <w:p w:rsidR="00965D95" w:rsidRPr="00991B8A" w:rsidRDefault="00E80E64" w:rsidP="00604743">
            <w:pPr>
              <w:pStyle w:val="Nzov"/>
              <w:tabs>
                <w:tab w:val="left" w:pos="1800"/>
              </w:tabs>
              <w:rPr>
                <w:bCs/>
                <w:sz w:val="24"/>
                <w:szCs w:val="22"/>
              </w:rPr>
            </w:pPr>
            <w:r w:rsidRPr="00991B8A">
              <w:rPr>
                <w:sz w:val="24"/>
                <w:szCs w:val="22"/>
              </w:rPr>
              <w:t>2020</w:t>
            </w:r>
          </w:p>
        </w:tc>
        <w:tc>
          <w:tcPr>
            <w:tcW w:w="1417" w:type="dxa"/>
            <w:vAlign w:val="center"/>
          </w:tcPr>
          <w:p w:rsidR="00965D95" w:rsidRPr="00991B8A" w:rsidRDefault="00E80E64" w:rsidP="00604743">
            <w:pPr>
              <w:pStyle w:val="Nzov"/>
              <w:tabs>
                <w:tab w:val="left" w:pos="1800"/>
              </w:tabs>
              <w:rPr>
                <w:bCs/>
                <w:sz w:val="24"/>
                <w:szCs w:val="22"/>
              </w:rPr>
            </w:pPr>
            <w:r w:rsidRPr="00991B8A">
              <w:rPr>
                <w:sz w:val="24"/>
                <w:szCs w:val="22"/>
              </w:rPr>
              <w:t>2021</w:t>
            </w:r>
          </w:p>
        </w:tc>
      </w:tr>
      <w:tr w:rsidR="00A76C93" w:rsidRPr="00991B8A" w:rsidTr="00A76C93">
        <w:trPr>
          <w:trHeight w:val="397"/>
        </w:trPr>
        <w:tc>
          <w:tcPr>
            <w:tcW w:w="5070" w:type="dxa"/>
            <w:vAlign w:val="center"/>
          </w:tcPr>
          <w:p w:rsidR="00C63570" w:rsidRPr="00991B8A" w:rsidRDefault="00C63570" w:rsidP="006106F6">
            <w:pPr>
              <w:pStyle w:val="Nzov"/>
              <w:tabs>
                <w:tab w:val="left" w:pos="1800"/>
              </w:tabs>
              <w:jc w:val="left"/>
              <w:rPr>
                <w:b/>
                <w:sz w:val="24"/>
                <w:szCs w:val="24"/>
              </w:rPr>
            </w:pPr>
            <w:r w:rsidRPr="00991B8A">
              <w:rPr>
                <w:b/>
                <w:sz w:val="24"/>
                <w:szCs w:val="24"/>
              </w:rPr>
              <w:t>- štátny rozpočet</w:t>
            </w:r>
          </w:p>
        </w:tc>
        <w:tc>
          <w:tcPr>
            <w:tcW w:w="1417" w:type="dxa"/>
            <w:vAlign w:val="center"/>
          </w:tcPr>
          <w:p w:rsidR="00C63570" w:rsidRPr="00991B8A" w:rsidRDefault="00C63570" w:rsidP="00991B8A">
            <w:pPr>
              <w:jc w:val="center"/>
              <w:rPr>
                <w:b/>
              </w:rPr>
            </w:pPr>
            <w:r w:rsidRPr="00991B8A">
              <w:rPr>
                <w:b/>
              </w:rPr>
              <w:t>15 137,0</w:t>
            </w:r>
          </w:p>
        </w:tc>
        <w:tc>
          <w:tcPr>
            <w:tcW w:w="1418" w:type="dxa"/>
            <w:vAlign w:val="center"/>
          </w:tcPr>
          <w:p w:rsidR="00C63570" w:rsidRPr="00991B8A" w:rsidRDefault="00C63570" w:rsidP="00991B8A">
            <w:pPr>
              <w:jc w:val="center"/>
              <w:rPr>
                <w:b/>
              </w:rPr>
            </w:pPr>
            <w:r w:rsidRPr="00991B8A">
              <w:rPr>
                <w:b/>
              </w:rPr>
              <w:t>14 758,5</w:t>
            </w:r>
          </w:p>
        </w:tc>
        <w:tc>
          <w:tcPr>
            <w:tcW w:w="1417" w:type="dxa"/>
            <w:vAlign w:val="center"/>
          </w:tcPr>
          <w:p w:rsidR="00C63570" w:rsidRPr="00991B8A" w:rsidRDefault="00C63570" w:rsidP="00991B8A">
            <w:pPr>
              <w:jc w:val="center"/>
              <w:rPr>
                <w:b/>
              </w:rPr>
            </w:pPr>
            <w:r w:rsidRPr="00991B8A">
              <w:rPr>
                <w:b/>
              </w:rPr>
              <w:t>14 380,2</w:t>
            </w:r>
          </w:p>
        </w:tc>
      </w:tr>
      <w:tr w:rsidR="00A76C93" w:rsidRPr="00991B8A" w:rsidTr="00A76C93">
        <w:trPr>
          <w:trHeight w:val="397"/>
        </w:trPr>
        <w:tc>
          <w:tcPr>
            <w:tcW w:w="5070" w:type="dxa"/>
            <w:vAlign w:val="center"/>
          </w:tcPr>
          <w:p w:rsidR="00C63570" w:rsidRPr="00991B8A" w:rsidRDefault="00C63570" w:rsidP="006106F6">
            <w:pPr>
              <w:pStyle w:val="Nzov"/>
              <w:tabs>
                <w:tab w:val="left" w:pos="1800"/>
              </w:tabs>
              <w:jc w:val="left"/>
              <w:rPr>
                <w:b/>
                <w:sz w:val="24"/>
                <w:szCs w:val="24"/>
              </w:rPr>
            </w:pPr>
            <w:r w:rsidRPr="00991B8A">
              <w:rPr>
                <w:b/>
                <w:sz w:val="24"/>
                <w:szCs w:val="24"/>
              </w:rPr>
              <w:t>- rozpočet územnej samosprávy, v tom</w:t>
            </w:r>
          </w:p>
        </w:tc>
        <w:tc>
          <w:tcPr>
            <w:tcW w:w="1417" w:type="dxa"/>
            <w:vAlign w:val="center"/>
          </w:tcPr>
          <w:p w:rsidR="00C63570" w:rsidRPr="00991B8A" w:rsidRDefault="00C63570" w:rsidP="00991B8A">
            <w:pPr>
              <w:jc w:val="center"/>
              <w:rPr>
                <w:b/>
              </w:rPr>
            </w:pPr>
            <w:r w:rsidRPr="00991B8A">
              <w:rPr>
                <w:b/>
              </w:rPr>
              <w:t>14 217,1</w:t>
            </w:r>
          </w:p>
        </w:tc>
        <w:tc>
          <w:tcPr>
            <w:tcW w:w="1418" w:type="dxa"/>
            <w:vAlign w:val="center"/>
          </w:tcPr>
          <w:p w:rsidR="00C63570" w:rsidRPr="00991B8A" w:rsidRDefault="00C63570" w:rsidP="00991B8A">
            <w:pPr>
              <w:jc w:val="center"/>
              <w:rPr>
                <w:b/>
              </w:rPr>
            </w:pPr>
            <w:r w:rsidRPr="00991B8A">
              <w:rPr>
                <w:b/>
              </w:rPr>
              <w:t>13 861,7</w:t>
            </w:r>
          </w:p>
        </w:tc>
        <w:tc>
          <w:tcPr>
            <w:tcW w:w="1417" w:type="dxa"/>
            <w:vAlign w:val="center"/>
          </w:tcPr>
          <w:p w:rsidR="00C63570" w:rsidRPr="00991B8A" w:rsidRDefault="00C63570" w:rsidP="00991B8A">
            <w:pPr>
              <w:jc w:val="center"/>
              <w:rPr>
                <w:b/>
              </w:rPr>
            </w:pPr>
            <w:r w:rsidRPr="00991B8A">
              <w:rPr>
                <w:b/>
              </w:rPr>
              <w:t>13 506,2</w:t>
            </w:r>
          </w:p>
        </w:tc>
      </w:tr>
      <w:tr w:rsidR="00A76C93" w:rsidRPr="00991B8A" w:rsidTr="00A76C93">
        <w:trPr>
          <w:trHeight w:val="397"/>
        </w:trPr>
        <w:tc>
          <w:tcPr>
            <w:tcW w:w="5070" w:type="dxa"/>
            <w:vAlign w:val="center"/>
          </w:tcPr>
          <w:p w:rsidR="00C63570" w:rsidRPr="00991B8A" w:rsidRDefault="00C63570" w:rsidP="006106F6">
            <w:pPr>
              <w:pStyle w:val="Nzov"/>
              <w:tabs>
                <w:tab w:val="left" w:pos="1800"/>
              </w:tabs>
              <w:jc w:val="left"/>
              <w:rPr>
                <w:i/>
                <w:sz w:val="24"/>
                <w:szCs w:val="24"/>
              </w:rPr>
            </w:pPr>
            <w:r w:rsidRPr="00991B8A">
              <w:rPr>
                <w:i/>
                <w:sz w:val="24"/>
                <w:szCs w:val="24"/>
              </w:rPr>
              <w:t xml:space="preserve">  - na rozpočet obcí</w:t>
            </w:r>
          </w:p>
        </w:tc>
        <w:tc>
          <w:tcPr>
            <w:tcW w:w="1417" w:type="dxa"/>
            <w:vAlign w:val="center"/>
          </w:tcPr>
          <w:p w:rsidR="00C63570" w:rsidRPr="00991B8A" w:rsidRDefault="00C63570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11 485,2</w:t>
            </w:r>
          </w:p>
        </w:tc>
        <w:tc>
          <w:tcPr>
            <w:tcW w:w="1418" w:type="dxa"/>
            <w:vAlign w:val="center"/>
          </w:tcPr>
          <w:p w:rsidR="00C63570" w:rsidRPr="00991B8A" w:rsidRDefault="00C63570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11 198,1</w:t>
            </w:r>
          </w:p>
        </w:tc>
        <w:tc>
          <w:tcPr>
            <w:tcW w:w="1417" w:type="dxa"/>
            <w:vAlign w:val="center"/>
          </w:tcPr>
          <w:p w:rsidR="00C63570" w:rsidRPr="00991B8A" w:rsidRDefault="00C63570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10 910,9</w:t>
            </w:r>
          </w:p>
        </w:tc>
      </w:tr>
      <w:tr w:rsidR="00A76C93" w:rsidRPr="00991B8A" w:rsidTr="00A76C93">
        <w:trPr>
          <w:trHeight w:val="397"/>
        </w:trPr>
        <w:tc>
          <w:tcPr>
            <w:tcW w:w="5070" w:type="dxa"/>
            <w:vAlign w:val="center"/>
          </w:tcPr>
          <w:p w:rsidR="00C63570" w:rsidRPr="00991B8A" w:rsidRDefault="00C63570" w:rsidP="006106F6">
            <w:pPr>
              <w:pStyle w:val="Nzov"/>
              <w:tabs>
                <w:tab w:val="left" w:pos="1800"/>
              </w:tabs>
              <w:jc w:val="left"/>
              <w:rPr>
                <w:i/>
                <w:sz w:val="24"/>
                <w:szCs w:val="24"/>
              </w:rPr>
            </w:pPr>
            <w:r w:rsidRPr="00991B8A">
              <w:rPr>
                <w:i/>
                <w:sz w:val="24"/>
                <w:szCs w:val="24"/>
              </w:rPr>
              <w:t xml:space="preserve">  - na rozpočet VÚC</w:t>
            </w:r>
          </w:p>
        </w:tc>
        <w:tc>
          <w:tcPr>
            <w:tcW w:w="1417" w:type="dxa"/>
            <w:vAlign w:val="center"/>
          </w:tcPr>
          <w:p w:rsidR="00C63570" w:rsidRPr="00991B8A" w:rsidRDefault="00C63570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2 731,9</w:t>
            </w:r>
          </w:p>
        </w:tc>
        <w:tc>
          <w:tcPr>
            <w:tcW w:w="1418" w:type="dxa"/>
            <w:vAlign w:val="center"/>
          </w:tcPr>
          <w:p w:rsidR="00C63570" w:rsidRPr="00991B8A" w:rsidRDefault="00C63570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2 663,6</w:t>
            </w:r>
          </w:p>
        </w:tc>
        <w:tc>
          <w:tcPr>
            <w:tcW w:w="1417" w:type="dxa"/>
            <w:vAlign w:val="center"/>
          </w:tcPr>
          <w:p w:rsidR="00C63570" w:rsidRPr="00991B8A" w:rsidRDefault="00C63570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2 595,3</w:t>
            </w:r>
          </w:p>
        </w:tc>
      </w:tr>
    </w:tbl>
    <w:p w:rsidR="002A5D7C" w:rsidRPr="00991B8A" w:rsidRDefault="002A5D7C" w:rsidP="00A0360F">
      <w:pPr>
        <w:pStyle w:val="Nzov"/>
        <w:ind w:firstLine="708"/>
        <w:jc w:val="both"/>
        <w:rPr>
          <w:sz w:val="24"/>
          <w:szCs w:val="24"/>
        </w:rPr>
      </w:pPr>
    </w:p>
    <w:p w:rsidR="002A5D7C" w:rsidRPr="00991B8A" w:rsidRDefault="002A5D7C" w:rsidP="00A0360F">
      <w:pPr>
        <w:pStyle w:val="Nzov"/>
        <w:ind w:firstLine="708"/>
        <w:jc w:val="both"/>
        <w:rPr>
          <w:sz w:val="24"/>
          <w:szCs w:val="24"/>
        </w:rPr>
      </w:pPr>
      <w:r w:rsidRPr="00991B8A">
        <w:rPr>
          <w:b/>
          <w:bCs/>
          <w:sz w:val="24"/>
          <w:szCs w:val="24"/>
        </w:rPr>
        <w:t>Kvalifikovaný odhad rozdelenia nárastu výdavkov</w:t>
      </w:r>
      <w:r w:rsidRPr="00991B8A">
        <w:rPr>
          <w:sz w:val="24"/>
          <w:szCs w:val="24"/>
        </w:rPr>
        <w:t xml:space="preserve"> verejného rozpočtu na výdavky štátneho rozpočtu a na výdavky obecných rozpočtov:</w:t>
      </w:r>
    </w:p>
    <w:p w:rsidR="002A5D7C" w:rsidRPr="00991B8A" w:rsidRDefault="002A5D7C" w:rsidP="00A0360F">
      <w:pPr>
        <w:pStyle w:val="Nzov"/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559"/>
        <w:gridCol w:w="1560"/>
        <w:gridCol w:w="1559"/>
        <w:tblGridChange w:id="8">
          <w:tblGrid>
            <w:gridCol w:w="4644"/>
            <w:gridCol w:w="1559"/>
            <w:gridCol w:w="1560"/>
            <w:gridCol w:w="1559"/>
          </w:tblGrid>
        </w:tblGridChange>
      </w:tblGrid>
      <w:tr w:rsidR="00965D95" w:rsidRPr="00991B8A" w:rsidTr="00604743">
        <w:tc>
          <w:tcPr>
            <w:tcW w:w="4644" w:type="dxa"/>
          </w:tcPr>
          <w:p w:rsidR="00965D95" w:rsidRPr="00991B8A" w:rsidRDefault="00965D95" w:rsidP="00A0360F">
            <w:pPr>
              <w:pStyle w:val="Nzov"/>
              <w:tabs>
                <w:tab w:val="left" w:pos="1800"/>
              </w:tabs>
              <w:jc w:val="left"/>
              <w:rPr>
                <w:bCs/>
                <w:sz w:val="24"/>
                <w:szCs w:val="24"/>
              </w:rPr>
            </w:pPr>
            <w:r w:rsidRPr="00991B8A">
              <w:rPr>
                <w:bCs/>
                <w:sz w:val="24"/>
                <w:szCs w:val="24"/>
              </w:rPr>
              <w:t>Ukazovateľ</w:t>
            </w:r>
          </w:p>
        </w:tc>
        <w:tc>
          <w:tcPr>
            <w:tcW w:w="1559" w:type="dxa"/>
            <w:vAlign w:val="center"/>
          </w:tcPr>
          <w:p w:rsidR="00965D95" w:rsidRPr="00991B8A" w:rsidRDefault="00E80E64" w:rsidP="00604743">
            <w:pPr>
              <w:pStyle w:val="Nzov"/>
              <w:ind w:left="-59"/>
              <w:rPr>
                <w:bCs/>
                <w:sz w:val="24"/>
                <w:szCs w:val="24"/>
              </w:rPr>
            </w:pPr>
            <w:r w:rsidRPr="00991B8A">
              <w:rPr>
                <w:sz w:val="24"/>
                <w:szCs w:val="22"/>
              </w:rPr>
              <w:t>2019</w:t>
            </w:r>
          </w:p>
        </w:tc>
        <w:tc>
          <w:tcPr>
            <w:tcW w:w="1560" w:type="dxa"/>
            <w:vAlign w:val="center"/>
          </w:tcPr>
          <w:p w:rsidR="00965D95" w:rsidRPr="00991B8A" w:rsidRDefault="00E80E64" w:rsidP="00604743">
            <w:pPr>
              <w:pStyle w:val="Nzov"/>
              <w:ind w:left="-59"/>
              <w:rPr>
                <w:bCs/>
                <w:sz w:val="24"/>
                <w:szCs w:val="24"/>
              </w:rPr>
            </w:pPr>
            <w:r w:rsidRPr="00991B8A">
              <w:rPr>
                <w:sz w:val="24"/>
                <w:szCs w:val="22"/>
              </w:rPr>
              <w:t>2020</w:t>
            </w:r>
          </w:p>
        </w:tc>
        <w:tc>
          <w:tcPr>
            <w:tcW w:w="1559" w:type="dxa"/>
            <w:vAlign w:val="center"/>
          </w:tcPr>
          <w:p w:rsidR="00965D95" w:rsidRPr="00991B8A" w:rsidRDefault="00E80E64" w:rsidP="00604743">
            <w:pPr>
              <w:pStyle w:val="Nzov"/>
              <w:ind w:left="-59"/>
              <w:rPr>
                <w:bCs/>
                <w:sz w:val="24"/>
                <w:szCs w:val="24"/>
              </w:rPr>
            </w:pPr>
            <w:r w:rsidRPr="00991B8A">
              <w:rPr>
                <w:sz w:val="24"/>
                <w:szCs w:val="22"/>
              </w:rPr>
              <w:t>2021</w:t>
            </w:r>
          </w:p>
        </w:tc>
      </w:tr>
      <w:tr w:rsidR="00A76C93" w:rsidRPr="00991B8A" w:rsidTr="00A76C93">
        <w:tc>
          <w:tcPr>
            <w:tcW w:w="4644" w:type="dxa"/>
            <w:shd w:val="clear" w:color="auto" w:fill="FFFFCC"/>
          </w:tcPr>
          <w:p w:rsidR="000D022E" w:rsidRPr="00991B8A" w:rsidRDefault="000D022E" w:rsidP="00A0360F">
            <w:pPr>
              <w:pStyle w:val="Nzov"/>
              <w:tabs>
                <w:tab w:val="left" w:pos="1800"/>
              </w:tabs>
              <w:jc w:val="left"/>
              <w:rPr>
                <w:b/>
                <w:sz w:val="24"/>
                <w:szCs w:val="24"/>
              </w:rPr>
            </w:pPr>
            <w:r w:rsidRPr="00991B8A">
              <w:rPr>
                <w:b/>
                <w:sz w:val="24"/>
                <w:szCs w:val="24"/>
              </w:rPr>
              <w:t>Zvýšenie výdavkov verejného rozpočtu na platy a odvody v eurách ročne, v tom: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0D022E" w:rsidRPr="00991B8A" w:rsidRDefault="000D022E" w:rsidP="00991B8A">
            <w:pPr>
              <w:ind w:left="-59" w:right="-30"/>
              <w:jc w:val="center"/>
              <w:rPr>
                <w:b/>
                <w:bCs/>
              </w:rPr>
            </w:pPr>
            <w:r w:rsidRPr="00991B8A">
              <w:rPr>
                <w:b/>
              </w:rPr>
              <w:t>14 751 346,13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0D022E" w:rsidRPr="00991B8A" w:rsidRDefault="000D022E" w:rsidP="00991B8A">
            <w:pPr>
              <w:ind w:left="-59" w:right="-86"/>
              <w:jc w:val="center"/>
              <w:rPr>
                <w:b/>
                <w:bCs/>
              </w:rPr>
            </w:pPr>
            <w:r w:rsidRPr="00991B8A">
              <w:rPr>
                <w:b/>
              </w:rPr>
              <w:t>14 382 540,43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0D022E" w:rsidRPr="00991B8A" w:rsidRDefault="000D022E" w:rsidP="00991B8A">
            <w:pPr>
              <w:ind w:left="-59"/>
              <w:jc w:val="center"/>
              <w:rPr>
                <w:b/>
                <w:bCs/>
              </w:rPr>
            </w:pPr>
            <w:r w:rsidRPr="00991B8A">
              <w:rPr>
                <w:b/>
              </w:rPr>
              <w:t>14 013 781,08</w:t>
            </w:r>
          </w:p>
        </w:tc>
      </w:tr>
      <w:tr w:rsidR="00A76C93" w:rsidRPr="00991B8A" w:rsidTr="00A76C93">
        <w:tc>
          <w:tcPr>
            <w:tcW w:w="4644" w:type="dxa"/>
          </w:tcPr>
          <w:p w:rsidR="000D022E" w:rsidRPr="00991B8A" w:rsidRDefault="000D022E" w:rsidP="00A0360F">
            <w:pPr>
              <w:pStyle w:val="Nzov"/>
              <w:tabs>
                <w:tab w:val="left" w:pos="1800"/>
              </w:tabs>
              <w:ind w:left="142" w:hanging="142"/>
              <w:jc w:val="left"/>
              <w:rPr>
                <w:bCs/>
                <w:sz w:val="24"/>
                <w:szCs w:val="24"/>
              </w:rPr>
            </w:pPr>
            <w:r w:rsidRPr="00991B8A">
              <w:rPr>
                <w:bCs/>
                <w:sz w:val="24"/>
                <w:szCs w:val="24"/>
              </w:rPr>
              <w:t>- zvýšenie výdavkov štátneho rozpočtu v eurách ročne</w:t>
            </w:r>
          </w:p>
        </w:tc>
        <w:tc>
          <w:tcPr>
            <w:tcW w:w="1559" w:type="dxa"/>
            <w:vAlign w:val="center"/>
          </w:tcPr>
          <w:p w:rsidR="000D022E" w:rsidRPr="00991B8A" w:rsidRDefault="000D022E" w:rsidP="00991B8A">
            <w:pPr>
              <w:ind w:left="-59"/>
              <w:jc w:val="center"/>
              <w:rPr>
                <w:bCs/>
              </w:rPr>
            </w:pPr>
            <w:r w:rsidRPr="00991B8A">
              <w:t>7 387 427,29</w:t>
            </w:r>
          </w:p>
        </w:tc>
        <w:tc>
          <w:tcPr>
            <w:tcW w:w="1560" w:type="dxa"/>
            <w:vAlign w:val="center"/>
          </w:tcPr>
          <w:p w:rsidR="000D022E" w:rsidRPr="00991B8A" w:rsidRDefault="000D022E" w:rsidP="00991B8A">
            <w:pPr>
              <w:ind w:left="-59"/>
              <w:jc w:val="center"/>
              <w:rPr>
                <w:bCs/>
              </w:rPr>
            </w:pPr>
            <w:r w:rsidRPr="00991B8A">
              <w:t>7 202 706,37</w:t>
            </w:r>
          </w:p>
        </w:tc>
        <w:tc>
          <w:tcPr>
            <w:tcW w:w="1559" w:type="dxa"/>
            <w:vAlign w:val="center"/>
          </w:tcPr>
          <w:p w:rsidR="000D022E" w:rsidRPr="00991B8A" w:rsidRDefault="000D022E" w:rsidP="00991B8A">
            <w:pPr>
              <w:ind w:left="-59"/>
              <w:jc w:val="center"/>
              <w:rPr>
                <w:bCs/>
              </w:rPr>
            </w:pPr>
            <w:r w:rsidRPr="00991B8A">
              <w:t>7 018 079,77</w:t>
            </w:r>
          </w:p>
        </w:tc>
      </w:tr>
      <w:tr w:rsidR="00A76C93" w:rsidRPr="00991B8A" w:rsidTr="00A76C93">
        <w:tc>
          <w:tcPr>
            <w:tcW w:w="4644" w:type="dxa"/>
          </w:tcPr>
          <w:p w:rsidR="000D022E" w:rsidRPr="00991B8A" w:rsidRDefault="000D022E" w:rsidP="00A0360F">
            <w:pPr>
              <w:ind w:left="142" w:hanging="142"/>
              <w:rPr>
                <w:bCs/>
              </w:rPr>
            </w:pPr>
            <w:r w:rsidRPr="00991B8A">
              <w:rPr>
                <w:bCs/>
              </w:rPr>
              <w:t>- zvýšenie výdavkov rozpočtu územnej samosprávy v eurách ročne, v tom:</w:t>
            </w:r>
          </w:p>
        </w:tc>
        <w:tc>
          <w:tcPr>
            <w:tcW w:w="1559" w:type="dxa"/>
            <w:vAlign w:val="center"/>
          </w:tcPr>
          <w:p w:rsidR="000D022E" w:rsidRPr="00991B8A" w:rsidRDefault="000D022E" w:rsidP="00991B8A">
            <w:pPr>
              <w:ind w:left="-59"/>
              <w:jc w:val="center"/>
              <w:rPr>
                <w:bCs/>
              </w:rPr>
            </w:pPr>
            <w:r w:rsidRPr="00991B8A">
              <w:t>7 363 918,84</w:t>
            </w:r>
          </w:p>
        </w:tc>
        <w:tc>
          <w:tcPr>
            <w:tcW w:w="1560" w:type="dxa"/>
            <w:vAlign w:val="center"/>
          </w:tcPr>
          <w:p w:rsidR="000D022E" w:rsidRPr="00991B8A" w:rsidRDefault="000D022E" w:rsidP="00991B8A">
            <w:pPr>
              <w:ind w:left="-59"/>
              <w:jc w:val="center"/>
              <w:rPr>
                <w:bCs/>
              </w:rPr>
            </w:pPr>
            <w:r w:rsidRPr="00991B8A">
              <w:t>7 179 834,06</w:t>
            </w:r>
          </w:p>
        </w:tc>
        <w:tc>
          <w:tcPr>
            <w:tcW w:w="1559" w:type="dxa"/>
            <w:vAlign w:val="center"/>
          </w:tcPr>
          <w:p w:rsidR="000D022E" w:rsidRPr="00991B8A" w:rsidRDefault="000D022E" w:rsidP="00991B8A">
            <w:pPr>
              <w:ind w:left="-59"/>
              <w:jc w:val="center"/>
              <w:rPr>
                <w:bCs/>
              </w:rPr>
            </w:pPr>
            <w:r w:rsidRPr="00991B8A">
              <w:t>6 995 701,31</w:t>
            </w:r>
          </w:p>
        </w:tc>
      </w:tr>
      <w:tr w:rsidR="00A76C93" w:rsidRPr="00991B8A" w:rsidTr="00A76C93">
        <w:trPr>
          <w:trHeight w:val="397"/>
        </w:trPr>
        <w:tc>
          <w:tcPr>
            <w:tcW w:w="4644" w:type="dxa"/>
            <w:vAlign w:val="center"/>
          </w:tcPr>
          <w:p w:rsidR="000D022E" w:rsidRPr="00991B8A" w:rsidRDefault="000D022E" w:rsidP="006106F6">
            <w:pPr>
              <w:pStyle w:val="Nzov"/>
              <w:tabs>
                <w:tab w:val="left" w:pos="1800"/>
              </w:tabs>
              <w:ind w:left="182"/>
              <w:jc w:val="left"/>
              <w:rPr>
                <w:bCs/>
                <w:i/>
                <w:sz w:val="24"/>
                <w:szCs w:val="24"/>
              </w:rPr>
            </w:pPr>
            <w:r w:rsidRPr="00991B8A">
              <w:rPr>
                <w:bCs/>
                <w:i/>
                <w:sz w:val="24"/>
                <w:szCs w:val="24"/>
              </w:rPr>
              <w:lastRenderedPageBreak/>
              <w:t>- rozpočtu obcí</w:t>
            </w:r>
          </w:p>
        </w:tc>
        <w:tc>
          <w:tcPr>
            <w:tcW w:w="1559" w:type="dxa"/>
            <w:vAlign w:val="center"/>
          </w:tcPr>
          <w:p w:rsidR="000D022E" w:rsidRPr="00991B8A" w:rsidRDefault="000D022E" w:rsidP="00991B8A">
            <w:pPr>
              <w:ind w:left="-59"/>
              <w:jc w:val="center"/>
              <w:rPr>
                <w:bCs/>
                <w:i/>
              </w:rPr>
            </w:pPr>
            <w:r w:rsidRPr="00991B8A">
              <w:rPr>
                <w:i/>
              </w:rPr>
              <w:t>5 948 894,68</w:t>
            </w:r>
          </w:p>
        </w:tc>
        <w:tc>
          <w:tcPr>
            <w:tcW w:w="1560" w:type="dxa"/>
            <w:vAlign w:val="center"/>
          </w:tcPr>
          <w:p w:rsidR="000D022E" w:rsidRPr="00991B8A" w:rsidRDefault="000D022E" w:rsidP="00991B8A">
            <w:pPr>
              <w:ind w:left="-59"/>
              <w:jc w:val="center"/>
              <w:rPr>
                <w:bCs/>
                <w:i/>
              </w:rPr>
            </w:pPr>
            <w:r w:rsidRPr="00991B8A">
              <w:rPr>
                <w:i/>
              </w:rPr>
              <w:t>5 800 182,97</w:t>
            </w:r>
          </w:p>
        </w:tc>
        <w:tc>
          <w:tcPr>
            <w:tcW w:w="1559" w:type="dxa"/>
            <w:vAlign w:val="center"/>
          </w:tcPr>
          <w:p w:rsidR="000D022E" w:rsidRPr="00991B8A" w:rsidRDefault="000D022E" w:rsidP="00991B8A">
            <w:pPr>
              <w:ind w:left="-59"/>
              <w:jc w:val="center"/>
              <w:rPr>
                <w:bCs/>
                <w:i/>
              </w:rPr>
            </w:pPr>
            <w:r w:rsidRPr="00991B8A">
              <w:rPr>
                <w:i/>
              </w:rPr>
              <w:t>5 651 432,51</w:t>
            </w:r>
          </w:p>
        </w:tc>
      </w:tr>
      <w:tr w:rsidR="00A76C93" w:rsidRPr="00991B8A" w:rsidTr="00A76C93">
        <w:trPr>
          <w:trHeight w:val="397"/>
        </w:trPr>
        <w:tc>
          <w:tcPr>
            <w:tcW w:w="4644" w:type="dxa"/>
            <w:vAlign w:val="center"/>
          </w:tcPr>
          <w:p w:rsidR="000D022E" w:rsidRPr="00991B8A" w:rsidRDefault="000D022E" w:rsidP="006106F6">
            <w:pPr>
              <w:pStyle w:val="Nzov"/>
              <w:tabs>
                <w:tab w:val="left" w:pos="1800"/>
              </w:tabs>
              <w:ind w:left="196"/>
              <w:jc w:val="left"/>
              <w:rPr>
                <w:bCs/>
                <w:i/>
                <w:sz w:val="24"/>
                <w:szCs w:val="24"/>
              </w:rPr>
            </w:pPr>
            <w:r w:rsidRPr="00991B8A">
              <w:rPr>
                <w:bCs/>
                <w:i/>
                <w:sz w:val="24"/>
                <w:szCs w:val="24"/>
              </w:rPr>
              <w:t>- rozpočtu VÚC</w:t>
            </w:r>
          </w:p>
        </w:tc>
        <w:tc>
          <w:tcPr>
            <w:tcW w:w="1559" w:type="dxa"/>
            <w:vAlign w:val="center"/>
          </w:tcPr>
          <w:p w:rsidR="000D022E" w:rsidRPr="00991B8A" w:rsidRDefault="000D022E" w:rsidP="00991B8A">
            <w:pPr>
              <w:ind w:left="-59"/>
              <w:jc w:val="center"/>
              <w:rPr>
                <w:bCs/>
                <w:i/>
              </w:rPr>
            </w:pPr>
            <w:r w:rsidRPr="00991B8A">
              <w:rPr>
                <w:i/>
              </w:rPr>
              <w:t>1 415 024,16</w:t>
            </w:r>
          </w:p>
        </w:tc>
        <w:tc>
          <w:tcPr>
            <w:tcW w:w="1560" w:type="dxa"/>
            <w:vAlign w:val="center"/>
          </w:tcPr>
          <w:p w:rsidR="000D022E" w:rsidRPr="00991B8A" w:rsidRDefault="000D022E" w:rsidP="00991B8A">
            <w:pPr>
              <w:ind w:left="-59"/>
              <w:jc w:val="center"/>
              <w:rPr>
                <w:bCs/>
                <w:i/>
              </w:rPr>
            </w:pPr>
            <w:r w:rsidRPr="00991B8A">
              <w:rPr>
                <w:i/>
              </w:rPr>
              <w:t>1 379 651,09</w:t>
            </w:r>
          </w:p>
        </w:tc>
        <w:tc>
          <w:tcPr>
            <w:tcW w:w="1559" w:type="dxa"/>
            <w:vAlign w:val="center"/>
          </w:tcPr>
          <w:p w:rsidR="000D022E" w:rsidRPr="00991B8A" w:rsidRDefault="000D022E" w:rsidP="00991B8A">
            <w:pPr>
              <w:ind w:left="-59"/>
              <w:jc w:val="center"/>
              <w:rPr>
                <w:bCs/>
                <w:i/>
              </w:rPr>
            </w:pPr>
            <w:r w:rsidRPr="00991B8A">
              <w:rPr>
                <w:i/>
              </w:rPr>
              <w:t>1 344 268,80</w:t>
            </w:r>
          </w:p>
        </w:tc>
      </w:tr>
    </w:tbl>
    <w:p w:rsidR="004F0BB0" w:rsidRPr="00991B8A" w:rsidRDefault="004F0BB0" w:rsidP="00A0360F"/>
    <w:p w:rsidR="0077169D" w:rsidRPr="00991B8A" w:rsidRDefault="0077169D" w:rsidP="00455FBF">
      <w:pPr>
        <w:pStyle w:val="Nzov"/>
        <w:ind w:firstLine="708"/>
        <w:jc w:val="both"/>
        <w:rPr>
          <w:b/>
          <w:bCs/>
          <w:iCs/>
          <w:sz w:val="24"/>
          <w:szCs w:val="24"/>
        </w:rPr>
      </w:pPr>
    </w:p>
    <w:p w:rsidR="00936CC4" w:rsidRPr="00991B8A" w:rsidRDefault="00455FBF" w:rsidP="00455FBF">
      <w:pPr>
        <w:pStyle w:val="Nzov"/>
        <w:ind w:firstLine="708"/>
        <w:jc w:val="both"/>
        <w:rPr>
          <w:b/>
          <w:bCs/>
          <w:iCs/>
          <w:sz w:val="24"/>
          <w:szCs w:val="24"/>
        </w:rPr>
      </w:pPr>
      <w:r w:rsidRPr="00991B8A">
        <w:rPr>
          <w:b/>
          <w:bCs/>
          <w:iCs/>
          <w:sz w:val="24"/>
          <w:szCs w:val="24"/>
        </w:rPr>
        <w:t xml:space="preserve">B.4 </w:t>
      </w:r>
      <w:r w:rsidR="00936CC4" w:rsidRPr="00991B8A">
        <w:rPr>
          <w:b/>
          <w:bCs/>
          <w:iCs/>
          <w:sz w:val="24"/>
          <w:szCs w:val="24"/>
        </w:rPr>
        <w:t>T</w:t>
      </w:r>
      <w:r w:rsidR="00F14F10" w:rsidRPr="00991B8A">
        <w:rPr>
          <w:b/>
          <w:bCs/>
          <w:iCs/>
          <w:sz w:val="24"/>
          <w:szCs w:val="24"/>
        </w:rPr>
        <w:t xml:space="preserve">ransfer obciam na údržbu vojnových hrobov </w:t>
      </w:r>
    </w:p>
    <w:p w:rsidR="00936CC4" w:rsidRPr="00991B8A" w:rsidRDefault="00936CC4" w:rsidP="00A0360F">
      <w:pPr>
        <w:ind w:firstLine="708"/>
        <w:rPr>
          <w:b/>
          <w:bCs/>
        </w:rPr>
      </w:pPr>
    </w:p>
    <w:p w:rsidR="00065CC4" w:rsidRPr="00991B8A" w:rsidRDefault="00936CC4" w:rsidP="00A0360F">
      <w:pPr>
        <w:ind w:firstLine="708"/>
        <w:jc w:val="both"/>
      </w:pPr>
      <w:r w:rsidRPr="00991B8A">
        <w:t>P</w:t>
      </w:r>
      <w:r w:rsidR="00F14F10" w:rsidRPr="00991B8A">
        <w:t xml:space="preserve">odľa § 4 </w:t>
      </w:r>
      <w:r w:rsidR="00A64AF2" w:rsidRPr="00991B8A">
        <w:t xml:space="preserve">ods. 1 </w:t>
      </w:r>
      <w:r w:rsidR="00F14F10" w:rsidRPr="00991B8A">
        <w:t>zákona č. 130/2005 Z. z. o vojnových hroboch v znení neskorších predpisov</w:t>
      </w:r>
      <w:r w:rsidR="00A64AF2" w:rsidRPr="00991B8A">
        <w:t xml:space="preserve"> (cit.): </w:t>
      </w:r>
      <w:r w:rsidR="00A64AF2" w:rsidRPr="00991B8A">
        <w:rPr>
          <w:i/>
        </w:rPr>
        <w:t xml:space="preserve">„Na zabezpečovanie starostlivosti o vojnový hrob sa poskytne obci príspevok na kalendárny rok na každý vojnový hrob v sume </w:t>
      </w:r>
      <w:r w:rsidR="00A64AF2" w:rsidRPr="00991B8A">
        <w:rPr>
          <w:b/>
          <w:i/>
        </w:rPr>
        <w:t xml:space="preserve">päťnásobku minimálnej hodinovej mzdy </w:t>
      </w:r>
      <w:r w:rsidR="00A64AF2" w:rsidRPr="00991B8A">
        <w:rPr>
          <w:i/>
        </w:rPr>
        <w:t>ustanovenej osobitným predpisom“</w:t>
      </w:r>
      <w:r w:rsidR="00065CC4" w:rsidRPr="00991B8A">
        <w:t xml:space="preserve">. V roku </w:t>
      </w:r>
      <w:r w:rsidR="00E80E64" w:rsidRPr="00991B8A">
        <w:t>2019</w:t>
      </w:r>
      <w:r w:rsidR="005F4A95" w:rsidRPr="00991B8A">
        <w:t xml:space="preserve"> </w:t>
      </w:r>
      <w:r w:rsidR="00065CC4" w:rsidRPr="00991B8A">
        <w:t>celková výška príspevku na 1 v</w:t>
      </w:r>
      <w:r w:rsidR="00E555BD" w:rsidRPr="00991B8A">
        <w:t>o</w:t>
      </w:r>
      <w:r w:rsidR="00065CC4" w:rsidRPr="00991B8A">
        <w:t xml:space="preserve">jnový hrob </w:t>
      </w:r>
      <w:r w:rsidR="007331FE" w:rsidRPr="00991B8A">
        <w:t xml:space="preserve">bude </w:t>
      </w:r>
      <w:r w:rsidR="00065CC4" w:rsidRPr="00991B8A">
        <w:t>predstav</w:t>
      </w:r>
      <w:r w:rsidR="007331FE" w:rsidRPr="00991B8A">
        <w:t>ovať</w:t>
      </w:r>
      <w:r w:rsidR="00065CC4" w:rsidRPr="00991B8A">
        <w:t xml:space="preserve"> </w:t>
      </w:r>
      <w:r w:rsidR="00512136" w:rsidRPr="00991B8A">
        <w:t>14,9</w:t>
      </w:r>
      <w:r w:rsidR="003D073A" w:rsidRPr="00991B8A">
        <w:t>4</w:t>
      </w:r>
      <w:r w:rsidR="00512136" w:rsidRPr="00991B8A">
        <w:t xml:space="preserve">5 </w:t>
      </w:r>
      <w:r w:rsidR="00E555BD" w:rsidRPr="00991B8A">
        <w:t xml:space="preserve">eura ročne, čo oproti sume </w:t>
      </w:r>
      <w:r w:rsidR="008444BA" w:rsidRPr="00991B8A">
        <w:t xml:space="preserve">13,795 </w:t>
      </w:r>
      <w:r w:rsidR="00E555BD" w:rsidRPr="00991B8A">
        <w:t xml:space="preserve">eura platnej v roku </w:t>
      </w:r>
      <w:r w:rsidR="00E80E64" w:rsidRPr="00991B8A">
        <w:t>2018</w:t>
      </w:r>
      <w:r w:rsidR="00E555BD" w:rsidRPr="00991B8A">
        <w:t xml:space="preserve"> predstavuje </w:t>
      </w:r>
      <w:r w:rsidR="00E555BD" w:rsidRPr="00991B8A">
        <w:rPr>
          <w:b/>
        </w:rPr>
        <w:t xml:space="preserve">nárast </w:t>
      </w:r>
      <w:r w:rsidR="00800D76" w:rsidRPr="00991B8A">
        <w:rPr>
          <w:b/>
        </w:rPr>
        <w:t xml:space="preserve">o </w:t>
      </w:r>
      <w:r w:rsidR="00512136" w:rsidRPr="00991B8A">
        <w:rPr>
          <w:b/>
        </w:rPr>
        <w:t xml:space="preserve">1,15 </w:t>
      </w:r>
      <w:r w:rsidR="007331FE" w:rsidRPr="00991B8A">
        <w:rPr>
          <w:b/>
        </w:rPr>
        <w:t xml:space="preserve">eura </w:t>
      </w:r>
      <w:r w:rsidR="00E555BD" w:rsidRPr="00991B8A">
        <w:rPr>
          <w:b/>
        </w:rPr>
        <w:t>na 1 vojnový hrob</w:t>
      </w:r>
      <w:r w:rsidR="00E555BD" w:rsidRPr="00991B8A">
        <w:t>.</w:t>
      </w:r>
    </w:p>
    <w:p w:rsidR="00E555BD" w:rsidRPr="00991B8A" w:rsidRDefault="00E555BD" w:rsidP="00A0360F">
      <w:pPr>
        <w:ind w:firstLine="708"/>
      </w:pPr>
    </w:p>
    <w:p w:rsidR="004F0BB0" w:rsidRPr="00991B8A" w:rsidRDefault="003B3B9B" w:rsidP="00A0360F">
      <w:pPr>
        <w:ind w:firstLine="708"/>
        <w:jc w:val="both"/>
      </w:pPr>
      <w:r w:rsidRPr="00991B8A">
        <w:t xml:space="preserve">Podľa údajov </w:t>
      </w:r>
      <w:r w:rsidR="0074178E" w:rsidRPr="00991B8A">
        <w:t xml:space="preserve">získaných z </w:t>
      </w:r>
      <w:r w:rsidRPr="00991B8A">
        <w:t>MV SR v</w:t>
      </w:r>
      <w:r w:rsidR="00065CC4" w:rsidRPr="00991B8A">
        <w:t xml:space="preserve"> roku </w:t>
      </w:r>
      <w:r w:rsidR="00E80E64" w:rsidRPr="00991B8A">
        <w:t>2018</w:t>
      </w:r>
      <w:r w:rsidR="0074178E" w:rsidRPr="00991B8A">
        <w:t xml:space="preserve"> </w:t>
      </w:r>
      <w:r w:rsidR="00065CC4" w:rsidRPr="00991B8A">
        <w:t xml:space="preserve">boli obciam </w:t>
      </w:r>
      <w:r w:rsidRPr="00991B8A">
        <w:t xml:space="preserve">poskytované </w:t>
      </w:r>
      <w:r w:rsidR="00065CC4" w:rsidRPr="00991B8A">
        <w:t xml:space="preserve">príspevky podľa § 4 ods. 1 tohto zákona na úpravu </w:t>
      </w:r>
      <w:r w:rsidR="008444BA" w:rsidRPr="00991B8A">
        <w:t xml:space="preserve">18 324 </w:t>
      </w:r>
      <w:r w:rsidR="00065CC4" w:rsidRPr="00991B8A">
        <w:t>hrobov</w:t>
      </w:r>
      <w:r w:rsidR="00BA3C0C" w:rsidRPr="00991B8A">
        <w:t>*)</w:t>
      </w:r>
      <w:hyperlink w:history="1"/>
      <w:r w:rsidRPr="00991B8A">
        <w:t xml:space="preserve">. </w:t>
      </w:r>
      <w:r w:rsidR="0074178E" w:rsidRPr="00991B8A">
        <w:t xml:space="preserve">Vplyv </w:t>
      </w:r>
      <w:r w:rsidRPr="00991B8A">
        <w:t xml:space="preserve">zvýšenia sumy minimálnej mzdy </w:t>
      </w:r>
      <w:r w:rsidR="00161387" w:rsidRPr="00991B8A">
        <w:t xml:space="preserve">na štátny rozpočet z dôvodu transferu príspevku obciam na údržbu vojnových hrobov </w:t>
      </w:r>
      <w:r w:rsidRPr="00991B8A">
        <w:t xml:space="preserve">možno odhadnúť </w:t>
      </w:r>
      <w:r w:rsidRPr="00991B8A">
        <w:rPr>
          <w:b/>
        </w:rPr>
        <w:t xml:space="preserve">na </w:t>
      </w:r>
      <w:r w:rsidR="008444BA" w:rsidRPr="00991B8A">
        <w:rPr>
          <w:b/>
        </w:rPr>
        <w:t>21 072,60</w:t>
      </w:r>
      <w:r w:rsidR="008444BA" w:rsidRPr="00991B8A" w:rsidDel="008444BA">
        <w:rPr>
          <w:b/>
        </w:rPr>
        <w:t xml:space="preserve"> </w:t>
      </w:r>
      <w:r w:rsidR="00011958" w:rsidRPr="00991B8A">
        <w:rPr>
          <w:b/>
        </w:rPr>
        <w:t>eur</w:t>
      </w:r>
      <w:r w:rsidR="00E555BD" w:rsidRPr="00991B8A">
        <w:rPr>
          <w:b/>
        </w:rPr>
        <w:t>a</w:t>
      </w:r>
      <w:r w:rsidR="00011958" w:rsidRPr="00991B8A">
        <w:rPr>
          <w:b/>
        </w:rPr>
        <w:t xml:space="preserve"> ročne</w:t>
      </w:r>
      <w:r w:rsidR="00052C64" w:rsidRPr="00991B8A">
        <w:t>.</w:t>
      </w:r>
      <w:r w:rsidR="0074178E" w:rsidRPr="00991B8A">
        <w:t xml:space="preserve"> V tomto počte sú uvedené len vojnové hroby, na ktoré MV SR na základe požiadania obce poskytlo obci príspevok na údržbu hrobov</w:t>
      </w:r>
      <w:r w:rsidR="00130887" w:rsidRPr="00991B8A">
        <w:t>.</w:t>
      </w:r>
    </w:p>
    <w:p w:rsidR="00011958" w:rsidRPr="00991B8A" w:rsidRDefault="00BA3C0C" w:rsidP="00604743">
      <w:pPr>
        <w:spacing w:before="120"/>
        <w:rPr>
          <w:i/>
          <w:sz w:val="20"/>
        </w:rPr>
      </w:pPr>
      <w:r w:rsidRPr="00991B8A">
        <w:rPr>
          <w:i/>
          <w:sz w:val="22"/>
        </w:rPr>
        <w:t xml:space="preserve">*) </w:t>
      </w:r>
      <w:hyperlink r:id="rId9" w:history="1">
        <w:r w:rsidR="00A76C93" w:rsidRPr="00991B8A">
          <w:rPr>
            <w:rStyle w:val="Hypertextovprepojenie"/>
            <w:i/>
            <w:color w:val="auto"/>
            <w:sz w:val="22"/>
          </w:rPr>
          <w:t>https://www.minv.sk/swift_data/source/verejna_sprava/vh_ziadosti_4_ods1/hroby_odsek1</w:t>
        </w:r>
      </w:hyperlink>
      <w:r w:rsidR="003D073A" w:rsidRPr="00991B8A">
        <w:rPr>
          <w:i/>
          <w:sz w:val="22"/>
        </w:rPr>
        <w:t xml:space="preserve">_2018.pdf </w:t>
      </w:r>
    </w:p>
    <w:p w:rsidR="00161387" w:rsidRPr="00991B8A" w:rsidRDefault="00161387" w:rsidP="00A0360F"/>
    <w:p w:rsidR="00A76C93" w:rsidRPr="00991B8A" w:rsidRDefault="00A76C93" w:rsidP="00A0360F"/>
    <w:p w:rsidR="002A5D7C" w:rsidRPr="00991B8A" w:rsidRDefault="002A5D7C" w:rsidP="00A0360F">
      <w:pPr>
        <w:pStyle w:val="Nzov"/>
        <w:numPr>
          <w:ilvl w:val="0"/>
          <w:numId w:val="12"/>
        </w:numPr>
        <w:tabs>
          <w:tab w:val="left" w:pos="1800"/>
        </w:tabs>
        <w:jc w:val="both"/>
        <w:rPr>
          <w:b/>
          <w:sz w:val="24"/>
          <w:szCs w:val="24"/>
        </w:rPr>
      </w:pPr>
      <w:r w:rsidRPr="00991B8A">
        <w:rPr>
          <w:b/>
          <w:sz w:val="24"/>
          <w:szCs w:val="24"/>
        </w:rPr>
        <w:t xml:space="preserve">Zvýšenie príjmov Sociálnej poisťovne a zdravotných poisťovní z dôvodu zvýšenia odvodov </w:t>
      </w:r>
    </w:p>
    <w:p w:rsidR="002A5D7C" w:rsidRPr="00991B8A" w:rsidRDefault="002A5D7C" w:rsidP="00A0360F">
      <w:pPr>
        <w:pStyle w:val="Nzov"/>
        <w:tabs>
          <w:tab w:val="left" w:pos="1800"/>
        </w:tabs>
        <w:ind w:left="360"/>
        <w:jc w:val="both"/>
        <w:rPr>
          <w:sz w:val="24"/>
          <w:szCs w:val="24"/>
        </w:rPr>
      </w:pPr>
    </w:p>
    <w:p w:rsidR="002A5D7C" w:rsidRPr="00991B8A" w:rsidRDefault="002A5D7C" w:rsidP="003F53DB">
      <w:pPr>
        <w:pStyle w:val="Nzov"/>
        <w:spacing w:before="120"/>
        <w:jc w:val="both"/>
        <w:rPr>
          <w:sz w:val="24"/>
          <w:szCs w:val="24"/>
          <w:u w:val="single"/>
        </w:rPr>
      </w:pPr>
      <w:r w:rsidRPr="00991B8A">
        <w:rPr>
          <w:sz w:val="24"/>
          <w:szCs w:val="24"/>
        </w:rPr>
        <w:t>C.1</w:t>
      </w:r>
      <w:r w:rsidRPr="00991B8A">
        <w:rPr>
          <w:sz w:val="24"/>
          <w:szCs w:val="24"/>
        </w:rPr>
        <w:tab/>
      </w:r>
      <w:r w:rsidRPr="00991B8A">
        <w:rPr>
          <w:sz w:val="24"/>
          <w:szCs w:val="24"/>
          <w:u w:val="single"/>
        </w:rPr>
        <w:t xml:space="preserve">Príjmy Sociálnej poisťovne </w:t>
      </w:r>
    </w:p>
    <w:p w:rsidR="00A0360F" w:rsidRPr="00991B8A" w:rsidRDefault="00A0360F" w:rsidP="00A0360F">
      <w:pPr>
        <w:pStyle w:val="Nzov"/>
        <w:ind w:firstLine="709"/>
        <w:jc w:val="both"/>
        <w:rPr>
          <w:sz w:val="24"/>
          <w:szCs w:val="24"/>
        </w:rPr>
      </w:pPr>
    </w:p>
    <w:p w:rsidR="002A5D7C" w:rsidRPr="00991B8A" w:rsidRDefault="002A5D7C" w:rsidP="00A0360F">
      <w:pPr>
        <w:pStyle w:val="Nzov"/>
        <w:ind w:firstLine="709"/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Celkové </w:t>
      </w:r>
      <w:r w:rsidR="00F97EEE" w:rsidRPr="00991B8A">
        <w:rPr>
          <w:sz w:val="24"/>
          <w:szCs w:val="24"/>
        </w:rPr>
        <w:t xml:space="preserve">kvantifikované </w:t>
      </w:r>
      <w:r w:rsidRPr="00991B8A">
        <w:rPr>
          <w:sz w:val="24"/>
          <w:szCs w:val="24"/>
        </w:rPr>
        <w:t xml:space="preserve">zvýšenie príjmu </w:t>
      </w:r>
      <w:r w:rsidR="00F97EEE" w:rsidRPr="00991B8A">
        <w:rPr>
          <w:sz w:val="24"/>
          <w:szCs w:val="24"/>
        </w:rPr>
        <w:t xml:space="preserve">Sociálnej poisťovne </w:t>
      </w:r>
      <w:r w:rsidRPr="00991B8A">
        <w:rPr>
          <w:sz w:val="24"/>
          <w:szCs w:val="24"/>
        </w:rPr>
        <w:t xml:space="preserve">je súčtom zvýšenia príjmu z odvodov na sociálne poistenie, ktoré plynú </w:t>
      </w:r>
      <w:r w:rsidR="005B108E" w:rsidRPr="00991B8A">
        <w:rPr>
          <w:sz w:val="24"/>
          <w:szCs w:val="24"/>
        </w:rPr>
        <w:t>zo zvýšenia doplatkov, vyplácaných zamestnancom:</w:t>
      </w:r>
    </w:p>
    <w:p w:rsidR="002A5D7C" w:rsidRPr="00991B8A" w:rsidRDefault="002E14CD" w:rsidP="00A0360F">
      <w:pPr>
        <w:pStyle w:val="Nzov"/>
        <w:numPr>
          <w:ilvl w:val="0"/>
          <w:numId w:val="11"/>
        </w:numPr>
        <w:tabs>
          <w:tab w:val="clear" w:pos="2160"/>
        </w:tabs>
        <w:ind w:left="714" w:hanging="357"/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zamestnávateľmi v </w:t>
      </w:r>
      <w:r w:rsidR="002A5D7C" w:rsidRPr="00991B8A">
        <w:rPr>
          <w:sz w:val="24"/>
          <w:szCs w:val="24"/>
        </w:rPr>
        <w:t xml:space="preserve">podnikateľskej </w:t>
      </w:r>
      <w:r w:rsidR="002861AD" w:rsidRPr="00991B8A">
        <w:rPr>
          <w:sz w:val="24"/>
          <w:szCs w:val="24"/>
        </w:rPr>
        <w:t xml:space="preserve">sfére </w:t>
      </w:r>
      <w:r w:rsidR="005B108E" w:rsidRPr="00991B8A">
        <w:rPr>
          <w:sz w:val="24"/>
          <w:szCs w:val="24"/>
        </w:rPr>
        <w:t xml:space="preserve">vo výške </w:t>
      </w:r>
      <w:r w:rsidR="002A5D7C" w:rsidRPr="00991B8A">
        <w:rPr>
          <w:b/>
          <w:sz w:val="24"/>
          <w:szCs w:val="24"/>
        </w:rPr>
        <w:t>34,6</w:t>
      </w:r>
      <w:r w:rsidR="008701E3" w:rsidRPr="00991B8A">
        <w:rPr>
          <w:b/>
          <w:sz w:val="24"/>
          <w:szCs w:val="24"/>
        </w:rPr>
        <w:t> </w:t>
      </w:r>
      <w:r w:rsidR="002A5D7C" w:rsidRPr="00991B8A">
        <w:rPr>
          <w:b/>
          <w:sz w:val="24"/>
          <w:szCs w:val="24"/>
        </w:rPr>
        <w:t xml:space="preserve">% objemu doplatkov </w:t>
      </w:r>
      <w:r w:rsidR="00572940" w:rsidRPr="00991B8A">
        <w:rPr>
          <w:sz w:val="24"/>
          <w:szCs w:val="24"/>
        </w:rPr>
        <w:t>(zamestnávateľ 25,2 %, zamestnanec 9,4 %)</w:t>
      </w:r>
      <w:r w:rsidR="00572940" w:rsidRPr="00991B8A">
        <w:rPr>
          <w:b/>
          <w:sz w:val="24"/>
          <w:szCs w:val="24"/>
        </w:rPr>
        <w:t xml:space="preserve"> </w:t>
      </w:r>
      <w:r w:rsidR="002A5D7C" w:rsidRPr="00991B8A">
        <w:rPr>
          <w:sz w:val="24"/>
          <w:szCs w:val="24"/>
        </w:rPr>
        <w:t>a</w:t>
      </w:r>
    </w:p>
    <w:p w:rsidR="002A5D7C" w:rsidRPr="00991B8A" w:rsidRDefault="002A5D7C" w:rsidP="00A0360F">
      <w:pPr>
        <w:pStyle w:val="Nzov"/>
        <w:numPr>
          <w:ilvl w:val="0"/>
          <w:numId w:val="11"/>
        </w:numPr>
        <w:tabs>
          <w:tab w:val="clear" w:pos="2160"/>
        </w:tabs>
        <w:ind w:left="714" w:hanging="357"/>
        <w:jc w:val="both"/>
        <w:rPr>
          <w:sz w:val="24"/>
          <w:szCs w:val="24"/>
        </w:rPr>
      </w:pPr>
      <w:r w:rsidRPr="00991B8A">
        <w:rPr>
          <w:sz w:val="24"/>
          <w:szCs w:val="24"/>
        </w:rPr>
        <w:t>pri výkone práce vo verejnom záujme</w:t>
      </w:r>
      <w:r w:rsidR="002E14CD" w:rsidRPr="00991B8A">
        <w:rPr>
          <w:sz w:val="24"/>
          <w:szCs w:val="24"/>
        </w:rPr>
        <w:t xml:space="preserve">, resp. štátnym zamestnancom </w:t>
      </w:r>
      <w:r w:rsidR="005B108E" w:rsidRPr="00991B8A">
        <w:rPr>
          <w:sz w:val="24"/>
          <w:szCs w:val="24"/>
        </w:rPr>
        <w:t xml:space="preserve">vo výške </w:t>
      </w:r>
      <w:r w:rsidRPr="00991B8A">
        <w:rPr>
          <w:b/>
          <w:sz w:val="24"/>
          <w:szCs w:val="24"/>
        </w:rPr>
        <w:t>34,35 % objemu doplatkov</w:t>
      </w:r>
      <w:r w:rsidR="00572940" w:rsidRPr="00991B8A">
        <w:rPr>
          <w:b/>
          <w:sz w:val="24"/>
          <w:szCs w:val="24"/>
        </w:rPr>
        <w:t xml:space="preserve"> </w:t>
      </w:r>
      <w:r w:rsidR="00572940" w:rsidRPr="00991B8A">
        <w:rPr>
          <w:sz w:val="24"/>
          <w:szCs w:val="24"/>
        </w:rPr>
        <w:t>(zamestnávateľ 24,95 %, zamestnanec 9,4 %)</w:t>
      </w:r>
      <w:r w:rsidRPr="00991B8A">
        <w:rPr>
          <w:sz w:val="24"/>
          <w:szCs w:val="24"/>
        </w:rPr>
        <w:t>.</w:t>
      </w:r>
    </w:p>
    <w:p w:rsidR="002A5D7C" w:rsidRPr="00991B8A" w:rsidRDefault="002A5D7C" w:rsidP="00A0360F">
      <w:pPr>
        <w:pStyle w:val="Nzov"/>
        <w:jc w:val="both"/>
        <w:rPr>
          <w:sz w:val="24"/>
          <w:szCs w:val="24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652"/>
        <w:gridCol w:w="1624"/>
        <w:gridCol w:w="1610"/>
        <w:tblGridChange w:id="9">
          <w:tblGrid>
            <w:gridCol w:w="4503"/>
            <w:gridCol w:w="1652"/>
            <w:gridCol w:w="1624"/>
            <w:gridCol w:w="1610"/>
          </w:tblGrid>
        </w:tblGridChange>
      </w:tblGrid>
      <w:tr w:rsidR="00991B8A" w:rsidRPr="00991B8A" w:rsidTr="00991B8A">
        <w:tc>
          <w:tcPr>
            <w:tcW w:w="4503" w:type="dxa"/>
            <w:vAlign w:val="center"/>
          </w:tcPr>
          <w:p w:rsidR="00965D95" w:rsidRPr="00991B8A" w:rsidRDefault="00965D95" w:rsidP="00425438">
            <w:pPr>
              <w:pStyle w:val="Nzov"/>
              <w:tabs>
                <w:tab w:val="left" w:pos="1800"/>
              </w:tabs>
              <w:jc w:val="left"/>
              <w:rPr>
                <w:b/>
                <w:bCs/>
                <w:sz w:val="24"/>
                <w:szCs w:val="24"/>
              </w:rPr>
            </w:pPr>
            <w:r w:rsidRPr="00991B8A">
              <w:rPr>
                <w:b/>
                <w:bCs/>
                <w:sz w:val="24"/>
                <w:szCs w:val="24"/>
              </w:rPr>
              <w:t>Ukazovateľ</w:t>
            </w:r>
          </w:p>
        </w:tc>
        <w:tc>
          <w:tcPr>
            <w:tcW w:w="1652" w:type="dxa"/>
            <w:vAlign w:val="center"/>
          </w:tcPr>
          <w:p w:rsidR="00965D95" w:rsidRPr="00991B8A" w:rsidRDefault="00E80E64" w:rsidP="00991B8A">
            <w:pPr>
              <w:pStyle w:val="Nzov"/>
              <w:tabs>
                <w:tab w:val="left" w:pos="1800"/>
              </w:tabs>
              <w:rPr>
                <w:b/>
                <w:bCs/>
                <w:sz w:val="24"/>
                <w:szCs w:val="24"/>
              </w:rPr>
            </w:pPr>
            <w:r w:rsidRPr="00991B8A">
              <w:rPr>
                <w:sz w:val="24"/>
                <w:szCs w:val="22"/>
              </w:rPr>
              <w:t>2019</w:t>
            </w:r>
          </w:p>
        </w:tc>
        <w:tc>
          <w:tcPr>
            <w:tcW w:w="1624" w:type="dxa"/>
            <w:vAlign w:val="center"/>
          </w:tcPr>
          <w:p w:rsidR="00965D95" w:rsidRPr="00991B8A" w:rsidRDefault="00E80E64" w:rsidP="00991B8A">
            <w:pPr>
              <w:pStyle w:val="Nzov"/>
              <w:tabs>
                <w:tab w:val="left" w:pos="1800"/>
              </w:tabs>
              <w:rPr>
                <w:b/>
                <w:bCs/>
                <w:sz w:val="24"/>
                <w:szCs w:val="24"/>
              </w:rPr>
            </w:pPr>
            <w:r w:rsidRPr="00991B8A">
              <w:rPr>
                <w:sz w:val="24"/>
                <w:szCs w:val="22"/>
              </w:rPr>
              <w:t>2020</w:t>
            </w:r>
          </w:p>
        </w:tc>
        <w:tc>
          <w:tcPr>
            <w:tcW w:w="1610" w:type="dxa"/>
            <w:vAlign w:val="center"/>
          </w:tcPr>
          <w:p w:rsidR="00965D95" w:rsidRPr="00991B8A" w:rsidRDefault="00E80E64" w:rsidP="00991B8A">
            <w:pPr>
              <w:pStyle w:val="Nzov"/>
              <w:tabs>
                <w:tab w:val="left" w:pos="1800"/>
              </w:tabs>
              <w:rPr>
                <w:b/>
                <w:bCs/>
                <w:sz w:val="24"/>
                <w:szCs w:val="24"/>
              </w:rPr>
            </w:pPr>
            <w:r w:rsidRPr="00991B8A">
              <w:rPr>
                <w:sz w:val="24"/>
                <w:szCs w:val="22"/>
              </w:rPr>
              <w:t>2021</w:t>
            </w:r>
          </w:p>
        </w:tc>
      </w:tr>
      <w:tr w:rsidR="00991B8A" w:rsidRPr="00991B8A" w:rsidTr="00991B8A">
        <w:tc>
          <w:tcPr>
            <w:tcW w:w="4503" w:type="dxa"/>
            <w:vAlign w:val="center"/>
          </w:tcPr>
          <w:p w:rsidR="00113B21" w:rsidRPr="00991B8A" w:rsidRDefault="00113B21" w:rsidP="00425438">
            <w:pPr>
              <w:pStyle w:val="Nzov"/>
              <w:tabs>
                <w:tab w:val="left" w:pos="1800"/>
              </w:tabs>
              <w:jc w:val="left"/>
              <w:rPr>
                <w:i/>
                <w:iCs/>
                <w:sz w:val="24"/>
                <w:szCs w:val="24"/>
              </w:rPr>
            </w:pPr>
            <w:r w:rsidRPr="00991B8A">
              <w:rPr>
                <w:i/>
                <w:iCs/>
                <w:sz w:val="24"/>
                <w:szCs w:val="24"/>
              </w:rPr>
              <w:t>Nárast doplatkov v podnikateľskej sfére v eurách ročne*)</w:t>
            </w:r>
          </w:p>
        </w:tc>
        <w:tc>
          <w:tcPr>
            <w:tcW w:w="1652" w:type="dxa"/>
            <w:vAlign w:val="center"/>
          </w:tcPr>
          <w:p w:rsidR="00113B21" w:rsidRPr="00991B8A" w:rsidRDefault="00113B21" w:rsidP="00991B8A">
            <w:pPr>
              <w:jc w:val="center"/>
              <w:rPr>
                <w:i/>
                <w:iCs/>
              </w:rPr>
            </w:pPr>
            <w:r w:rsidRPr="00991B8A">
              <w:rPr>
                <w:i/>
              </w:rPr>
              <w:t>39 507 636,24</w:t>
            </w:r>
          </w:p>
        </w:tc>
        <w:tc>
          <w:tcPr>
            <w:tcW w:w="1624" w:type="dxa"/>
            <w:vAlign w:val="center"/>
          </w:tcPr>
          <w:p w:rsidR="00113B21" w:rsidRPr="00991B8A" w:rsidRDefault="00113B21" w:rsidP="00991B8A">
            <w:pPr>
              <w:jc w:val="center"/>
              <w:rPr>
                <w:i/>
                <w:iCs/>
              </w:rPr>
            </w:pPr>
            <w:r w:rsidRPr="00991B8A">
              <w:rPr>
                <w:i/>
              </w:rPr>
              <w:t>39 507 636,24</w:t>
            </w:r>
          </w:p>
        </w:tc>
        <w:tc>
          <w:tcPr>
            <w:tcW w:w="1610" w:type="dxa"/>
            <w:vAlign w:val="center"/>
          </w:tcPr>
          <w:p w:rsidR="00113B21" w:rsidRPr="00991B8A" w:rsidRDefault="00113B21" w:rsidP="00991B8A">
            <w:pPr>
              <w:jc w:val="center"/>
              <w:rPr>
                <w:i/>
                <w:iCs/>
              </w:rPr>
            </w:pPr>
            <w:r w:rsidRPr="00991B8A">
              <w:rPr>
                <w:i/>
              </w:rPr>
              <w:t>39 507 636,24</w:t>
            </w:r>
          </w:p>
        </w:tc>
      </w:tr>
      <w:tr w:rsidR="00991B8A" w:rsidRPr="00991B8A" w:rsidTr="00991B8A">
        <w:tc>
          <w:tcPr>
            <w:tcW w:w="4503" w:type="dxa"/>
            <w:vAlign w:val="center"/>
          </w:tcPr>
          <w:p w:rsidR="00113B21" w:rsidRPr="00991B8A" w:rsidRDefault="00113B21" w:rsidP="00425438">
            <w:pPr>
              <w:pStyle w:val="Nzov"/>
              <w:tabs>
                <w:tab w:val="left" w:pos="1800"/>
              </w:tabs>
              <w:jc w:val="left"/>
              <w:rPr>
                <w:b/>
                <w:bCs/>
                <w:iCs/>
                <w:sz w:val="24"/>
                <w:szCs w:val="24"/>
              </w:rPr>
            </w:pPr>
            <w:r w:rsidRPr="00991B8A">
              <w:rPr>
                <w:b/>
                <w:bCs/>
                <w:iCs/>
                <w:sz w:val="24"/>
                <w:szCs w:val="24"/>
              </w:rPr>
              <w:t xml:space="preserve">Zvýšenie odvodov do SP v eurách ročne </w:t>
            </w:r>
          </w:p>
        </w:tc>
        <w:tc>
          <w:tcPr>
            <w:tcW w:w="1652" w:type="dxa"/>
            <w:vAlign w:val="center"/>
          </w:tcPr>
          <w:p w:rsidR="00113B21" w:rsidRPr="00991B8A" w:rsidRDefault="00113B21" w:rsidP="00991B8A">
            <w:pPr>
              <w:jc w:val="center"/>
              <w:rPr>
                <w:b/>
                <w:iCs/>
              </w:rPr>
            </w:pPr>
            <w:r w:rsidRPr="00991B8A">
              <w:rPr>
                <w:b/>
              </w:rPr>
              <w:t>13 669 642,14</w:t>
            </w:r>
          </w:p>
        </w:tc>
        <w:tc>
          <w:tcPr>
            <w:tcW w:w="1624" w:type="dxa"/>
            <w:vAlign w:val="center"/>
          </w:tcPr>
          <w:p w:rsidR="00113B21" w:rsidRPr="00991B8A" w:rsidRDefault="00113B21" w:rsidP="00991B8A">
            <w:pPr>
              <w:jc w:val="center"/>
              <w:rPr>
                <w:b/>
                <w:iCs/>
              </w:rPr>
            </w:pPr>
            <w:r w:rsidRPr="00991B8A">
              <w:rPr>
                <w:b/>
              </w:rPr>
              <w:t>13 669 642,14</w:t>
            </w:r>
          </w:p>
        </w:tc>
        <w:tc>
          <w:tcPr>
            <w:tcW w:w="1610" w:type="dxa"/>
            <w:vAlign w:val="center"/>
          </w:tcPr>
          <w:p w:rsidR="00113B21" w:rsidRPr="00991B8A" w:rsidRDefault="00113B21" w:rsidP="00991B8A">
            <w:pPr>
              <w:jc w:val="center"/>
              <w:rPr>
                <w:b/>
                <w:iCs/>
              </w:rPr>
            </w:pPr>
            <w:r w:rsidRPr="00991B8A">
              <w:rPr>
                <w:b/>
              </w:rPr>
              <w:t>13 669 642,14</w:t>
            </w:r>
          </w:p>
        </w:tc>
      </w:tr>
      <w:tr w:rsidR="00991B8A" w:rsidRPr="00991B8A" w:rsidTr="00991B8A">
        <w:tc>
          <w:tcPr>
            <w:tcW w:w="4503" w:type="dxa"/>
            <w:vAlign w:val="center"/>
          </w:tcPr>
          <w:p w:rsidR="00113B21" w:rsidRPr="00991B8A" w:rsidRDefault="00113B21" w:rsidP="00425438">
            <w:pPr>
              <w:pStyle w:val="Nzov"/>
              <w:tabs>
                <w:tab w:val="left" w:pos="1800"/>
              </w:tabs>
              <w:jc w:val="left"/>
              <w:rPr>
                <w:i/>
                <w:iCs/>
                <w:sz w:val="24"/>
                <w:szCs w:val="24"/>
              </w:rPr>
            </w:pPr>
            <w:r w:rsidRPr="00991B8A">
              <w:rPr>
                <w:i/>
                <w:iCs/>
                <w:sz w:val="24"/>
                <w:szCs w:val="24"/>
              </w:rPr>
              <w:t>Nárast doplatkov v nepodnikateľskej sfére v eurách ročne</w:t>
            </w:r>
          </w:p>
        </w:tc>
        <w:tc>
          <w:tcPr>
            <w:tcW w:w="1652" w:type="dxa"/>
            <w:vAlign w:val="center"/>
          </w:tcPr>
          <w:p w:rsidR="00113B21" w:rsidRPr="00991B8A" w:rsidRDefault="00113B21" w:rsidP="00991B8A">
            <w:pPr>
              <w:jc w:val="center"/>
              <w:rPr>
                <w:i/>
                <w:iCs/>
              </w:rPr>
            </w:pPr>
            <w:r w:rsidRPr="00991B8A">
              <w:rPr>
                <w:i/>
              </w:rPr>
              <w:t>10 931 030,52</w:t>
            </w:r>
          </w:p>
        </w:tc>
        <w:tc>
          <w:tcPr>
            <w:tcW w:w="1624" w:type="dxa"/>
            <w:vAlign w:val="center"/>
          </w:tcPr>
          <w:p w:rsidR="00113B21" w:rsidRPr="00991B8A" w:rsidRDefault="00113B21" w:rsidP="00991B8A">
            <w:pPr>
              <w:jc w:val="center"/>
              <w:rPr>
                <w:i/>
                <w:iCs/>
              </w:rPr>
            </w:pPr>
            <w:r w:rsidRPr="00991B8A">
              <w:rPr>
                <w:i/>
              </w:rPr>
              <w:t>10 657 737,12</w:t>
            </w:r>
          </w:p>
        </w:tc>
        <w:tc>
          <w:tcPr>
            <w:tcW w:w="1610" w:type="dxa"/>
            <w:vAlign w:val="center"/>
          </w:tcPr>
          <w:p w:rsidR="00113B21" w:rsidRPr="00991B8A" w:rsidRDefault="00113B21" w:rsidP="00991B8A">
            <w:pPr>
              <w:jc w:val="center"/>
              <w:rPr>
                <w:i/>
                <w:iCs/>
              </w:rPr>
            </w:pPr>
            <w:r w:rsidRPr="00991B8A">
              <w:rPr>
                <w:i/>
              </w:rPr>
              <w:t>10 384 480,80</w:t>
            </w:r>
          </w:p>
        </w:tc>
      </w:tr>
      <w:tr w:rsidR="00991B8A" w:rsidRPr="00991B8A" w:rsidTr="00991B8A">
        <w:tc>
          <w:tcPr>
            <w:tcW w:w="4503" w:type="dxa"/>
            <w:vAlign w:val="center"/>
          </w:tcPr>
          <w:p w:rsidR="00113B21" w:rsidRPr="00991B8A" w:rsidRDefault="00113B21" w:rsidP="00425438">
            <w:pPr>
              <w:pStyle w:val="Nzov"/>
              <w:tabs>
                <w:tab w:val="left" w:pos="1800"/>
              </w:tabs>
              <w:jc w:val="left"/>
              <w:rPr>
                <w:b/>
                <w:bCs/>
                <w:iCs/>
                <w:sz w:val="24"/>
                <w:szCs w:val="24"/>
              </w:rPr>
            </w:pPr>
            <w:r w:rsidRPr="00991B8A">
              <w:rPr>
                <w:b/>
                <w:bCs/>
                <w:iCs/>
                <w:sz w:val="24"/>
                <w:szCs w:val="24"/>
              </w:rPr>
              <w:t xml:space="preserve">Zvýšenie odvodov do SP v eurách ročne </w:t>
            </w:r>
          </w:p>
        </w:tc>
        <w:tc>
          <w:tcPr>
            <w:tcW w:w="1652" w:type="dxa"/>
            <w:vAlign w:val="center"/>
          </w:tcPr>
          <w:p w:rsidR="00113B21" w:rsidRPr="00991B8A" w:rsidRDefault="00113B21" w:rsidP="00991B8A">
            <w:pPr>
              <w:jc w:val="center"/>
              <w:rPr>
                <w:b/>
                <w:iCs/>
              </w:rPr>
            </w:pPr>
            <w:r w:rsidRPr="00991B8A">
              <w:rPr>
                <w:b/>
              </w:rPr>
              <w:t>3 754 808,99</w:t>
            </w:r>
          </w:p>
        </w:tc>
        <w:tc>
          <w:tcPr>
            <w:tcW w:w="1624" w:type="dxa"/>
            <w:vAlign w:val="center"/>
          </w:tcPr>
          <w:p w:rsidR="00113B21" w:rsidRPr="00991B8A" w:rsidRDefault="00113B21" w:rsidP="00991B8A">
            <w:pPr>
              <w:jc w:val="center"/>
              <w:rPr>
                <w:b/>
                <w:iCs/>
              </w:rPr>
            </w:pPr>
            <w:r w:rsidRPr="00991B8A">
              <w:rPr>
                <w:b/>
              </w:rPr>
              <w:t>3 660 938,77</w:t>
            </w:r>
          </w:p>
        </w:tc>
        <w:tc>
          <w:tcPr>
            <w:tcW w:w="1610" w:type="dxa"/>
            <w:vAlign w:val="center"/>
          </w:tcPr>
          <w:p w:rsidR="00113B21" w:rsidRPr="00991B8A" w:rsidRDefault="00113B21" w:rsidP="00991B8A">
            <w:pPr>
              <w:jc w:val="center"/>
              <w:rPr>
                <w:b/>
                <w:iCs/>
              </w:rPr>
            </w:pPr>
            <w:r w:rsidRPr="00991B8A">
              <w:rPr>
                <w:b/>
              </w:rPr>
              <w:t>3 567 068,54</w:t>
            </w:r>
          </w:p>
        </w:tc>
      </w:tr>
      <w:tr w:rsidR="00762EA8" w:rsidRPr="00991B8A" w:rsidTr="00762EA8">
        <w:tc>
          <w:tcPr>
            <w:tcW w:w="4503" w:type="dxa"/>
            <w:shd w:val="clear" w:color="auto" w:fill="FFFFCC"/>
            <w:vAlign w:val="center"/>
          </w:tcPr>
          <w:p w:rsidR="00113B21" w:rsidRPr="00991B8A" w:rsidRDefault="00113B21" w:rsidP="00425438">
            <w:pPr>
              <w:pStyle w:val="Nzov"/>
              <w:tabs>
                <w:tab w:val="left" w:pos="1800"/>
              </w:tabs>
              <w:jc w:val="left"/>
              <w:rPr>
                <w:b/>
                <w:sz w:val="24"/>
                <w:szCs w:val="24"/>
              </w:rPr>
            </w:pPr>
            <w:r w:rsidRPr="00991B8A">
              <w:rPr>
                <w:b/>
                <w:sz w:val="24"/>
                <w:szCs w:val="24"/>
              </w:rPr>
              <w:t>Zvýšenie príjmov Sociálnej poisťovne spolu v eurách ročne</w:t>
            </w:r>
          </w:p>
        </w:tc>
        <w:tc>
          <w:tcPr>
            <w:tcW w:w="1652" w:type="dxa"/>
            <w:shd w:val="clear" w:color="auto" w:fill="FFFFCC"/>
            <w:vAlign w:val="center"/>
          </w:tcPr>
          <w:p w:rsidR="00113B21" w:rsidRPr="00991B8A" w:rsidRDefault="00113B21" w:rsidP="00991B8A">
            <w:pPr>
              <w:jc w:val="center"/>
              <w:rPr>
                <w:b/>
              </w:rPr>
            </w:pPr>
            <w:r w:rsidRPr="00991B8A">
              <w:rPr>
                <w:b/>
              </w:rPr>
              <w:t>17 424 451,13</w:t>
            </w:r>
          </w:p>
        </w:tc>
        <w:tc>
          <w:tcPr>
            <w:tcW w:w="1624" w:type="dxa"/>
            <w:shd w:val="clear" w:color="auto" w:fill="FFFFCC"/>
            <w:vAlign w:val="center"/>
          </w:tcPr>
          <w:p w:rsidR="00113B21" w:rsidRPr="00991B8A" w:rsidRDefault="00113B21" w:rsidP="00991B8A">
            <w:pPr>
              <w:jc w:val="center"/>
              <w:rPr>
                <w:b/>
              </w:rPr>
            </w:pPr>
            <w:r w:rsidRPr="00991B8A">
              <w:rPr>
                <w:b/>
              </w:rPr>
              <w:t>17 330 580,91</w:t>
            </w:r>
          </w:p>
        </w:tc>
        <w:tc>
          <w:tcPr>
            <w:tcW w:w="1610" w:type="dxa"/>
            <w:shd w:val="clear" w:color="auto" w:fill="FFFFCC"/>
            <w:vAlign w:val="center"/>
          </w:tcPr>
          <w:p w:rsidR="00113B21" w:rsidRPr="00991B8A" w:rsidRDefault="00113B21" w:rsidP="00991B8A">
            <w:pPr>
              <w:jc w:val="center"/>
              <w:rPr>
                <w:b/>
              </w:rPr>
            </w:pPr>
            <w:r w:rsidRPr="00991B8A">
              <w:rPr>
                <w:b/>
              </w:rPr>
              <w:t>17 236 710,68</w:t>
            </w:r>
          </w:p>
        </w:tc>
      </w:tr>
    </w:tbl>
    <w:p w:rsidR="00995E7F" w:rsidRPr="00991B8A" w:rsidRDefault="00995E7F" w:rsidP="008701E3">
      <w:pPr>
        <w:pStyle w:val="Nzov"/>
        <w:spacing w:before="120"/>
        <w:jc w:val="both"/>
        <w:rPr>
          <w:sz w:val="24"/>
          <w:szCs w:val="24"/>
        </w:rPr>
      </w:pPr>
      <w:r w:rsidRPr="00991B8A">
        <w:rPr>
          <w:i/>
          <w:iCs/>
          <w:sz w:val="24"/>
          <w:szCs w:val="24"/>
        </w:rPr>
        <w:t xml:space="preserve">*) Výpočet zvýšenia sumy doplatkov v tzv. podnikateľskej sfére na účely odvodov do Sociálnej poisťovne a zdravotných poisťovní je v tabuľkovej prílohe doložky vybraných vplyvov </w:t>
      </w:r>
      <w:r w:rsidR="0028407A" w:rsidRPr="00991B8A">
        <w:rPr>
          <w:i/>
          <w:iCs/>
          <w:sz w:val="24"/>
          <w:szCs w:val="24"/>
        </w:rPr>
        <w:t xml:space="preserve">v časti </w:t>
      </w:r>
      <w:r w:rsidRPr="00991B8A">
        <w:rPr>
          <w:i/>
          <w:iCs/>
          <w:sz w:val="24"/>
          <w:szCs w:val="24"/>
        </w:rPr>
        <w:t>„Vplyvy na podnikateľské prostredie“.</w:t>
      </w:r>
    </w:p>
    <w:p w:rsidR="00995E7F" w:rsidRPr="00991B8A" w:rsidRDefault="00995E7F" w:rsidP="00A0360F">
      <w:pPr>
        <w:pStyle w:val="Nzov"/>
        <w:ind w:firstLine="708"/>
        <w:jc w:val="both"/>
        <w:rPr>
          <w:sz w:val="24"/>
          <w:szCs w:val="24"/>
        </w:rPr>
      </w:pPr>
    </w:p>
    <w:p w:rsidR="00E41CE2" w:rsidRPr="00991B8A" w:rsidRDefault="00E41CE2" w:rsidP="00A0360F">
      <w:pPr>
        <w:pStyle w:val="Nzov"/>
        <w:ind w:firstLine="708"/>
        <w:jc w:val="both"/>
        <w:rPr>
          <w:sz w:val="24"/>
          <w:szCs w:val="24"/>
        </w:rPr>
      </w:pPr>
      <w:r w:rsidRPr="00991B8A">
        <w:rPr>
          <w:sz w:val="24"/>
          <w:szCs w:val="24"/>
        </w:rPr>
        <w:lastRenderedPageBreak/>
        <w:t xml:space="preserve">Vo výpočte vplyvov na zvýšenie príjmov Sociálnej poisťovne sa </w:t>
      </w:r>
      <w:r w:rsidR="002E14CD" w:rsidRPr="00991B8A">
        <w:rPr>
          <w:sz w:val="24"/>
          <w:szCs w:val="24"/>
        </w:rPr>
        <w:t xml:space="preserve">abstrahovalo od </w:t>
      </w:r>
      <w:r w:rsidRPr="00991B8A">
        <w:rPr>
          <w:sz w:val="24"/>
          <w:szCs w:val="24"/>
        </w:rPr>
        <w:t>skutočnos</w:t>
      </w:r>
      <w:r w:rsidR="002E14CD" w:rsidRPr="00991B8A">
        <w:rPr>
          <w:sz w:val="24"/>
          <w:szCs w:val="24"/>
        </w:rPr>
        <w:t>ti</w:t>
      </w:r>
      <w:r w:rsidRPr="00991B8A">
        <w:rPr>
          <w:sz w:val="24"/>
          <w:szCs w:val="24"/>
        </w:rPr>
        <w:t xml:space="preserve">, že časť poistencov s príjmom na úrovni navrhovanej sumy minimálnej mzdy </w:t>
      </w:r>
      <w:r w:rsidR="002E14CD" w:rsidRPr="00991B8A">
        <w:rPr>
          <w:sz w:val="24"/>
          <w:szCs w:val="24"/>
        </w:rPr>
        <w:t xml:space="preserve">môžu tvoriť </w:t>
      </w:r>
      <w:r w:rsidRPr="00991B8A">
        <w:rPr>
          <w:sz w:val="24"/>
          <w:szCs w:val="24"/>
        </w:rPr>
        <w:t xml:space="preserve">sporitelia starobného dôchodkového sporenia (II. pilier). Pozitívny finančný vplyv na Sociálnu poisťovňu </w:t>
      </w:r>
      <w:r w:rsidRPr="00991B8A">
        <w:rPr>
          <w:b/>
          <w:sz w:val="24"/>
          <w:szCs w:val="24"/>
        </w:rPr>
        <w:t>bude v skutočnosti znížený</w:t>
      </w:r>
      <w:r w:rsidRPr="00991B8A">
        <w:rPr>
          <w:sz w:val="24"/>
          <w:szCs w:val="24"/>
        </w:rPr>
        <w:t xml:space="preserve"> úmerne výške odvedených príspevkov na starobné dôchodkové sporenie u dotknutých osôb, ktoré sú zároveň sporiteľmi.</w:t>
      </w:r>
      <w:r w:rsidR="00ED0C9B" w:rsidRPr="00991B8A">
        <w:rPr>
          <w:sz w:val="24"/>
          <w:szCs w:val="24"/>
        </w:rPr>
        <w:t xml:space="preserve"> </w:t>
      </w:r>
    </w:p>
    <w:p w:rsidR="00E41CE2" w:rsidRPr="00991B8A" w:rsidRDefault="00E41CE2" w:rsidP="00A0360F">
      <w:pPr>
        <w:pStyle w:val="Nzov"/>
        <w:ind w:firstLine="708"/>
        <w:jc w:val="both"/>
        <w:rPr>
          <w:sz w:val="24"/>
          <w:szCs w:val="24"/>
        </w:rPr>
      </w:pPr>
    </w:p>
    <w:p w:rsidR="002A5D7C" w:rsidRPr="00991B8A" w:rsidRDefault="002A5D7C" w:rsidP="00A0360F">
      <w:pPr>
        <w:pStyle w:val="Nzov"/>
        <w:ind w:firstLine="708"/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Reálne sa pozitívny vplyv očakávaného zvýšenia súm doplatkov do sumy minimálnej mzdy na príjmy Sociálnej poisťovne </w:t>
      </w:r>
      <w:r w:rsidRPr="00991B8A">
        <w:rPr>
          <w:b/>
          <w:bCs/>
          <w:sz w:val="24"/>
          <w:szCs w:val="24"/>
        </w:rPr>
        <w:t>neprejaví</w:t>
      </w:r>
      <w:r w:rsidR="005E5167" w:rsidRPr="00991B8A">
        <w:rPr>
          <w:b/>
          <w:bCs/>
          <w:sz w:val="24"/>
          <w:szCs w:val="24"/>
        </w:rPr>
        <w:t xml:space="preserve"> v plnej miere</w:t>
      </w:r>
      <w:r w:rsidR="00E41CE2" w:rsidRPr="00991B8A">
        <w:rPr>
          <w:b/>
          <w:bCs/>
          <w:sz w:val="24"/>
          <w:szCs w:val="24"/>
        </w:rPr>
        <w:t xml:space="preserve"> aj z dôvodu, že </w:t>
      </w:r>
      <w:r w:rsidRPr="00991B8A">
        <w:rPr>
          <w:b/>
          <w:bCs/>
          <w:sz w:val="24"/>
          <w:szCs w:val="24"/>
        </w:rPr>
        <w:t>v rozpočte Sociálnej poisťovne</w:t>
      </w:r>
      <w:r w:rsidRPr="00991B8A">
        <w:rPr>
          <w:sz w:val="24"/>
          <w:szCs w:val="24"/>
        </w:rPr>
        <w:t xml:space="preserve"> na rok </w:t>
      </w:r>
      <w:r w:rsidR="00E80E64" w:rsidRPr="00991B8A">
        <w:rPr>
          <w:sz w:val="24"/>
          <w:szCs w:val="24"/>
        </w:rPr>
        <w:t>2019</w:t>
      </w:r>
      <w:r w:rsidRPr="00991B8A">
        <w:rPr>
          <w:sz w:val="24"/>
          <w:szCs w:val="24"/>
        </w:rPr>
        <w:t xml:space="preserve"> a v rozpočtovom výhľade na roky </w:t>
      </w:r>
      <w:r w:rsidR="00E80E64" w:rsidRPr="00991B8A">
        <w:rPr>
          <w:sz w:val="24"/>
          <w:szCs w:val="24"/>
        </w:rPr>
        <w:t>2020</w:t>
      </w:r>
      <w:r w:rsidR="00995E7F" w:rsidRPr="00991B8A">
        <w:rPr>
          <w:sz w:val="24"/>
          <w:szCs w:val="24"/>
        </w:rPr>
        <w:t xml:space="preserve"> </w:t>
      </w:r>
      <w:r w:rsidRPr="00991B8A">
        <w:rPr>
          <w:sz w:val="24"/>
          <w:szCs w:val="24"/>
        </w:rPr>
        <w:t xml:space="preserve">a </w:t>
      </w:r>
      <w:r w:rsidR="00E80E64" w:rsidRPr="00991B8A">
        <w:rPr>
          <w:sz w:val="24"/>
          <w:szCs w:val="24"/>
        </w:rPr>
        <w:t>2021</w:t>
      </w:r>
      <w:r w:rsidRPr="00991B8A">
        <w:rPr>
          <w:sz w:val="24"/>
          <w:szCs w:val="24"/>
        </w:rPr>
        <w:t xml:space="preserve">, </w:t>
      </w:r>
      <w:r w:rsidR="00EF049F" w:rsidRPr="00991B8A">
        <w:rPr>
          <w:b/>
          <w:sz w:val="24"/>
          <w:szCs w:val="24"/>
        </w:rPr>
        <w:t xml:space="preserve">je už </w:t>
      </w:r>
      <w:r w:rsidR="00E41CE2" w:rsidRPr="00991B8A">
        <w:rPr>
          <w:b/>
          <w:sz w:val="24"/>
          <w:szCs w:val="24"/>
        </w:rPr>
        <w:t xml:space="preserve">zvýšenie príjmov </w:t>
      </w:r>
      <w:r w:rsidR="00EF049F" w:rsidRPr="00991B8A">
        <w:rPr>
          <w:b/>
          <w:sz w:val="24"/>
          <w:szCs w:val="24"/>
        </w:rPr>
        <w:t xml:space="preserve">čiastočne zohľadnené </w:t>
      </w:r>
      <w:r w:rsidR="00EF049F" w:rsidRPr="00991B8A">
        <w:rPr>
          <w:sz w:val="24"/>
          <w:szCs w:val="24"/>
        </w:rPr>
        <w:t xml:space="preserve">prostredníctvom priemerného vymeriavacieho základu na platenie poistného na rok </w:t>
      </w:r>
      <w:r w:rsidR="00E80E64" w:rsidRPr="00991B8A">
        <w:rPr>
          <w:sz w:val="24"/>
          <w:szCs w:val="24"/>
        </w:rPr>
        <w:t>2018</w:t>
      </w:r>
      <w:r w:rsidRPr="00991B8A">
        <w:rPr>
          <w:sz w:val="24"/>
          <w:szCs w:val="24"/>
        </w:rPr>
        <w:t>, vrátane zvýšenia sumy minimálnej</w:t>
      </w:r>
      <w:r w:rsidR="002739CB" w:rsidRPr="00991B8A">
        <w:rPr>
          <w:sz w:val="24"/>
          <w:szCs w:val="24"/>
        </w:rPr>
        <w:t xml:space="preserve"> mzdy </w:t>
      </w:r>
      <w:r w:rsidRPr="00991B8A">
        <w:rPr>
          <w:sz w:val="24"/>
          <w:szCs w:val="24"/>
        </w:rPr>
        <w:t xml:space="preserve">na úrovni </w:t>
      </w:r>
      <w:r w:rsidR="00E54305" w:rsidRPr="00991B8A">
        <w:rPr>
          <w:sz w:val="24"/>
          <w:szCs w:val="24"/>
        </w:rPr>
        <w:t xml:space="preserve">očakávaného </w:t>
      </w:r>
      <w:r w:rsidRPr="00991B8A">
        <w:rPr>
          <w:sz w:val="24"/>
          <w:szCs w:val="24"/>
        </w:rPr>
        <w:t>rastu priemernej mzdy za hospodárstvo Slovenskej republiky.</w:t>
      </w:r>
    </w:p>
    <w:p w:rsidR="002A5D7C" w:rsidRPr="00991B8A" w:rsidRDefault="002A5D7C" w:rsidP="00A0360F">
      <w:pPr>
        <w:pStyle w:val="Nzov"/>
        <w:jc w:val="both"/>
        <w:rPr>
          <w:sz w:val="24"/>
          <w:szCs w:val="24"/>
        </w:rPr>
      </w:pPr>
    </w:p>
    <w:p w:rsidR="002A5D7C" w:rsidRPr="00991B8A" w:rsidRDefault="002A5D7C" w:rsidP="003F53DB">
      <w:pPr>
        <w:pStyle w:val="Nzov"/>
        <w:spacing w:before="120"/>
        <w:jc w:val="both"/>
        <w:rPr>
          <w:sz w:val="24"/>
          <w:szCs w:val="24"/>
          <w:u w:val="single"/>
        </w:rPr>
      </w:pPr>
      <w:r w:rsidRPr="00991B8A">
        <w:rPr>
          <w:sz w:val="24"/>
          <w:szCs w:val="24"/>
        </w:rPr>
        <w:t>C.2</w:t>
      </w:r>
      <w:r w:rsidRPr="00991B8A">
        <w:rPr>
          <w:sz w:val="24"/>
          <w:szCs w:val="24"/>
        </w:rPr>
        <w:tab/>
      </w:r>
      <w:r w:rsidRPr="00991B8A">
        <w:rPr>
          <w:sz w:val="24"/>
          <w:szCs w:val="24"/>
          <w:u w:val="single"/>
        </w:rPr>
        <w:t>Príjmy zdravotných poisťovní</w:t>
      </w:r>
    </w:p>
    <w:p w:rsidR="00A0360F" w:rsidRPr="00991B8A" w:rsidRDefault="00A0360F" w:rsidP="00A0360F">
      <w:pPr>
        <w:ind w:firstLine="709"/>
        <w:jc w:val="both"/>
      </w:pPr>
    </w:p>
    <w:p w:rsidR="00731402" w:rsidRPr="00991B8A" w:rsidRDefault="002A5D7C" w:rsidP="00A0360F">
      <w:pPr>
        <w:ind w:firstLine="709"/>
        <w:jc w:val="both"/>
      </w:pPr>
      <w:r w:rsidRPr="00991B8A">
        <w:t xml:space="preserve">Celkové príjmy zdravotných poisťovní sú súčtom príjmu z odvodov na zdravotné poistenie </w:t>
      </w:r>
      <w:r w:rsidRPr="00991B8A">
        <w:rPr>
          <w:b/>
        </w:rPr>
        <w:t>za zamestnávateľa a zamestnanca</w:t>
      </w:r>
      <w:r w:rsidR="00731402" w:rsidRPr="00991B8A">
        <w:t xml:space="preserve">. Výpočet </w:t>
      </w:r>
      <w:r w:rsidR="002268FF" w:rsidRPr="00991B8A">
        <w:t xml:space="preserve">zohľadňuje odvodovú odpočítateľnú položku </w:t>
      </w:r>
      <w:r w:rsidR="0060715D" w:rsidRPr="00991B8A">
        <w:t xml:space="preserve">(ďalej „OOP“) </w:t>
      </w:r>
      <w:r w:rsidR="002268FF" w:rsidRPr="00991B8A">
        <w:t xml:space="preserve">pre zamestnanca </w:t>
      </w:r>
      <w:r w:rsidR="003F53DB" w:rsidRPr="00991B8A">
        <w:t xml:space="preserve">na úrovni </w:t>
      </w:r>
      <w:r w:rsidR="004A4253" w:rsidRPr="00991B8A">
        <w:t xml:space="preserve">maximálne </w:t>
      </w:r>
      <w:r w:rsidR="00731402" w:rsidRPr="00991B8A">
        <w:t>380</w:t>
      </w:r>
      <w:r w:rsidR="003F53DB" w:rsidRPr="00991B8A">
        <w:t>,- </w:t>
      </w:r>
      <w:r w:rsidR="00731402" w:rsidRPr="00991B8A">
        <w:t>eur mesačne.</w:t>
      </w:r>
    </w:p>
    <w:p w:rsidR="00731402" w:rsidRPr="00991B8A" w:rsidRDefault="00731402" w:rsidP="00A0360F">
      <w:pPr>
        <w:ind w:firstLine="709"/>
        <w:jc w:val="both"/>
      </w:pPr>
    </w:p>
    <w:p w:rsidR="007A77E8" w:rsidRPr="00991B8A" w:rsidRDefault="00731402" w:rsidP="00A0360F">
      <w:pPr>
        <w:ind w:firstLine="709"/>
        <w:jc w:val="both"/>
        <w:rPr>
          <w:b/>
        </w:rPr>
      </w:pPr>
      <w:r w:rsidRPr="00991B8A">
        <w:t xml:space="preserve">Nakoľko suma </w:t>
      </w:r>
      <w:r w:rsidR="00E80E64" w:rsidRPr="00991B8A">
        <w:t>520 eur</w:t>
      </w:r>
      <w:r w:rsidRPr="00991B8A">
        <w:t xml:space="preserve"> prevyšuje sumu OOP o </w:t>
      </w:r>
      <w:r w:rsidR="000D2353" w:rsidRPr="00991B8A">
        <w:t> </w:t>
      </w:r>
      <w:r w:rsidR="002268FF" w:rsidRPr="00991B8A">
        <w:t xml:space="preserve"> 140 </w:t>
      </w:r>
      <w:r w:rsidRPr="00991B8A">
        <w:t>eur, na účely zdravotného poistenia sa uplatní suma OOP, znížená o dvojnásobok rozdielu</w:t>
      </w:r>
      <w:r w:rsidR="000470A3" w:rsidRPr="00991B8A">
        <w:t xml:space="preserve"> (</w:t>
      </w:r>
      <w:r w:rsidR="002268FF" w:rsidRPr="00991B8A">
        <w:t xml:space="preserve">280 </w:t>
      </w:r>
      <w:r w:rsidR="000470A3" w:rsidRPr="00991B8A">
        <w:t>eur)</w:t>
      </w:r>
      <w:r w:rsidRPr="00991B8A">
        <w:t xml:space="preserve">, t.j. </w:t>
      </w:r>
      <w:r w:rsidRPr="00991B8A">
        <w:rPr>
          <w:b/>
        </w:rPr>
        <w:t>vo výške</w:t>
      </w:r>
      <w:r w:rsidR="00614432" w:rsidRPr="00991B8A">
        <w:rPr>
          <w:b/>
        </w:rPr>
        <w:t xml:space="preserve"> </w:t>
      </w:r>
      <w:r w:rsidR="000D2353" w:rsidRPr="00991B8A">
        <w:rPr>
          <w:b/>
        </w:rPr>
        <w:t> </w:t>
      </w:r>
      <w:r w:rsidR="002268FF" w:rsidRPr="00991B8A">
        <w:rPr>
          <w:b/>
        </w:rPr>
        <w:t xml:space="preserve"> 100 </w:t>
      </w:r>
      <w:r w:rsidRPr="00991B8A">
        <w:rPr>
          <w:b/>
        </w:rPr>
        <w:t>eur mesačne</w:t>
      </w:r>
      <w:r w:rsidRPr="00991B8A">
        <w:t>; vymeriavací základ na výpočet odvodov na zdravotné poistenie bude</w:t>
      </w:r>
      <w:r w:rsidR="00614432" w:rsidRPr="00991B8A">
        <w:t xml:space="preserve"> </w:t>
      </w:r>
      <w:r w:rsidR="000D2353" w:rsidRPr="00991B8A">
        <w:t> </w:t>
      </w:r>
      <w:r w:rsidR="002268FF" w:rsidRPr="00991B8A">
        <w:t xml:space="preserve"> 420 </w:t>
      </w:r>
      <w:r w:rsidRPr="00991B8A">
        <w:t>eur mesačne</w:t>
      </w:r>
      <w:r w:rsidR="005127AD" w:rsidRPr="00991B8A">
        <w:t xml:space="preserve"> (</w:t>
      </w:r>
      <w:r w:rsidR="002268FF" w:rsidRPr="00991B8A">
        <w:t xml:space="preserve">520 </w:t>
      </w:r>
      <w:r w:rsidR="005127AD" w:rsidRPr="00991B8A">
        <w:t xml:space="preserve">– </w:t>
      </w:r>
      <w:r w:rsidR="000D2353" w:rsidRPr="00991B8A">
        <w:t> </w:t>
      </w:r>
      <w:r w:rsidR="002268FF" w:rsidRPr="00991B8A">
        <w:t xml:space="preserve"> 100 </w:t>
      </w:r>
      <w:r w:rsidR="005127AD" w:rsidRPr="00991B8A">
        <w:t xml:space="preserve">= </w:t>
      </w:r>
      <w:r w:rsidR="002268FF" w:rsidRPr="00991B8A">
        <w:t>420</w:t>
      </w:r>
      <w:r w:rsidR="005127AD" w:rsidRPr="00991B8A">
        <w:t>)</w:t>
      </w:r>
      <w:r w:rsidRPr="00991B8A">
        <w:t xml:space="preserve">. Z tejto sumy </w:t>
      </w:r>
      <w:r w:rsidRPr="00991B8A">
        <w:rPr>
          <w:b/>
        </w:rPr>
        <w:t xml:space="preserve">odvod </w:t>
      </w:r>
      <w:r w:rsidR="007A77E8" w:rsidRPr="00991B8A">
        <w:rPr>
          <w:b/>
        </w:rPr>
        <w:t xml:space="preserve">za </w:t>
      </w:r>
      <w:r w:rsidRPr="00991B8A">
        <w:rPr>
          <w:b/>
        </w:rPr>
        <w:t xml:space="preserve">zamestnanca bude predstavovať </w:t>
      </w:r>
      <w:r w:rsidR="0060715D" w:rsidRPr="00991B8A">
        <w:rPr>
          <w:b/>
        </w:rPr>
        <w:t xml:space="preserve">16,80 </w:t>
      </w:r>
      <w:r w:rsidR="000D2353" w:rsidRPr="00991B8A">
        <w:rPr>
          <w:b/>
        </w:rPr>
        <w:t>eur</w:t>
      </w:r>
      <w:r w:rsidR="0060715D" w:rsidRPr="00991B8A">
        <w:rPr>
          <w:b/>
        </w:rPr>
        <w:t xml:space="preserve">a. </w:t>
      </w:r>
    </w:p>
    <w:p w:rsidR="007A77E8" w:rsidRPr="00991B8A" w:rsidRDefault="007A77E8" w:rsidP="00A0360F">
      <w:pPr>
        <w:ind w:firstLine="709"/>
        <w:jc w:val="both"/>
        <w:rPr>
          <w:b/>
        </w:rPr>
      </w:pPr>
    </w:p>
    <w:p w:rsidR="009E482E" w:rsidRPr="00991B8A" w:rsidRDefault="0060715D" w:rsidP="00A0360F">
      <w:pPr>
        <w:ind w:firstLine="709"/>
        <w:jc w:val="both"/>
      </w:pPr>
      <w:r w:rsidRPr="00991B8A">
        <w:t xml:space="preserve">Odvod za zamestnávateľa predstavuje 10 % z plného vymeriavacieho základu zamestnanca (nezníženého o OOPP), t.j. </w:t>
      </w:r>
      <w:r w:rsidR="007A77E8" w:rsidRPr="00991B8A">
        <w:t xml:space="preserve">zo sumy 520 eur bude predstavovať 52 eur. Odvody na zdravotné poistenie za zamestnanca i zamestnávateľa spolu </w:t>
      </w:r>
      <w:r w:rsidR="007A77E8" w:rsidRPr="00991B8A">
        <w:rPr>
          <w:b/>
        </w:rPr>
        <w:t>budú činiť 68,80 eura mesačne</w:t>
      </w:r>
      <w:r w:rsidR="007A77E8" w:rsidRPr="00991B8A">
        <w:t>.</w:t>
      </w:r>
      <w:r w:rsidR="00BA57A2" w:rsidRPr="00991B8A">
        <w:t xml:space="preserve"> </w:t>
      </w:r>
    </w:p>
    <w:p w:rsidR="009E482E" w:rsidRPr="00991B8A" w:rsidRDefault="009E482E" w:rsidP="00A0360F">
      <w:pPr>
        <w:ind w:firstLine="709"/>
        <w:jc w:val="both"/>
      </w:pPr>
    </w:p>
    <w:p w:rsidR="00731402" w:rsidRPr="00991B8A" w:rsidRDefault="00BA57A2" w:rsidP="00A0360F">
      <w:pPr>
        <w:ind w:firstLine="709"/>
        <w:jc w:val="both"/>
      </w:pPr>
      <w:r w:rsidRPr="00991B8A">
        <w:t xml:space="preserve">Zo sumy </w:t>
      </w:r>
      <w:r w:rsidR="00E80E64" w:rsidRPr="00991B8A">
        <w:t>480 eur</w:t>
      </w:r>
      <w:r w:rsidRPr="00991B8A">
        <w:t xml:space="preserve"> mesačne </w:t>
      </w:r>
      <w:r w:rsidR="009E482E" w:rsidRPr="00991B8A">
        <w:t xml:space="preserve">odvody zamestnanca na zdravotné poistenie predstavovali </w:t>
      </w:r>
      <w:r w:rsidR="007A77E8" w:rsidRPr="00991B8A">
        <w:t xml:space="preserve">12 eur </w:t>
      </w:r>
      <w:r w:rsidR="009E482E" w:rsidRPr="00991B8A">
        <w:t xml:space="preserve">mesačne a odvody zamestnávateľa </w:t>
      </w:r>
      <w:r w:rsidR="007A77E8" w:rsidRPr="00991B8A">
        <w:t xml:space="preserve">48 eur </w:t>
      </w:r>
      <w:r w:rsidR="009E482E" w:rsidRPr="00991B8A">
        <w:t xml:space="preserve">mesačne, </w:t>
      </w:r>
      <w:r w:rsidR="009E482E" w:rsidRPr="00991B8A">
        <w:rPr>
          <w:b/>
        </w:rPr>
        <w:t xml:space="preserve">spolu </w:t>
      </w:r>
      <w:r w:rsidR="007A77E8" w:rsidRPr="00991B8A">
        <w:rPr>
          <w:b/>
        </w:rPr>
        <w:t xml:space="preserve">60 eur </w:t>
      </w:r>
      <w:r w:rsidR="009E482E" w:rsidRPr="00991B8A">
        <w:rPr>
          <w:b/>
        </w:rPr>
        <w:t>mesačne</w:t>
      </w:r>
      <w:r w:rsidR="009E482E" w:rsidRPr="00991B8A">
        <w:t xml:space="preserve">. Medziročný nárast odvodov na zdravotné poistenie z dôvodu zvýšenia sumy minimálnej mzdy zo </w:t>
      </w:r>
      <w:r w:rsidR="007A77E8" w:rsidRPr="00991B8A">
        <w:t xml:space="preserve"> 480 </w:t>
      </w:r>
      <w:r w:rsidR="009E482E" w:rsidRPr="00991B8A">
        <w:t xml:space="preserve">na </w:t>
      </w:r>
      <w:r w:rsidR="00E80E64" w:rsidRPr="00991B8A">
        <w:t>520 eur</w:t>
      </w:r>
      <w:r w:rsidR="009E482E" w:rsidRPr="00991B8A">
        <w:t xml:space="preserve"> </w:t>
      </w:r>
      <w:r w:rsidR="009E482E" w:rsidRPr="00991B8A">
        <w:rPr>
          <w:b/>
        </w:rPr>
        <w:t xml:space="preserve">predstavuje </w:t>
      </w:r>
      <w:r w:rsidR="007A77E8" w:rsidRPr="00991B8A">
        <w:rPr>
          <w:b/>
        </w:rPr>
        <w:t>8,80</w:t>
      </w:r>
      <w:r w:rsidR="007A77E8" w:rsidRPr="00991B8A">
        <w:t xml:space="preserve"> </w:t>
      </w:r>
      <w:r w:rsidR="009E482E" w:rsidRPr="00991B8A">
        <w:rPr>
          <w:b/>
        </w:rPr>
        <w:t>eura mesačne</w:t>
      </w:r>
      <w:r w:rsidR="009E482E" w:rsidRPr="00991B8A">
        <w:t>.</w:t>
      </w:r>
    </w:p>
    <w:p w:rsidR="00731402" w:rsidRPr="00991B8A" w:rsidRDefault="00731402" w:rsidP="00A0360F">
      <w:pPr>
        <w:ind w:firstLine="709"/>
        <w:jc w:val="both"/>
      </w:pPr>
    </w:p>
    <w:p w:rsidR="004354C8" w:rsidRPr="00991B8A" w:rsidRDefault="003261C8" w:rsidP="00A0360F">
      <w:pPr>
        <w:ind w:firstLine="709"/>
        <w:jc w:val="both"/>
      </w:pPr>
      <w:r w:rsidRPr="00991B8A">
        <w:t>V</w:t>
      </w:r>
      <w:r w:rsidR="002E14CD" w:rsidRPr="00991B8A">
        <w:t>ýpočet v</w:t>
      </w:r>
      <w:r w:rsidRPr="00991B8A">
        <w:t>plyv</w:t>
      </w:r>
      <w:r w:rsidR="002E14CD" w:rsidRPr="00991B8A">
        <w:t>u</w:t>
      </w:r>
      <w:r w:rsidRPr="00991B8A">
        <w:t xml:space="preserve"> zvýšenia sumy minimálnej mzdy na príjmy zdravotných poisťovní zohľadňuje aj skutočnosť, že u zamestnancov </w:t>
      </w:r>
      <w:r w:rsidRPr="00991B8A">
        <w:rPr>
          <w:b/>
        </w:rPr>
        <w:t xml:space="preserve">s príjmom v rozpätí medzi </w:t>
      </w:r>
      <w:r w:rsidR="00BC6486" w:rsidRPr="00991B8A">
        <w:rPr>
          <w:b/>
        </w:rPr>
        <w:t xml:space="preserve"> 480 </w:t>
      </w:r>
      <w:r w:rsidRPr="00991B8A">
        <w:rPr>
          <w:b/>
        </w:rPr>
        <w:t>a </w:t>
      </w:r>
      <w:r w:rsidR="00E80E64" w:rsidRPr="00991B8A">
        <w:rPr>
          <w:b/>
        </w:rPr>
        <w:t>520 eur</w:t>
      </w:r>
      <w:r w:rsidRPr="00991B8A">
        <w:t xml:space="preserve"> sa podľa výšky príjmu </w:t>
      </w:r>
      <w:r w:rsidRPr="00991B8A">
        <w:rPr>
          <w:b/>
        </w:rPr>
        <w:t>už odvody na zdravotné poistenie odvádzali</w:t>
      </w:r>
      <w:r w:rsidRPr="00991B8A">
        <w:t xml:space="preserve">, takže nárast príjmov zdravotných poisťovní bude nižší v závislosti od dosahovaného </w:t>
      </w:r>
      <w:r w:rsidR="007B75C4" w:rsidRPr="00991B8A">
        <w:t xml:space="preserve">priemerného </w:t>
      </w:r>
      <w:r w:rsidRPr="00991B8A">
        <w:t>príjmu (vymeriavacieho základu)</w:t>
      </w:r>
      <w:r w:rsidR="007B75C4" w:rsidRPr="00991B8A">
        <w:t xml:space="preserve">, ktorý je u jednotlivých skupín zamestnancov </w:t>
      </w:r>
      <w:r w:rsidR="009D52D2" w:rsidRPr="00991B8A">
        <w:t>rôzny:</w:t>
      </w:r>
      <w:r w:rsidR="00614432" w:rsidRPr="00991B8A">
        <w:t xml:space="preserve"> </w:t>
      </w:r>
    </w:p>
    <w:p w:rsidR="00252AE3" w:rsidRPr="00991B8A" w:rsidRDefault="00252AE3" w:rsidP="009D52D2">
      <w:pPr>
        <w:numPr>
          <w:ilvl w:val="0"/>
          <w:numId w:val="11"/>
        </w:numPr>
        <w:tabs>
          <w:tab w:val="clear" w:pos="2160"/>
        </w:tabs>
        <w:spacing w:before="120"/>
        <w:ind w:left="709"/>
        <w:jc w:val="both"/>
      </w:pPr>
      <w:r w:rsidRPr="00991B8A">
        <w:t>u zamestnancov tzv. podnikateľskej sféry mimo zamestnancov SZČO</w:t>
      </w:r>
      <w:r w:rsidR="00EB2CE3" w:rsidRPr="00991B8A">
        <w:t xml:space="preserve"> (PS)</w:t>
      </w:r>
      <w:r w:rsidRPr="00991B8A">
        <w:t xml:space="preserve"> v príjmovom pásme </w:t>
      </w:r>
      <w:r w:rsidR="00BC6486" w:rsidRPr="00991B8A">
        <w:t>480</w:t>
      </w:r>
      <w:r w:rsidRPr="00991B8A">
        <w:t xml:space="preserve"> až </w:t>
      </w:r>
      <w:r w:rsidR="00E80E64" w:rsidRPr="00991B8A">
        <w:t>520 eur</w:t>
      </w:r>
      <w:r w:rsidRPr="00991B8A">
        <w:t xml:space="preserve"> priemerná mzda predstavovala </w:t>
      </w:r>
      <w:r w:rsidR="00B96899" w:rsidRPr="00991B8A">
        <w:rPr>
          <w:b/>
        </w:rPr>
        <w:t xml:space="preserve">492,21 </w:t>
      </w:r>
      <w:r w:rsidRPr="00991B8A">
        <w:rPr>
          <w:b/>
        </w:rPr>
        <w:t>eura mesačne</w:t>
      </w:r>
      <w:r w:rsidRPr="00991B8A">
        <w:t xml:space="preserve">, </w:t>
      </w:r>
      <w:r w:rsidR="00B50A48" w:rsidRPr="00991B8A">
        <w:t xml:space="preserve">z čoho odvody zamestnanca predstavovali </w:t>
      </w:r>
      <w:r w:rsidR="00B96899" w:rsidRPr="00991B8A">
        <w:t xml:space="preserve">13,46 </w:t>
      </w:r>
      <w:r w:rsidR="00B50A48" w:rsidRPr="00991B8A">
        <w:t xml:space="preserve">eura a zamestnávateľa </w:t>
      </w:r>
      <w:r w:rsidR="00B96899" w:rsidRPr="00991B8A">
        <w:t xml:space="preserve">49,22 </w:t>
      </w:r>
      <w:r w:rsidR="00B50A48" w:rsidRPr="00991B8A">
        <w:t xml:space="preserve">eura, </w:t>
      </w:r>
      <w:r w:rsidR="00B50A48" w:rsidRPr="00991B8A">
        <w:rPr>
          <w:b/>
        </w:rPr>
        <w:t xml:space="preserve">spolu </w:t>
      </w:r>
      <w:r w:rsidR="00B96899" w:rsidRPr="00991B8A">
        <w:rPr>
          <w:b/>
        </w:rPr>
        <w:t xml:space="preserve">62,68 </w:t>
      </w:r>
      <w:r w:rsidR="00B50A48" w:rsidRPr="00991B8A">
        <w:rPr>
          <w:b/>
        </w:rPr>
        <w:t>eura</w:t>
      </w:r>
      <w:r w:rsidR="00B50A48" w:rsidRPr="00991B8A">
        <w:t xml:space="preserve">; nárast odvodov bude </w:t>
      </w:r>
      <w:r w:rsidR="004848BA" w:rsidRPr="00991B8A">
        <w:rPr>
          <w:b/>
        </w:rPr>
        <w:t xml:space="preserve">6,12 </w:t>
      </w:r>
      <w:r w:rsidR="004354C8" w:rsidRPr="00991B8A">
        <w:rPr>
          <w:b/>
        </w:rPr>
        <w:t>eura mesačne</w:t>
      </w:r>
      <w:r w:rsidR="00B50A48" w:rsidRPr="00991B8A">
        <w:t xml:space="preserve"> </w:t>
      </w:r>
      <w:r w:rsidR="0083419A" w:rsidRPr="00991B8A">
        <w:t xml:space="preserve">na zamestnanca </w:t>
      </w:r>
      <w:r w:rsidR="00B50A48" w:rsidRPr="00991B8A">
        <w:t>(</w:t>
      </w:r>
      <w:r w:rsidR="004848BA" w:rsidRPr="00991B8A">
        <w:t xml:space="preserve">68,80 </w:t>
      </w:r>
      <w:r w:rsidR="00B50A48" w:rsidRPr="00991B8A">
        <w:t xml:space="preserve">– </w:t>
      </w:r>
      <w:r w:rsidR="004848BA" w:rsidRPr="00991B8A">
        <w:t xml:space="preserve">62,68 </w:t>
      </w:r>
      <w:r w:rsidR="00B50A48" w:rsidRPr="00991B8A">
        <w:t xml:space="preserve">= </w:t>
      </w:r>
      <w:r w:rsidR="004848BA" w:rsidRPr="00991B8A">
        <w:t>6,12</w:t>
      </w:r>
      <w:r w:rsidR="00B50A48" w:rsidRPr="00991B8A">
        <w:t>)</w:t>
      </w:r>
      <w:r w:rsidR="004354C8" w:rsidRPr="00991B8A">
        <w:t xml:space="preserve">, </w:t>
      </w:r>
    </w:p>
    <w:p w:rsidR="00252AE3" w:rsidRPr="00991B8A" w:rsidRDefault="00252AE3" w:rsidP="009A4EF6">
      <w:pPr>
        <w:numPr>
          <w:ilvl w:val="0"/>
          <w:numId w:val="11"/>
        </w:numPr>
        <w:tabs>
          <w:tab w:val="clear" w:pos="2160"/>
        </w:tabs>
        <w:spacing w:before="120"/>
        <w:ind w:left="709" w:hanging="357"/>
        <w:jc w:val="both"/>
      </w:pPr>
      <w:r w:rsidRPr="00991B8A">
        <w:t xml:space="preserve">u zamestnancov SZČO v tom istom príjmovom pásme priemerný vymeriavací základ </w:t>
      </w:r>
      <w:r w:rsidR="005252BC" w:rsidRPr="00991B8A">
        <w:t xml:space="preserve">predstavoval </w:t>
      </w:r>
      <w:r w:rsidR="004848BA" w:rsidRPr="00991B8A">
        <w:rPr>
          <w:b/>
        </w:rPr>
        <w:t xml:space="preserve">491,09 </w:t>
      </w:r>
      <w:r w:rsidRPr="00991B8A">
        <w:rPr>
          <w:b/>
        </w:rPr>
        <w:t>eura</w:t>
      </w:r>
      <w:r w:rsidR="004354C8" w:rsidRPr="00991B8A">
        <w:t xml:space="preserve">, </w:t>
      </w:r>
      <w:r w:rsidR="002E5309" w:rsidRPr="00991B8A">
        <w:t xml:space="preserve">z čoho odvody zamestnanca predstavujú </w:t>
      </w:r>
      <w:r w:rsidR="004848BA" w:rsidRPr="00991B8A">
        <w:t xml:space="preserve">13,33 </w:t>
      </w:r>
      <w:r w:rsidR="002E5309" w:rsidRPr="00991B8A">
        <w:t xml:space="preserve">eura a zamestnávateľa </w:t>
      </w:r>
      <w:r w:rsidR="004848BA" w:rsidRPr="00991B8A">
        <w:t xml:space="preserve">49,11 </w:t>
      </w:r>
      <w:r w:rsidR="002E5309" w:rsidRPr="00991B8A">
        <w:t xml:space="preserve">eura, spolu </w:t>
      </w:r>
      <w:r w:rsidR="004848BA" w:rsidRPr="00991B8A">
        <w:rPr>
          <w:b/>
        </w:rPr>
        <w:t xml:space="preserve">62,44 </w:t>
      </w:r>
      <w:r w:rsidR="002E5309" w:rsidRPr="00991B8A">
        <w:rPr>
          <w:b/>
        </w:rPr>
        <w:t>eura mesačne</w:t>
      </w:r>
      <w:r w:rsidR="002E5309" w:rsidRPr="00991B8A">
        <w:t xml:space="preserve">; </w:t>
      </w:r>
      <w:r w:rsidR="004354C8" w:rsidRPr="00991B8A">
        <w:t xml:space="preserve">zvýšenie odvodov bude predstavovať </w:t>
      </w:r>
      <w:r w:rsidR="004848BA" w:rsidRPr="00991B8A">
        <w:rPr>
          <w:b/>
        </w:rPr>
        <w:t xml:space="preserve">6,36 </w:t>
      </w:r>
      <w:r w:rsidR="004354C8" w:rsidRPr="00991B8A">
        <w:rPr>
          <w:b/>
        </w:rPr>
        <w:t>eura mesačne</w:t>
      </w:r>
      <w:r w:rsidR="0083419A" w:rsidRPr="00991B8A">
        <w:t xml:space="preserve"> na zamestnanca (</w:t>
      </w:r>
      <w:r w:rsidR="004848BA" w:rsidRPr="00991B8A">
        <w:t xml:space="preserve">68,80 </w:t>
      </w:r>
      <w:r w:rsidR="0083419A" w:rsidRPr="00991B8A">
        <w:t xml:space="preserve">– </w:t>
      </w:r>
      <w:r w:rsidR="004848BA" w:rsidRPr="00991B8A">
        <w:t xml:space="preserve">62,44 </w:t>
      </w:r>
      <w:r w:rsidR="0083419A" w:rsidRPr="00991B8A">
        <w:t xml:space="preserve">= </w:t>
      </w:r>
      <w:r w:rsidR="004848BA" w:rsidRPr="00991B8A">
        <w:t>6,36</w:t>
      </w:r>
      <w:r w:rsidR="0083419A" w:rsidRPr="00991B8A">
        <w:t>)</w:t>
      </w:r>
      <w:r w:rsidRPr="00991B8A">
        <w:t xml:space="preserve"> a</w:t>
      </w:r>
    </w:p>
    <w:p w:rsidR="00252AE3" w:rsidRPr="00991B8A" w:rsidRDefault="004354C8" w:rsidP="009A4EF6">
      <w:pPr>
        <w:numPr>
          <w:ilvl w:val="0"/>
          <w:numId w:val="11"/>
        </w:numPr>
        <w:tabs>
          <w:tab w:val="clear" w:pos="2160"/>
        </w:tabs>
        <w:spacing w:before="120"/>
        <w:ind w:left="709" w:hanging="357"/>
        <w:jc w:val="both"/>
      </w:pPr>
      <w:r w:rsidRPr="00991B8A">
        <w:lastRenderedPageBreak/>
        <w:t xml:space="preserve">u </w:t>
      </w:r>
      <w:r w:rsidR="00252AE3" w:rsidRPr="00991B8A">
        <w:t>zamestnancov tzv. nepodnikateľskej sféry</w:t>
      </w:r>
      <w:r w:rsidR="00EB2CE3" w:rsidRPr="00991B8A">
        <w:t xml:space="preserve"> (NS)</w:t>
      </w:r>
      <w:r w:rsidR="00252AE3" w:rsidRPr="00991B8A">
        <w:t xml:space="preserve"> priemerný plat v príjmovom pásme </w:t>
      </w:r>
      <w:r w:rsidR="00BC6486" w:rsidRPr="00991B8A">
        <w:t>480</w:t>
      </w:r>
      <w:r w:rsidR="00252AE3" w:rsidRPr="00991B8A">
        <w:t xml:space="preserve"> až </w:t>
      </w:r>
      <w:r w:rsidR="00E80E64" w:rsidRPr="00991B8A">
        <w:t>520 eur</w:t>
      </w:r>
      <w:r w:rsidR="00252AE3" w:rsidRPr="00991B8A">
        <w:t xml:space="preserve"> predstavoval </w:t>
      </w:r>
      <w:r w:rsidR="004848BA" w:rsidRPr="00991B8A">
        <w:t xml:space="preserve">493,32 </w:t>
      </w:r>
      <w:r w:rsidR="00252AE3" w:rsidRPr="00991B8A">
        <w:t>eura</w:t>
      </w:r>
      <w:r w:rsidR="002E5309" w:rsidRPr="00991B8A">
        <w:t xml:space="preserve">, z čoho odvody zamestnanca boli </w:t>
      </w:r>
      <w:r w:rsidR="0054224F" w:rsidRPr="00991B8A">
        <w:t xml:space="preserve">13,59 </w:t>
      </w:r>
      <w:r w:rsidR="006F0257" w:rsidRPr="00991B8A">
        <w:t xml:space="preserve">eura a zamestnávateľa </w:t>
      </w:r>
      <w:r w:rsidR="0054224F" w:rsidRPr="00991B8A">
        <w:t xml:space="preserve">49,33 </w:t>
      </w:r>
      <w:r w:rsidR="006F0257" w:rsidRPr="00991B8A">
        <w:t xml:space="preserve">eura, </w:t>
      </w:r>
      <w:r w:rsidR="006F0257" w:rsidRPr="00991B8A">
        <w:rPr>
          <w:b/>
        </w:rPr>
        <w:t xml:space="preserve">spolu </w:t>
      </w:r>
      <w:r w:rsidR="0054224F" w:rsidRPr="00991B8A">
        <w:rPr>
          <w:b/>
        </w:rPr>
        <w:t xml:space="preserve">62,92 </w:t>
      </w:r>
      <w:r w:rsidR="006F0257" w:rsidRPr="00991B8A">
        <w:rPr>
          <w:b/>
        </w:rPr>
        <w:t>eura mesačne</w:t>
      </w:r>
      <w:r w:rsidR="006F0257" w:rsidRPr="00991B8A">
        <w:t xml:space="preserve">; </w:t>
      </w:r>
      <w:r w:rsidRPr="00991B8A">
        <w:t xml:space="preserve">priemerné zvýšenie odvodov </w:t>
      </w:r>
      <w:r w:rsidR="006F0257" w:rsidRPr="00991B8A">
        <w:rPr>
          <w:b/>
        </w:rPr>
        <w:t xml:space="preserve">predstavuje </w:t>
      </w:r>
      <w:r w:rsidR="0054224F" w:rsidRPr="00991B8A">
        <w:rPr>
          <w:b/>
        </w:rPr>
        <w:t xml:space="preserve">5,88 </w:t>
      </w:r>
      <w:r w:rsidRPr="00991B8A">
        <w:rPr>
          <w:b/>
        </w:rPr>
        <w:t>eura mesačne</w:t>
      </w:r>
      <w:r w:rsidR="006F0257" w:rsidRPr="00991B8A">
        <w:t xml:space="preserve"> </w:t>
      </w:r>
      <w:r w:rsidR="0083419A" w:rsidRPr="00991B8A">
        <w:t xml:space="preserve">na zamestnanca </w:t>
      </w:r>
      <w:r w:rsidR="006F0257" w:rsidRPr="00991B8A">
        <w:t>(</w:t>
      </w:r>
      <w:r w:rsidR="0054224F" w:rsidRPr="00991B8A">
        <w:t xml:space="preserve">68,80 </w:t>
      </w:r>
      <w:r w:rsidR="006F0257" w:rsidRPr="00991B8A">
        <w:t xml:space="preserve">– </w:t>
      </w:r>
      <w:r w:rsidR="0054224F" w:rsidRPr="00991B8A">
        <w:t xml:space="preserve">62,92 </w:t>
      </w:r>
      <w:r w:rsidR="006F0257" w:rsidRPr="00991B8A">
        <w:t xml:space="preserve">= </w:t>
      </w:r>
      <w:r w:rsidR="0054224F" w:rsidRPr="00991B8A">
        <w:t>5,88</w:t>
      </w:r>
      <w:r w:rsidRPr="00991B8A">
        <w:t>)</w:t>
      </w:r>
      <w:r w:rsidR="00252AE3" w:rsidRPr="00991B8A">
        <w:t>.</w:t>
      </w:r>
    </w:p>
    <w:p w:rsidR="003261C8" w:rsidRPr="00991B8A" w:rsidRDefault="003261C8" w:rsidP="00A0360F">
      <w:pPr>
        <w:ind w:firstLine="709"/>
        <w:jc w:val="both"/>
      </w:pPr>
    </w:p>
    <w:p w:rsidR="003261C8" w:rsidRPr="00991B8A" w:rsidRDefault="00EB2CE3" w:rsidP="00A0360F">
      <w:pPr>
        <w:ind w:firstLine="709"/>
        <w:jc w:val="both"/>
      </w:pPr>
      <w:r w:rsidRPr="00991B8A">
        <w:t xml:space="preserve">Kvalifikovaný odhad </w:t>
      </w:r>
      <w:r w:rsidR="00252AE3" w:rsidRPr="00991B8A">
        <w:t>vplyv</w:t>
      </w:r>
      <w:r w:rsidRPr="00991B8A">
        <w:t>u</w:t>
      </w:r>
      <w:r w:rsidR="00252AE3" w:rsidRPr="00991B8A">
        <w:t xml:space="preserve"> zvýšenia sumy minimálnej mzdy na príjmy zdravotných poisťovní </w:t>
      </w:r>
      <w:r w:rsidRPr="00991B8A">
        <w:t xml:space="preserve">v roku </w:t>
      </w:r>
      <w:r w:rsidR="00E80E64" w:rsidRPr="00991B8A">
        <w:t>2019</w:t>
      </w:r>
      <w:r w:rsidR="00252AE3" w:rsidRPr="00991B8A">
        <w:t>:</w:t>
      </w:r>
    </w:p>
    <w:p w:rsidR="00B439F3" w:rsidRPr="00991B8A" w:rsidRDefault="00B439F3" w:rsidP="00A0360F">
      <w:pPr>
        <w:ind w:firstLine="709"/>
        <w:jc w:val="both"/>
      </w:pPr>
    </w:p>
    <w:tbl>
      <w:tblPr>
        <w:tblW w:w="916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1449"/>
        <w:gridCol w:w="1961"/>
        <w:gridCol w:w="2480"/>
        <w:tblGridChange w:id="10">
          <w:tblGrid>
            <w:gridCol w:w="3271"/>
            <w:gridCol w:w="1449"/>
            <w:gridCol w:w="1961"/>
            <w:gridCol w:w="2480"/>
          </w:tblGrid>
        </w:tblGridChange>
      </w:tblGrid>
      <w:tr w:rsidR="008B2CAB" w:rsidRPr="00991B8A" w:rsidTr="008B2CAB">
        <w:trPr>
          <w:trHeight w:val="567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3" w:rsidRPr="00991B8A" w:rsidRDefault="00B439F3">
            <w:pPr>
              <w:rPr>
                <w:sz w:val="23"/>
                <w:szCs w:val="23"/>
              </w:rPr>
            </w:pPr>
            <w:r w:rsidRPr="00991B8A">
              <w:rPr>
                <w:sz w:val="23"/>
                <w:szCs w:val="23"/>
              </w:rPr>
              <w:t>Skupina zamestnancov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3" w:rsidRPr="00991B8A" w:rsidRDefault="00B439F3" w:rsidP="00604743">
            <w:pPr>
              <w:jc w:val="center"/>
              <w:rPr>
                <w:sz w:val="23"/>
                <w:szCs w:val="23"/>
              </w:rPr>
            </w:pPr>
            <w:r w:rsidRPr="00991B8A">
              <w:rPr>
                <w:sz w:val="23"/>
                <w:szCs w:val="23"/>
              </w:rPr>
              <w:t>Počet zamestnancov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3" w:rsidRPr="00991B8A" w:rsidRDefault="00B439F3" w:rsidP="00604743">
            <w:pPr>
              <w:jc w:val="center"/>
              <w:rPr>
                <w:sz w:val="23"/>
                <w:szCs w:val="23"/>
              </w:rPr>
            </w:pPr>
            <w:r w:rsidRPr="00991B8A">
              <w:rPr>
                <w:sz w:val="23"/>
                <w:szCs w:val="23"/>
              </w:rPr>
              <w:t>Zvýšenie na osobu a mesiac v eurách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9F3" w:rsidRPr="00991B8A" w:rsidRDefault="00B439F3" w:rsidP="00604743">
            <w:pPr>
              <w:jc w:val="center"/>
              <w:rPr>
                <w:sz w:val="23"/>
                <w:szCs w:val="23"/>
              </w:rPr>
            </w:pPr>
            <w:r w:rsidRPr="00991B8A">
              <w:rPr>
                <w:sz w:val="23"/>
                <w:szCs w:val="23"/>
              </w:rPr>
              <w:t>Zvýšenie na všetkých zamestnancov ročne v €</w:t>
            </w:r>
          </w:p>
        </w:tc>
      </w:tr>
      <w:tr w:rsidR="00254BE8" w:rsidRPr="00991B8A" w:rsidTr="00254BE8">
        <w:trPr>
          <w:trHeight w:val="397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B1D" w:rsidRPr="00991B8A" w:rsidRDefault="000E6B1D" w:rsidP="00B439F3">
            <w:pPr>
              <w:rPr>
                <w:sz w:val="23"/>
                <w:szCs w:val="23"/>
              </w:rPr>
            </w:pPr>
            <w:r w:rsidRPr="00991B8A">
              <w:rPr>
                <w:sz w:val="23"/>
                <w:szCs w:val="23"/>
              </w:rPr>
              <w:t>PS bez SZČO do 480 eur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1D" w:rsidRPr="00991B8A" w:rsidRDefault="000E6B1D" w:rsidP="00991B8A">
            <w:pPr>
              <w:jc w:val="center"/>
              <w:rPr>
                <w:bCs/>
                <w:sz w:val="23"/>
                <w:szCs w:val="23"/>
              </w:rPr>
            </w:pPr>
            <w:r w:rsidRPr="00991B8A">
              <w:t>21 175,50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1D" w:rsidRPr="00991B8A" w:rsidRDefault="000E6B1D" w:rsidP="00991B8A">
            <w:pPr>
              <w:jc w:val="center"/>
              <w:rPr>
                <w:bCs/>
                <w:sz w:val="23"/>
                <w:szCs w:val="23"/>
              </w:rPr>
            </w:pPr>
            <w:r w:rsidRPr="00991B8A">
              <w:t>8,80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1D" w:rsidRPr="00991B8A" w:rsidRDefault="000E6B1D" w:rsidP="00991B8A">
            <w:pPr>
              <w:jc w:val="center"/>
              <w:rPr>
                <w:bCs/>
                <w:sz w:val="23"/>
                <w:szCs w:val="23"/>
              </w:rPr>
            </w:pPr>
            <w:r w:rsidRPr="00991B8A">
              <w:t>2 236 132,80</w:t>
            </w:r>
          </w:p>
        </w:tc>
      </w:tr>
      <w:tr w:rsidR="00991B8A" w:rsidRPr="00991B8A" w:rsidTr="00254BE8">
        <w:trPr>
          <w:trHeight w:val="397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B1D" w:rsidRPr="00991B8A" w:rsidRDefault="000E6B1D" w:rsidP="00451182">
            <w:pPr>
              <w:rPr>
                <w:sz w:val="23"/>
                <w:szCs w:val="23"/>
              </w:rPr>
            </w:pPr>
            <w:r w:rsidRPr="00991B8A">
              <w:rPr>
                <w:sz w:val="23"/>
                <w:szCs w:val="23"/>
              </w:rPr>
              <w:t>PS bez SZČO nad  480 - 520 eur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1D" w:rsidRPr="00991B8A" w:rsidRDefault="000E6B1D" w:rsidP="00991B8A">
            <w:pPr>
              <w:jc w:val="center"/>
              <w:rPr>
                <w:bCs/>
                <w:sz w:val="23"/>
                <w:szCs w:val="23"/>
              </w:rPr>
            </w:pPr>
            <w:r w:rsidRPr="00991B8A">
              <w:t>35 502,30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1D" w:rsidRPr="00991B8A" w:rsidRDefault="000E6B1D" w:rsidP="00991B8A">
            <w:pPr>
              <w:jc w:val="center"/>
              <w:rPr>
                <w:bCs/>
                <w:sz w:val="23"/>
                <w:szCs w:val="23"/>
              </w:rPr>
            </w:pPr>
            <w:r w:rsidRPr="00991B8A">
              <w:t>6,12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1D" w:rsidRPr="00991B8A" w:rsidRDefault="000E6B1D" w:rsidP="00991B8A">
            <w:pPr>
              <w:jc w:val="center"/>
              <w:rPr>
                <w:bCs/>
                <w:sz w:val="23"/>
                <w:szCs w:val="23"/>
              </w:rPr>
            </w:pPr>
            <w:r w:rsidRPr="00991B8A">
              <w:t>2 606 862,88</w:t>
            </w:r>
          </w:p>
        </w:tc>
      </w:tr>
      <w:tr w:rsidR="00991B8A" w:rsidRPr="00991B8A" w:rsidTr="00254BE8">
        <w:trPr>
          <w:trHeight w:val="397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53" w:rsidRPr="00991B8A" w:rsidRDefault="004D2653">
            <w:pPr>
              <w:rPr>
                <w:sz w:val="23"/>
                <w:szCs w:val="23"/>
              </w:rPr>
            </w:pPr>
            <w:r w:rsidRPr="00991B8A">
              <w:t>Zamestnanci SZČO do 480 eur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3" w:rsidRPr="00991B8A" w:rsidRDefault="004D2653" w:rsidP="00991B8A">
            <w:pPr>
              <w:jc w:val="center"/>
            </w:pPr>
            <w:r w:rsidRPr="00991B8A">
              <w:t>53 390,00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3" w:rsidRPr="00991B8A" w:rsidRDefault="004D2653" w:rsidP="00991B8A">
            <w:pPr>
              <w:jc w:val="center"/>
            </w:pPr>
            <w:r w:rsidRPr="00991B8A">
              <w:t>2,10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3" w:rsidRPr="00991B8A" w:rsidRDefault="004D2653" w:rsidP="00991B8A">
            <w:pPr>
              <w:jc w:val="center"/>
            </w:pPr>
            <w:r w:rsidRPr="00991B8A">
              <w:t>1 343 290,05</w:t>
            </w:r>
          </w:p>
        </w:tc>
      </w:tr>
      <w:tr w:rsidR="00254BE8" w:rsidRPr="00991B8A" w:rsidTr="00254BE8">
        <w:trPr>
          <w:trHeight w:val="397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B1D" w:rsidRPr="00991B8A" w:rsidRDefault="000E6B1D">
            <w:pPr>
              <w:rPr>
                <w:sz w:val="23"/>
                <w:szCs w:val="23"/>
              </w:rPr>
            </w:pPr>
            <w:r w:rsidRPr="00991B8A">
              <w:rPr>
                <w:sz w:val="23"/>
                <w:szCs w:val="23"/>
              </w:rPr>
              <w:t>Zam. u SZČO nad 480 do 520 eur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1D" w:rsidRPr="00991B8A" w:rsidRDefault="000E6B1D" w:rsidP="00991B8A">
            <w:pPr>
              <w:jc w:val="center"/>
              <w:rPr>
                <w:bCs/>
                <w:sz w:val="23"/>
                <w:szCs w:val="23"/>
              </w:rPr>
            </w:pPr>
            <w:r w:rsidRPr="00991B8A">
              <w:t>11 576,00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1D" w:rsidRPr="00991B8A" w:rsidRDefault="000E6B1D" w:rsidP="00991B8A">
            <w:pPr>
              <w:jc w:val="center"/>
              <w:rPr>
                <w:bCs/>
                <w:sz w:val="23"/>
                <w:szCs w:val="23"/>
              </w:rPr>
            </w:pPr>
            <w:r w:rsidRPr="00991B8A">
              <w:t>6,36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1D" w:rsidRPr="00991B8A" w:rsidRDefault="000E6B1D" w:rsidP="00991B8A">
            <w:pPr>
              <w:jc w:val="center"/>
              <w:rPr>
                <w:bCs/>
                <w:sz w:val="23"/>
                <w:szCs w:val="23"/>
              </w:rPr>
            </w:pPr>
            <w:r w:rsidRPr="00991B8A">
              <w:t>883 619,23</w:t>
            </w:r>
          </w:p>
        </w:tc>
      </w:tr>
      <w:tr w:rsidR="00254BE8" w:rsidRPr="00991B8A" w:rsidTr="00254BE8">
        <w:trPr>
          <w:trHeight w:val="397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B1D" w:rsidRPr="00991B8A" w:rsidRDefault="000E6B1D">
            <w:pPr>
              <w:rPr>
                <w:sz w:val="23"/>
                <w:szCs w:val="23"/>
              </w:rPr>
            </w:pPr>
            <w:r w:rsidRPr="00991B8A">
              <w:rPr>
                <w:sz w:val="23"/>
                <w:szCs w:val="23"/>
              </w:rPr>
              <w:t>NS v pásme do 480 eur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1D" w:rsidRPr="00991B8A" w:rsidRDefault="000E6B1D" w:rsidP="00991B8A">
            <w:pPr>
              <w:jc w:val="center"/>
              <w:rPr>
                <w:bCs/>
                <w:sz w:val="23"/>
                <w:szCs w:val="23"/>
              </w:rPr>
            </w:pPr>
            <w:r w:rsidRPr="00991B8A">
              <w:t>9 586,00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1D" w:rsidRPr="00991B8A" w:rsidRDefault="000E6B1D" w:rsidP="00991B8A">
            <w:pPr>
              <w:jc w:val="center"/>
              <w:rPr>
                <w:bCs/>
                <w:sz w:val="23"/>
                <w:szCs w:val="23"/>
              </w:rPr>
            </w:pPr>
            <w:r w:rsidRPr="00991B8A">
              <w:t>8,80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1D" w:rsidRPr="00991B8A" w:rsidRDefault="000E6B1D" w:rsidP="00991B8A">
            <w:pPr>
              <w:jc w:val="center"/>
              <w:rPr>
                <w:bCs/>
                <w:sz w:val="23"/>
                <w:szCs w:val="23"/>
              </w:rPr>
            </w:pPr>
            <w:r w:rsidRPr="00991B8A">
              <w:t>1 012 281,60</w:t>
            </w:r>
          </w:p>
        </w:tc>
      </w:tr>
      <w:tr w:rsidR="00254BE8" w:rsidRPr="00991B8A" w:rsidTr="00254BE8">
        <w:trPr>
          <w:trHeight w:val="397"/>
        </w:trPr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B1D" w:rsidRPr="00991B8A" w:rsidRDefault="000E6B1D">
            <w:pPr>
              <w:rPr>
                <w:sz w:val="23"/>
                <w:szCs w:val="23"/>
              </w:rPr>
            </w:pPr>
            <w:r w:rsidRPr="00991B8A">
              <w:rPr>
                <w:sz w:val="23"/>
                <w:szCs w:val="23"/>
              </w:rPr>
              <w:t>NS nad 480 do 520 eur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1D" w:rsidRPr="00991B8A" w:rsidRDefault="000E6B1D" w:rsidP="00991B8A">
            <w:pPr>
              <w:jc w:val="center"/>
              <w:rPr>
                <w:bCs/>
                <w:sz w:val="23"/>
                <w:szCs w:val="23"/>
              </w:rPr>
            </w:pPr>
            <w:r w:rsidRPr="00991B8A">
              <w:t>19 768,10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1D" w:rsidRPr="00991B8A" w:rsidRDefault="000E6B1D" w:rsidP="00991B8A">
            <w:pPr>
              <w:jc w:val="center"/>
              <w:rPr>
                <w:bCs/>
                <w:sz w:val="23"/>
                <w:szCs w:val="23"/>
              </w:rPr>
            </w:pPr>
            <w:r w:rsidRPr="00991B8A">
              <w:t>5,88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1D" w:rsidRPr="00991B8A" w:rsidRDefault="000E6B1D" w:rsidP="00991B8A">
            <w:pPr>
              <w:jc w:val="center"/>
              <w:rPr>
                <w:bCs/>
                <w:sz w:val="23"/>
                <w:szCs w:val="23"/>
              </w:rPr>
            </w:pPr>
            <w:r w:rsidRPr="00991B8A">
              <w:t>1 394 362,70</w:t>
            </w:r>
          </w:p>
        </w:tc>
      </w:tr>
      <w:tr w:rsidR="00991B8A" w:rsidRPr="00991B8A" w:rsidTr="00254BE8">
        <w:trPr>
          <w:trHeight w:val="397"/>
        </w:trPr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D52E4" w:rsidRPr="00991B8A" w:rsidRDefault="000D52E4" w:rsidP="00613C42">
            <w:pPr>
              <w:rPr>
                <w:b/>
                <w:sz w:val="23"/>
                <w:szCs w:val="23"/>
              </w:rPr>
            </w:pPr>
            <w:r w:rsidRPr="00991B8A">
              <w:rPr>
                <w:b/>
                <w:sz w:val="23"/>
                <w:szCs w:val="23"/>
              </w:rPr>
              <w:t>Počty zamestnancov spolu: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D52E4" w:rsidRPr="00991B8A" w:rsidRDefault="001A3E09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97 607,90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D52E4" w:rsidRPr="00991B8A" w:rsidRDefault="000D52E4" w:rsidP="00991B8A">
            <w:pPr>
              <w:jc w:val="center"/>
              <w:rPr>
                <w:b/>
                <w:bCs/>
                <w:sz w:val="23"/>
                <w:szCs w:val="23"/>
              </w:rPr>
            </w:pPr>
            <w:r w:rsidRPr="00991B8A">
              <w:rPr>
                <w:b/>
                <w:bCs/>
                <w:sz w:val="23"/>
                <w:szCs w:val="23"/>
              </w:rPr>
              <w:t>Zvýšenie spolu: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D52E4" w:rsidRPr="00991B8A" w:rsidRDefault="004D2653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9 476 549,26</w:t>
            </w:r>
          </w:p>
        </w:tc>
      </w:tr>
    </w:tbl>
    <w:p w:rsidR="0011757E" w:rsidRPr="00991B8A" w:rsidRDefault="0011757E" w:rsidP="00514394">
      <w:pPr>
        <w:ind w:firstLine="708"/>
      </w:pPr>
    </w:p>
    <w:p w:rsidR="00B53EA9" w:rsidRPr="00991B8A" w:rsidRDefault="00514394" w:rsidP="00514394">
      <w:pPr>
        <w:ind w:firstLine="708"/>
      </w:pPr>
      <w:r w:rsidRPr="00991B8A">
        <w:t xml:space="preserve">Kvantifikácia vplyvu na roky </w:t>
      </w:r>
      <w:r w:rsidR="00E80E64" w:rsidRPr="00991B8A">
        <w:t>2019</w:t>
      </w:r>
      <w:r w:rsidRPr="00991B8A">
        <w:t xml:space="preserve"> až </w:t>
      </w:r>
      <w:r w:rsidR="00E80E64" w:rsidRPr="00991B8A">
        <w:t>2021</w:t>
      </w:r>
      <w:r w:rsidRPr="00991B8A">
        <w:t>:</w:t>
      </w:r>
    </w:p>
    <w:p w:rsidR="00514394" w:rsidRPr="00991B8A" w:rsidRDefault="00514394" w:rsidP="00A0360F">
      <w:pPr>
        <w:rPr>
          <w:i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701"/>
        <w:tblGridChange w:id="11">
          <w:tblGrid>
            <w:gridCol w:w="4077"/>
            <w:gridCol w:w="1701"/>
            <w:gridCol w:w="1701"/>
            <w:gridCol w:w="1701"/>
          </w:tblGrid>
        </w:tblGridChange>
      </w:tblGrid>
      <w:tr w:rsidR="00991B8A" w:rsidRPr="00991B8A" w:rsidTr="00991B8A">
        <w:tc>
          <w:tcPr>
            <w:tcW w:w="4077" w:type="dxa"/>
            <w:vAlign w:val="center"/>
          </w:tcPr>
          <w:p w:rsidR="00965D95" w:rsidRPr="00991B8A" w:rsidRDefault="00965D95" w:rsidP="00604743">
            <w:pPr>
              <w:pStyle w:val="Nzov"/>
              <w:tabs>
                <w:tab w:val="left" w:pos="1800"/>
              </w:tabs>
              <w:jc w:val="left"/>
              <w:rPr>
                <w:bCs/>
                <w:sz w:val="24"/>
                <w:szCs w:val="24"/>
              </w:rPr>
            </w:pPr>
            <w:r w:rsidRPr="00991B8A">
              <w:rPr>
                <w:bCs/>
                <w:sz w:val="24"/>
                <w:szCs w:val="24"/>
              </w:rPr>
              <w:t>Ukazovateľ</w:t>
            </w:r>
          </w:p>
        </w:tc>
        <w:tc>
          <w:tcPr>
            <w:tcW w:w="1701" w:type="dxa"/>
            <w:vAlign w:val="center"/>
          </w:tcPr>
          <w:p w:rsidR="00965D95" w:rsidRPr="00991B8A" w:rsidRDefault="00E80E64" w:rsidP="00991B8A">
            <w:pPr>
              <w:pStyle w:val="Nzov"/>
              <w:tabs>
                <w:tab w:val="left" w:pos="1800"/>
              </w:tabs>
              <w:rPr>
                <w:bCs/>
                <w:sz w:val="24"/>
                <w:szCs w:val="24"/>
              </w:rPr>
            </w:pPr>
            <w:r w:rsidRPr="00991B8A">
              <w:rPr>
                <w:sz w:val="24"/>
                <w:szCs w:val="22"/>
              </w:rPr>
              <w:t>2019</w:t>
            </w:r>
          </w:p>
        </w:tc>
        <w:tc>
          <w:tcPr>
            <w:tcW w:w="1701" w:type="dxa"/>
            <w:vAlign w:val="center"/>
          </w:tcPr>
          <w:p w:rsidR="00965D95" w:rsidRPr="00991B8A" w:rsidRDefault="00E80E64" w:rsidP="00991B8A">
            <w:pPr>
              <w:pStyle w:val="Nzov"/>
              <w:tabs>
                <w:tab w:val="left" w:pos="1800"/>
              </w:tabs>
              <w:rPr>
                <w:bCs/>
                <w:sz w:val="24"/>
                <w:szCs w:val="24"/>
              </w:rPr>
            </w:pPr>
            <w:r w:rsidRPr="00991B8A">
              <w:rPr>
                <w:sz w:val="24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965D95" w:rsidRPr="00991B8A" w:rsidRDefault="00E80E64" w:rsidP="00991B8A">
            <w:pPr>
              <w:pStyle w:val="Nzov"/>
              <w:tabs>
                <w:tab w:val="left" w:pos="1800"/>
              </w:tabs>
              <w:rPr>
                <w:bCs/>
                <w:sz w:val="24"/>
                <w:szCs w:val="24"/>
              </w:rPr>
            </w:pPr>
            <w:r w:rsidRPr="00991B8A">
              <w:rPr>
                <w:sz w:val="24"/>
                <w:szCs w:val="22"/>
              </w:rPr>
              <w:t>2021</w:t>
            </w:r>
          </w:p>
        </w:tc>
      </w:tr>
      <w:tr w:rsidR="00991B8A" w:rsidRPr="00991B8A" w:rsidTr="00991B8A">
        <w:tc>
          <w:tcPr>
            <w:tcW w:w="4077" w:type="dxa"/>
            <w:vAlign w:val="center"/>
          </w:tcPr>
          <w:p w:rsidR="00764176" w:rsidRPr="00991B8A" w:rsidRDefault="00764176" w:rsidP="00604743">
            <w:pPr>
              <w:pStyle w:val="Nzov"/>
              <w:tabs>
                <w:tab w:val="left" w:pos="1800"/>
              </w:tabs>
              <w:jc w:val="left"/>
              <w:rPr>
                <w:bCs/>
                <w:iCs/>
                <w:sz w:val="24"/>
                <w:szCs w:val="24"/>
              </w:rPr>
            </w:pPr>
            <w:r w:rsidRPr="00991B8A">
              <w:rPr>
                <w:bCs/>
                <w:iCs/>
                <w:sz w:val="24"/>
                <w:szCs w:val="24"/>
              </w:rPr>
              <w:t>Zvýšenie odvodov do zdrav. poisťovní v podnikateľskej sfére v eurách ročne</w:t>
            </w:r>
          </w:p>
        </w:tc>
        <w:tc>
          <w:tcPr>
            <w:tcW w:w="1701" w:type="dxa"/>
            <w:vAlign w:val="center"/>
          </w:tcPr>
          <w:p w:rsidR="00764176" w:rsidRPr="00991B8A" w:rsidRDefault="00764176" w:rsidP="00991B8A">
            <w:pPr>
              <w:jc w:val="center"/>
            </w:pPr>
            <w:r w:rsidRPr="00991B8A">
              <w:t>7 069 904,96</w:t>
            </w:r>
          </w:p>
        </w:tc>
        <w:tc>
          <w:tcPr>
            <w:tcW w:w="1701" w:type="dxa"/>
            <w:vAlign w:val="center"/>
          </w:tcPr>
          <w:p w:rsidR="00764176" w:rsidRPr="00991B8A" w:rsidRDefault="00764176" w:rsidP="00991B8A">
            <w:pPr>
              <w:jc w:val="center"/>
              <w:rPr>
                <w:bCs/>
                <w:iCs/>
              </w:rPr>
            </w:pPr>
            <w:r w:rsidRPr="00991B8A">
              <w:t>7 069 904,96</w:t>
            </w:r>
          </w:p>
        </w:tc>
        <w:tc>
          <w:tcPr>
            <w:tcW w:w="1701" w:type="dxa"/>
            <w:vAlign w:val="center"/>
          </w:tcPr>
          <w:p w:rsidR="00764176" w:rsidRPr="00991B8A" w:rsidRDefault="00764176" w:rsidP="00991B8A">
            <w:pPr>
              <w:jc w:val="center"/>
              <w:rPr>
                <w:bCs/>
                <w:iCs/>
              </w:rPr>
            </w:pPr>
            <w:r w:rsidRPr="00991B8A">
              <w:t>7 069 904,96</w:t>
            </w:r>
          </w:p>
        </w:tc>
      </w:tr>
      <w:tr w:rsidR="00991B8A" w:rsidRPr="00991B8A" w:rsidTr="00991B8A">
        <w:tc>
          <w:tcPr>
            <w:tcW w:w="4077" w:type="dxa"/>
            <w:vAlign w:val="center"/>
          </w:tcPr>
          <w:p w:rsidR="00764176" w:rsidRPr="00991B8A" w:rsidRDefault="00764176" w:rsidP="00604743">
            <w:pPr>
              <w:pStyle w:val="Nzov"/>
              <w:tabs>
                <w:tab w:val="left" w:pos="1800"/>
              </w:tabs>
              <w:jc w:val="left"/>
              <w:rPr>
                <w:bCs/>
                <w:iCs/>
                <w:sz w:val="24"/>
                <w:szCs w:val="24"/>
              </w:rPr>
            </w:pPr>
            <w:r w:rsidRPr="00991B8A">
              <w:rPr>
                <w:bCs/>
                <w:iCs/>
                <w:sz w:val="24"/>
                <w:szCs w:val="24"/>
              </w:rPr>
              <w:t>Zvýšenie odvodov do zdrav. poisťovní v nepodnikateľskej sfére v eurách ročne</w:t>
            </w:r>
          </w:p>
        </w:tc>
        <w:tc>
          <w:tcPr>
            <w:tcW w:w="1701" w:type="dxa"/>
            <w:vAlign w:val="center"/>
          </w:tcPr>
          <w:p w:rsidR="00764176" w:rsidRPr="00991B8A" w:rsidRDefault="00764176" w:rsidP="00991B8A">
            <w:pPr>
              <w:jc w:val="center"/>
              <w:rPr>
                <w:bCs/>
              </w:rPr>
            </w:pPr>
            <w:r w:rsidRPr="00991B8A">
              <w:t>2 406 644,30</w:t>
            </w:r>
          </w:p>
        </w:tc>
        <w:tc>
          <w:tcPr>
            <w:tcW w:w="1701" w:type="dxa"/>
            <w:vAlign w:val="center"/>
          </w:tcPr>
          <w:p w:rsidR="00764176" w:rsidRPr="00991B8A" w:rsidRDefault="00764176" w:rsidP="00991B8A">
            <w:pPr>
              <w:jc w:val="center"/>
              <w:rPr>
                <w:bCs/>
              </w:rPr>
            </w:pPr>
            <w:r w:rsidRPr="00991B8A">
              <w:t>2 346 478,19</w:t>
            </w:r>
          </w:p>
        </w:tc>
        <w:tc>
          <w:tcPr>
            <w:tcW w:w="1701" w:type="dxa"/>
            <w:vAlign w:val="center"/>
          </w:tcPr>
          <w:p w:rsidR="00764176" w:rsidRPr="00991B8A" w:rsidRDefault="00764176" w:rsidP="00991B8A">
            <w:pPr>
              <w:jc w:val="center"/>
              <w:rPr>
                <w:bCs/>
              </w:rPr>
            </w:pPr>
            <w:r w:rsidRPr="00991B8A">
              <w:t>2 286 312,09</w:t>
            </w:r>
          </w:p>
        </w:tc>
      </w:tr>
      <w:tr w:rsidR="00254BE8" w:rsidRPr="00991B8A" w:rsidTr="00254BE8">
        <w:tc>
          <w:tcPr>
            <w:tcW w:w="4077" w:type="dxa"/>
            <w:shd w:val="clear" w:color="auto" w:fill="FFFFCC"/>
            <w:vAlign w:val="center"/>
          </w:tcPr>
          <w:p w:rsidR="00764176" w:rsidRPr="00991B8A" w:rsidRDefault="00764176" w:rsidP="00604743">
            <w:pPr>
              <w:pStyle w:val="Nzov"/>
              <w:tabs>
                <w:tab w:val="left" w:pos="1800"/>
              </w:tabs>
              <w:jc w:val="left"/>
              <w:rPr>
                <w:b/>
                <w:spacing w:val="-2"/>
                <w:sz w:val="24"/>
                <w:szCs w:val="24"/>
              </w:rPr>
            </w:pPr>
            <w:r w:rsidRPr="00991B8A">
              <w:rPr>
                <w:b/>
                <w:sz w:val="24"/>
                <w:szCs w:val="24"/>
              </w:rPr>
              <w:t xml:space="preserve">Zvýšenie príjmov </w:t>
            </w:r>
            <w:r w:rsidRPr="00991B8A">
              <w:rPr>
                <w:b/>
                <w:spacing w:val="-2"/>
                <w:sz w:val="24"/>
                <w:szCs w:val="24"/>
              </w:rPr>
              <w:t>zdravotných poisťovní v eurách ročne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764176" w:rsidRPr="00991B8A" w:rsidRDefault="00764176" w:rsidP="00991B8A">
            <w:pPr>
              <w:jc w:val="center"/>
              <w:rPr>
                <w:b/>
              </w:rPr>
            </w:pPr>
            <w:r w:rsidRPr="00991B8A">
              <w:rPr>
                <w:b/>
              </w:rPr>
              <w:t>9 476 549,26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764176" w:rsidRPr="00991B8A" w:rsidRDefault="00764176" w:rsidP="00991B8A">
            <w:pPr>
              <w:jc w:val="center"/>
              <w:rPr>
                <w:b/>
              </w:rPr>
            </w:pPr>
            <w:r w:rsidRPr="00991B8A">
              <w:rPr>
                <w:b/>
              </w:rPr>
              <w:t>9 416 383,15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764176" w:rsidRPr="00991B8A" w:rsidRDefault="00764176" w:rsidP="00991B8A">
            <w:pPr>
              <w:jc w:val="center"/>
              <w:rPr>
                <w:b/>
              </w:rPr>
            </w:pPr>
            <w:r w:rsidRPr="00991B8A">
              <w:rPr>
                <w:b/>
              </w:rPr>
              <w:t>9 356 217,05</w:t>
            </w:r>
          </w:p>
        </w:tc>
      </w:tr>
    </w:tbl>
    <w:p w:rsidR="002A5D7C" w:rsidRPr="00991B8A" w:rsidRDefault="002A5D7C" w:rsidP="00A0360F">
      <w:pPr>
        <w:pStyle w:val="Nzov"/>
        <w:jc w:val="both"/>
        <w:rPr>
          <w:sz w:val="24"/>
          <w:szCs w:val="24"/>
        </w:rPr>
      </w:pPr>
    </w:p>
    <w:p w:rsidR="002A5D7C" w:rsidRPr="00991B8A" w:rsidRDefault="002A5D7C" w:rsidP="00A0360F">
      <w:pPr>
        <w:pStyle w:val="Nzov"/>
        <w:ind w:firstLine="720"/>
        <w:jc w:val="both"/>
        <w:rPr>
          <w:sz w:val="24"/>
          <w:szCs w:val="24"/>
        </w:rPr>
      </w:pPr>
    </w:p>
    <w:p w:rsidR="00995E7F" w:rsidRPr="00991B8A" w:rsidRDefault="002A5D7C" w:rsidP="00A0360F">
      <w:pPr>
        <w:pStyle w:val="Nzov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91B8A">
        <w:rPr>
          <w:b/>
          <w:sz w:val="24"/>
          <w:szCs w:val="24"/>
        </w:rPr>
        <w:t xml:space="preserve">Výpočet vplyvu zvýšenia sumy minimálnej mzdy na príjem štátneho rozpočtu </w:t>
      </w:r>
    </w:p>
    <w:p w:rsidR="00995E7F" w:rsidRPr="00991B8A" w:rsidRDefault="00995E7F" w:rsidP="00A0360F">
      <w:pPr>
        <w:pStyle w:val="Nzov"/>
        <w:ind w:left="720"/>
        <w:jc w:val="both"/>
        <w:rPr>
          <w:b/>
          <w:sz w:val="24"/>
          <w:szCs w:val="24"/>
        </w:rPr>
      </w:pPr>
    </w:p>
    <w:p w:rsidR="00442F5D" w:rsidRPr="00991B8A" w:rsidRDefault="00995E7F" w:rsidP="00A0360F">
      <w:pPr>
        <w:pStyle w:val="Nzov"/>
        <w:jc w:val="both"/>
        <w:rPr>
          <w:sz w:val="24"/>
          <w:szCs w:val="24"/>
          <w:u w:val="single"/>
        </w:rPr>
      </w:pPr>
      <w:r w:rsidRPr="00991B8A">
        <w:rPr>
          <w:sz w:val="24"/>
          <w:szCs w:val="24"/>
        </w:rPr>
        <w:t xml:space="preserve">D.1 </w:t>
      </w:r>
      <w:r w:rsidR="00A0360F" w:rsidRPr="00991B8A">
        <w:rPr>
          <w:sz w:val="24"/>
          <w:szCs w:val="24"/>
        </w:rPr>
        <w:tab/>
      </w:r>
      <w:r w:rsidRPr="00991B8A">
        <w:rPr>
          <w:sz w:val="24"/>
          <w:szCs w:val="24"/>
          <w:u w:val="single"/>
        </w:rPr>
        <w:t>Vplyv v položke ekonomickej klasifikácie 1</w:t>
      </w:r>
      <w:r w:rsidR="00E54305" w:rsidRPr="00991B8A">
        <w:rPr>
          <w:sz w:val="24"/>
          <w:szCs w:val="24"/>
          <w:u w:val="single"/>
        </w:rPr>
        <w:t>1</w:t>
      </w:r>
      <w:r w:rsidRPr="00991B8A">
        <w:rPr>
          <w:sz w:val="24"/>
          <w:szCs w:val="24"/>
          <w:u w:val="single"/>
        </w:rPr>
        <w:t xml:space="preserve">1 – Daň z príjmov fyzickej osoby </w:t>
      </w:r>
    </w:p>
    <w:p w:rsidR="00A0360F" w:rsidRPr="00991B8A" w:rsidRDefault="00A0360F" w:rsidP="00A0360F">
      <w:pPr>
        <w:pStyle w:val="Nzov"/>
        <w:ind w:firstLine="709"/>
        <w:jc w:val="both"/>
        <w:rPr>
          <w:sz w:val="24"/>
          <w:szCs w:val="24"/>
        </w:rPr>
      </w:pPr>
    </w:p>
    <w:p w:rsidR="00442F5D" w:rsidRPr="00991B8A" w:rsidRDefault="00A37A61" w:rsidP="00A0360F">
      <w:pPr>
        <w:pStyle w:val="Nzov"/>
        <w:ind w:firstLine="709"/>
        <w:jc w:val="both"/>
        <w:rPr>
          <w:sz w:val="24"/>
          <w:szCs w:val="24"/>
        </w:rPr>
      </w:pPr>
      <w:r w:rsidRPr="00991B8A">
        <w:rPr>
          <w:sz w:val="24"/>
          <w:szCs w:val="24"/>
        </w:rPr>
        <w:t>Príjmom verejného rozpočtu je zvýšenie dane z príjmov z dôvodu zvýšenia sumy minimálnej mzdy z </w:t>
      </w:r>
      <w:r w:rsidR="00E80E64" w:rsidRPr="00991B8A">
        <w:rPr>
          <w:sz w:val="24"/>
          <w:szCs w:val="24"/>
        </w:rPr>
        <w:t>480 eur</w:t>
      </w:r>
      <w:r w:rsidRPr="00991B8A">
        <w:rPr>
          <w:sz w:val="24"/>
          <w:szCs w:val="24"/>
        </w:rPr>
        <w:t xml:space="preserve"> na </w:t>
      </w:r>
      <w:r w:rsidR="00E80E64" w:rsidRPr="00991B8A">
        <w:rPr>
          <w:sz w:val="24"/>
          <w:szCs w:val="24"/>
        </w:rPr>
        <w:t>520 eur</w:t>
      </w:r>
      <w:r w:rsidRPr="00991B8A">
        <w:rPr>
          <w:sz w:val="24"/>
          <w:szCs w:val="24"/>
        </w:rPr>
        <w:t xml:space="preserve"> mesačne:</w:t>
      </w:r>
    </w:p>
    <w:p w:rsidR="00442F5D" w:rsidRPr="00991B8A" w:rsidRDefault="00442F5D" w:rsidP="00A0360F">
      <w:pPr>
        <w:pStyle w:val="Nzov"/>
        <w:ind w:firstLine="709"/>
        <w:jc w:val="both"/>
        <w:rPr>
          <w:sz w:val="24"/>
          <w:szCs w:val="24"/>
        </w:rPr>
      </w:pPr>
    </w:p>
    <w:tbl>
      <w:tblPr>
        <w:tblW w:w="918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1082"/>
        <w:gridCol w:w="992"/>
        <w:gridCol w:w="1044"/>
        <w:gridCol w:w="992"/>
      </w:tblGrid>
      <w:tr w:rsidR="00B723BB" w:rsidRPr="00991B8A" w:rsidTr="00604743">
        <w:trPr>
          <w:trHeight w:hRule="exact" w:val="300"/>
        </w:trPr>
        <w:tc>
          <w:tcPr>
            <w:tcW w:w="5079" w:type="dxa"/>
            <w:vMerge w:val="restart"/>
            <w:noWrap/>
            <w:vAlign w:val="center"/>
            <w:hideMark/>
          </w:tcPr>
          <w:p w:rsidR="00B723BB" w:rsidRPr="00991B8A" w:rsidRDefault="00B723BB" w:rsidP="00604743">
            <w:pPr>
              <w:rPr>
                <w:rFonts w:eastAsia="Arial Unicode MS"/>
                <w:b/>
                <w:bCs/>
              </w:rPr>
            </w:pPr>
            <w:r w:rsidRPr="00991B8A">
              <w:rPr>
                <w:rFonts w:eastAsia="Arial Unicode MS"/>
                <w:b/>
                <w:bCs/>
              </w:rPr>
              <w:t>Príjem zo závislej činnosti vo výške:</w:t>
            </w:r>
          </w:p>
        </w:tc>
        <w:tc>
          <w:tcPr>
            <w:tcW w:w="2074" w:type="dxa"/>
            <w:gridSpan w:val="2"/>
            <w:vAlign w:val="center"/>
          </w:tcPr>
          <w:p w:rsidR="00B723BB" w:rsidRPr="00991B8A" w:rsidRDefault="00BC6486" w:rsidP="006106F6">
            <w:pPr>
              <w:jc w:val="center"/>
              <w:rPr>
                <w:rFonts w:eastAsia="Arial Unicode MS"/>
                <w:b/>
                <w:bCs/>
              </w:rPr>
            </w:pPr>
            <w:r w:rsidRPr="00991B8A">
              <w:rPr>
                <w:rFonts w:eastAsia="Arial Unicode MS"/>
                <w:b/>
                <w:bCs/>
              </w:rPr>
              <w:t>480</w:t>
            </w:r>
            <w:r w:rsidR="00B723BB" w:rsidRPr="00991B8A">
              <w:rPr>
                <w:rFonts w:eastAsia="Arial Unicode MS"/>
                <w:b/>
                <w:bCs/>
              </w:rPr>
              <w:t xml:space="preserve"> €</w:t>
            </w:r>
          </w:p>
        </w:tc>
        <w:tc>
          <w:tcPr>
            <w:tcW w:w="2036" w:type="dxa"/>
            <w:gridSpan w:val="2"/>
            <w:vAlign w:val="center"/>
          </w:tcPr>
          <w:p w:rsidR="00B723BB" w:rsidRPr="00991B8A" w:rsidRDefault="00BC6486" w:rsidP="008E076F">
            <w:pPr>
              <w:jc w:val="center"/>
              <w:rPr>
                <w:rFonts w:eastAsia="Arial Unicode MS"/>
                <w:b/>
                <w:bCs/>
              </w:rPr>
            </w:pPr>
            <w:r w:rsidRPr="00991B8A">
              <w:rPr>
                <w:rFonts w:eastAsia="Arial Unicode MS"/>
                <w:b/>
                <w:bCs/>
              </w:rPr>
              <w:t>520 €</w:t>
            </w:r>
          </w:p>
        </w:tc>
      </w:tr>
      <w:tr w:rsidR="00B723BB" w:rsidRPr="00991B8A" w:rsidTr="00604743">
        <w:trPr>
          <w:trHeight w:hRule="exact" w:val="300"/>
        </w:trPr>
        <w:tc>
          <w:tcPr>
            <w:tcW w:w="5079" w:type="dxa"/>
            <w:vMerge/>
            <w:noWrap/>
            <w:vAlign w:val="center"/>
          </w:tcPr>
          <w:p w:rsidR="00B723BB" w:rsidRPr="00991B8A" w:rsidRDefault="00B723BB" w:rsidP="00604743"/>
        </w:tc>
        <w:tc>
          <w:tcPr>
            <w:tcW w:w="1082" w:type="dxa"/>
            <w:noWrap/>
            <w:vAlign w:val="center"/>
          </w:tcPr>
          <w:p w:rsidR="00B723BB" w:rsidRPr="00991B8A" w:rsidRDefault="00B723BB" w:rsidP="006106F6">
            <w:pPr>
              <w:jc w:val="center"/>
              <w:rPr>
                <w:rFonts w:eastAsia="Arial Unicode MS"/>
              </w:rPr>
            </w:pPr>
            <w:r w:rsidRPr="00991B8A">
              <w:rPr>
                <w:rFonts w:eastAsia="Arial Unicode MS"/>
                <w:bCs/>
              </w:rPr>
              <w:t>Sadzba</w:t>
            </w:r>
          </w:p>
        </w:tc>
        <w:tc>
          <w:tcPr>
            <w:tcW w:w="992" w:type="dxa"/>
            <w:noWrap/>
            <w:vAlign w:val="center"/>
          </w:tcPr>
          <w:p w:rsidR="00B723BB" w:rsidRPr="00991B8A" w:rsidRDefault="00B723BB" w:rsidP="008E076F">
            <w:pPr>
              <w:jc w:val="center"/>
              <w:rPr>
                <w:rFonts w:eastAsia="Arial Unicode MS"/>
              </w:rPr>
            </w:pPr>
            <w:r w:rsidRPr="00991B8A">
              <w:rPr>
                <w:rFonts w:eastAsia="Arial Unicode MS"/>
              </w:rPr>
              <w:t>Suma</w:t>
            </w:r>
          </w:p>
        </w:tc>
        <w:tc>
          <w:tcPr>
            <w:tcW w:w="1044" w:type="dxa"/>
            <w:vAlign w:val="center"/>
          </w:tcPr>
          <w:p w:rsidR="00B723BB" w:rsidRPr="00991B8A" w:rsidRDefault="00B723BB" w:rsidP="002861AD">
            <w:pPr>
              <w:jc w:val="center"/>
              <w:rPr>
                <w:rFonts w:eastAsia="Arial Unicode MS"/>
              </w:rPr>
            </w:pPr>
            <w:r w:rsidRPr="00991B8A">
              <w:rPr>
                <w:rFonts w:eastAsia="Arial Unicode MS"/>
                <w:bCs/>
              </w:rPr>
              <w:t>Sadzba</w:t>
            </w:r>
          </w:p>
        </w:tc>
        <w:tc>
          <w:tcPr>
            <w:tcW w:w="992" w:type="dxa"/>
            <w:vAlign w:val="center"/>
          </w:tcPr>
          <w:p w:rsidR="00B723BB" w:rsidRPr="00991B8A" w:rsidRDefault="00B723BB" w:rsidP="00614432">
            <w:pPr>
              <w:jc w:val="center"/>
              <w:rPr>
                <w:rFonts w:eastAsia="Arial Unicode MS"/>
              </w:rPr>
            </w:pPr>
            <w:r w:rsidRPr="00991B8A">
              <w:rPr>
                <w:rFonts w:eastAsia="Arial Unicode MS"/>
              </w:rPr>
              <w:t>Suma</w:t>
            </w:r>
          </w:p>
        </w:tc>
      </w:tr>
      <w:tr w:rsidR="00006778" w:rsidRPr="00991B8A" w:rsidTr="00604743">
        <w:trPr>
          <w:trHeight w:hRule="exact" w:val="397"/>
        </w:trPr>
        <w:tc>
          <w:tcPr>
            <w:tcW w:w="5079" w:type="dxa"/>
            <w:noWrap/>
            <w:vAlign w:val="center"/>
            <w:hideMark/>
          </w:tcPr>
          <w:p w:rsidR="00006778" w:rsidRPr="00991B8A" w:rsidRDefault="00006778" w:rsidP="00604743">
            <w:r w:rsidRPr="00991B8A">
              <w:rPr>
                <w:rFonts w:eastAsia="Arial Unicode MS"/>
              </w:rPr>
              <w:t>- zdravotné poistenie</w:t>
            </w:r>
          </w:p>
        </w:tc>
        <w:tc>
          <w:tcPr>
            <w:tcW w:w="1082" w:type="dxa"/>
            <w:noWrap/>
            <w:vAlign w:val="center"/>
          </w:tcPr>
          <w:p w:rsidR="00006778" w:rsidRPr="00991B8A" w:rsidRDefault="00006778" w:rsidP="00604743">
            <w:pPr>
              <w:jc w:val="center"/>
              <w:rPr>
                <w:rFonts w:eastAsia="Arial Unicode MS"/>
              </w:rPr>
            </w:pPr>
            <w:r w:rsidRPr="00991B8A">
              <w:t>2,50%</w:t>
            </w:r>
          </w:p>
        </w:tc>
        <w:tc>
          <w:tcPr>
            <w:tcW w:w="992" w:type="dxa"/>
            <w:noWrap/>
            <w:vAlign w:val="center"/>
          </w:tcPr>
          <w:p w:rsidR="00006778" w:rsidRPr="00991B8A" w:rsidRDefault="00006778" w:rsidP="00604743">
            <w:pPr>
              <w:jc w:val="center"/>
              <w:rPr>
                <w:rFonts w:eastAsia="Arial Unicode MS"/>
              </w:rPr>
            </w:pPr>
            <w:r w:rsidRPr="00991B8A">
              <w:t>12,00 €</w:t>
            </w:r>
          </w:p>
        </w:tc>
        <w:tc>
          <w:tcPr>
            <w:tcW w:w="1044" w:type="dxa"/>
            <w:vAlign w:val="center"/>
          </w:tcPr>
          <w:p w:rsidR="00006778" w:rsidRPr="00991B8A" w:rsidRDefault="00006778" w:rsidP="00604743">
            <w:pPr>
              <w:jc w:val="center"/>
              <w:rPr>
                <w:rFonts w:eastAsia="Arial Unicode MS"/>
              </w:rPr>
            </w:pPr>
            <w:r w:rsidRPr="00991B8A">
              <w:t>3,23%</w:t>
            </w:r>
          </w:p>
        </w:tc>
        <w:tc>
          <w:tcPr>
            <w:tcW w:w="992" w:type="dxa"/>
            <w:vAlign w:val="center"/>
          </w:tcPr>
          <w:p w:rsidR="00006778" w:rsidRPr="00991B8A" w:rsidRDefault="00006778" w:rsidP="00604743">
            <w:pPr>
              <w:jc w:val="center"/>
              <w:rPr>
                <w:rFonts w:eastAsia="Arial Unicode MS"/>
              </w:rPr>
            </w:pPr>
            <w:r w:rsidRPr="00991B8A">
              <w:t>16,80 €</w:t>
            </w:r>
          </w:p>
        </w:tc>
      </w:tr>
      <w:tr w:rsidR="00006778" w:rsidRPr="00991B8A" w:rsidTr="00604743">
        <w:trPr>
          <w:trHeight w:hRule="exact" w:val="397"/>
        </w:trPr>
        <w:tc>
          <w:tcPr>
            <w:tcW w:w="5079" w:type="dxa"/>
            <w:noWrap/>
            <w:vAlign w:val="center"/>
            <w:hideMark/>
          </w:tcPr>
          <w:p w:rsidR="00006778" w:rsidRPr="00991B8A" w:rsidRDefault="00006778" w:rsidP="00604743">
            <w:r w:rsidRPr="00991B8A">
              <w:rPr>
                <w:rFonts w:eastAsia="Arial Unicode MS"/>
              </w:rPr>
              <w:t>- sociálne poistenie spolu</w:t>
            </w:r>
          </w:p>
        </w:tc>
        <w:tc>
          <w:tcPr>
            <w:tcW w:w="1082" w:type="dxa"/>
            <w:noWrap/>
            <w:vAlign w:val="center"/>
          </w:tcPr>
          <w:p w:rsidR="00006778" w:rsidRPr="00991B8A" w:rsidRDefault="00006778" w:rsidP="00604743">
            <w:pPr>
              <w:jc w:val="center"/>
              <w:rPr>
                <w:rFonts w:eastAsia="Arial Unicode MS"/>
              </w:rPr>
            </w:pPr>
            <w:r w:rsidRPr="00991B8A">
              <w:t>9,40%</w:t>
            </w:r>
          </w:p>
        </w:tc>
        <w:tc>
          <w:tcPr>
            <w:tcW w:w="992" w:type="dxa"/>
            <w:noWrap/>
            <w:vAlign w:val="center"/>
          </w:tcPr>
          <w:p w:rsidR="00006778" w:rsidRPr="00991B8A" w:rsidRDefault="00006778" w:rsidP="00604743">
            <w:pPr>
              <w:jc w:val="center"/>
              <w:rPr>
                <w:rFonts w:eastAsia="Arial Unicode MS"/>
              </w:rPr>
            </w:pPr>
            <w:r w:rsidRPr="00991B8A">
              <w:t>45,12 €</w:t>
            </w:r>
          </w:p>
        </w:tc>
        <w:tc>
          <w:tcPr>
            <w:tcW w:w="1044" w:type="dxa"/>
            <w:vAlign w:val="center"/>
          </w:tcPr>
          <w:p w:rsidR="00006778" w:rsidRPr="00991B8A" w:rsidRDefault="00006778" w:rsidP="00604743">
            <w:pPr>
              <w:jc w:val="center"/>
              <w:rPr>
                <w:rFonts w:eastAsia="Arial Unicode MS"/>
              </w:rPr>
            </w:pPr>
            <w:r w:rsidRPr="00991B8A">
              <w:t>9,40%</w:t>
            </w:r>
          </w:p>
        </w:tc>
        <w:tc>
          <w:tcPr>
            <w:tcW w:w="992" w:type="dxa"/>
            <w:vAlign w:val="center"/>
          </w:tcPr>
          <w:p w:rsidR="00006778" w:rsidRPr="00991B8A" w:rsidRDefault="00006778" w:rsidP="00604743">
            <w:pPr>
              <w:jc w:val="center"/>
              <w:rPr>
                <w:rFonts w:eastAsia="Arial Unicode MS"/>
              </w:rPr>
            </w:pPr>
            <w:r w:rsidRPr="00991B8A">
              <w:t>48,88 €</w:t>
            </w:r>
          </w:p>
        </w:tc>
      </w:tr>
      <w:tr w:rsidR="00006778" w:rsidRPr="00991B8A" w:rsidTr="00604743">
        <w:trPr>
          <w:trHeight w:hRule="exact" w:val="397"/>
        </w:trPr>
        <w:tc>
          <w:tcPr>
            <w:tcW w:w="5079" w:type="dxa"/>
            <w:noWrap/>
            <w:vAlign w:val="center"/>
            <w:hideMark/>
          </w:tcPr>
          <w:p w:rsidR="00006778" w:rsidRPr="00991B8A" w:rsidRDefault="00006778" w:rsidP="00604743">
            <w:pPr>
              <w:rPr>
                <w:rFonts w:eastAsia="Arial Unicode MS"/>
                <w:b/>
                <w:bCs/>
              </w:rPr>
            </w:pPr>
            <w:r w:rsidRPr="00991B8A">
              <w:rPr>
                <w:b/>
                <w:bCs/>
              </w:rPr>
              <w:t>Odvody poistného za zamestnanca</w:t>
            </w:r>
          </w:p>
        </w:tc>
        <w:tc>
          <w:tcPr>
            <w:tcW w:w="1082" w:type="dxa"/>
            <w:noWrap/>
            <w:vAlign w:val="center"/>
          </w:tcPr>
          <w:p w:rsidR="00006778" w:rsidRPr="00991B8A" w:rsidRDefault="00006778" w:rsidP="00604743">
            <w:pPr>
              <w:jc w:val="center"/>
              <w:rPr>
                <w:rFonts w:eastAsia="Arial Unicode MS"/>
                <w:b/>
                <w:bCs/>
              </w:rPr>
            </w:pPr>
            <w:r w:rsidRPr="00991B8A">
              <w:rPr>
                <w:b/>
                <w:bCs/>
              </w:rPr>
              <w:t>11,90%</w:t>
            </w:r>
          </w:p>
        </w:tc>
        <w:tc>
          <w:tcPr>
            <w:tcW w:w="992" w:type="dxa"/>
            <w:noWrap/>
            <w:vAlign w:val="center"/>
          </w:tcPr>
          <w:p w:rsidR="00006778" w:rsidRPr="00991B8A" w:rsidRDefault="00006778" w:rsidP="00604743">
            <w:pPr>
              <w:jc w:val="center"/>
              <w:rPr>
                <w:rFonts w:eastAsia="Arial Unicode MS"/>
                <w:b/>
                <w:bCs/>
              </w:rPr>
            </w:pPr>
            <w:r w:rsidRPr="00991B8A">
              <w:rPr>
                <w:b/>
                <w:bCs/>
              </w:rPr>
              <w:t>57,12 €</w:t>
            </w:r>
          </w:p>
        </w:tc>
        <w:tc>
          <w:tcPr>
            <w:tcW w:w="1044" w:type="dxa"/>
            <w:vAlign w:val="center"/>
          </w:tcPr>
          <w:p w:rsidR="00006778" w:rsidRPr="00991B8A" w:rsidRDefault="00006778" w:rsidP="00604743">
            <w:pPr>
              <w:jc w:val="center"/>
              <w:rPr>
                <w:rFonts w:eastAsia="Arial Unicode MS"/>
                <w:b/>
              </w:rPr>
            </w:pPr>
            <w:r w:rsidRPr="00991B8A">
              <w:rPr>
                <w:b/>
                <w:bCs/>
              </w:rPr>
              <w:t>12,63%</w:t>
            </w:r>
          </w:p>
        </w:tc>
        <w:tc>
          <w:tcPr>
            <w:tcW w:w="992" w:type="dxa"/>
            <w:vAlign w:val="center"/>
          </w:tcPr>
          <w:p w:rsidR="00006778" w:rsidRPr="00991B8A" w:rsidRDefault="00006778" w:rsidP="00604743">
            <w:pPr>
              <w:jc w:val="center"/>
              <w:rPr>
                <w:rFonts w:eastAsia="Arial Unicode MS"/>
                <w:b/>
              </w:rPr>
            </w:pPr>
            <w:r w:rsidRPr="00991B8A">
              <w:rPr>
                <w:b/>
                <w:bCs/>
              </w:rPr>
              <w:t>65,68 €</w:t>
            </w:r>
          </w:p>
        </w:tc>
      </w:tr>
      <w:tr w:rsidR="00006778" w:rsidRPr="00991B8A" w:rsidTr="00604743">
        <w:trPr>
          <w:trHeight w:hRule="exact" w:val="300"/>
        </w:trPr>
        <w:tc>
          <w:tcPr>
            <w:tcW w:w="5079" w:type="dxa"/>
            <w:noWrap/>
            <w:vAlign w:val="center"/>
            <w:hideMark/>
          </w:tcPr>
          <w:p w:rsidR="00006778" w:rsidRPr="00991B8A" w:rsidRDefault="00006778" w:rsidP="00604743">
            <w:pPr>
              <w:rPr>
                <w:rFonts w:eastAsia="Arial Unicode MS"/>
                <w:b/>
                <w:bCs/>
              </w:rPr>
            </w:pPr>
            <w:r w:rsidRPr="00991B8A">
              <w:rPr>
                <w:rFonts w:eastAsia="Arial Unicode MS"/>
                <w:b/>
                <w:bCs/>
              </w:rPr>
              <w:t>Príjem znížený o odvody poistného</w:t>
            </w:r>
          </w:p>
        </w:tc>
        <w:tc>
          <w:tcPr>
            <w:tcW w:w="2074" w:type="dxa"/>
            <w:gridSpan w:val="2"/>
            <w:noWrap/>
            <w:vAlign w:val="center"/>
          </w:tcPr>
          <w:p w:rsidR="00006778" w:rsidRPr="00991B8A" w:rsidRDefault="00006778" w:rsidP="006106F6">
            <w:pPr>
              <w:jc w:val="center"/>
              <w:rPr>
                <w:rFonts w:eastAsia="Arial Unicode MS"/>
                <w:b/>
              </w:rPr>
            </w:pPr>
            <w:r w:rsidRPr="00991B8A">
              <w:rPr>
                <w:b/>
                <w:bCs/>
              </w:rPr>
              <w:t>422,88 €</w:t>
            </w:r>
          </w:p>
        </w:tc>
        <w:tc>
          <w:tcPr>
            <w:tcW w:w="2036" w:type="dxa"/>
            <w:gridSpan w:val="2"/>
            <w:vAlign w:val="center"/>
          </w:tcPr>
          <w:p w:rsidR="00006778" w:rsidRPr="00991B8A" w:rsidRDefault="00006778" w:rsidP="008E076F">
            <w:pPr>
              <w:jc w:val="center"/>
              <w:rPr>
                <w:rFonts w:eastAsia="Arial Unicode MS"/>
                <w:b/>
              </w:rPr>
            </w:pPr>
            <w:r w:rsidRPr="00991B8A">
              <w:rPr>
                <w:b/>
                <w:bCs/>
              </w:rPr>
              <w:t>454,32 €</w:t>
            </w:r>
          </w:p>
        </w:tc>
      </w:tr>
      <w:tr w:rsidR="00006778" w:rsidRPr="00991B8A" w:rsidTr="00604743">
        <w:trPr>
          <w:trHeight w:hRule="exact" w:val="300"/>
        </w:trPr>
        <w:tc>
          <w:tcPr>
            <w:tcW w:w="5079" w:type="dxa"/>
            <w:noWrap/>
            <w:vAlign w:val="center"/>
            <w:hideMark/>
          </w:tcPr>
          <w:p w:rsidR="00006778" w:rsidRPr="00991B8A" w:rsidRDefault="00006778" w:rsidP="00604743">
            <w:pPr>
              <w:rPr>
                <w:i/>
              </w:rPr>
            </w:pPr>
            <w:r w:rsidRPr="00991B8A">
              <w:rPr>
                <w:rFonts w:eastAsia="Arial Unicode MS"/>
                <w:bCs/>
                <w:i/>
              </w:rPr>
              <w:t>Odpočítateľná položka v eurách mesačne:</w:t>
            </w:r>
          </w:p>
        </w:tc>
        <w:tc>
          <w:tcPr>
            <w:tcW w:w="2074" w:type="dxa"/>
            <w:gridSpan w:val="2"/>
            <w:noWrap/>
            <w:vAlign w:val="center"/>
          </w:tcPr>
          <w:p w:rsidR="00006778" w:rsidRPr="00991B8A" w:rsidRDefault="00006778" w:rsidP="006106F6">
            <w:pPr>
              <w:jc w:val="center"/>
              <w:rPr>
                <w:rFonts w:eastAsia="Arial Unicode MS"/>
                <w:i/>
              </w:rPr>
            </w:pPr>
            <w:r w:rsidRPr="00991B8A">
              <w:rPr>
                <w:i/>
                <w:iCs/>
              </w:rPr>
              <w:t>319,17</w:t>
            </w:r>
          </w:p>
        </w:tc>
        <w:tc>
          <w:tcPr>
            <w:tcW w:w="2036" w:type="dxa"/>
            <w:gridSpan w:val="2"/>
            <w:vAlign w:val="center"/>
          </w:tcPr>
          <w:p w:rsidR="00006778" w:rsidRPr="00991B8A" w:rsidRDefault="00006778" w:rsidP="008E076F">
            <w:pPr>
              <w:jc w:val="center"/>
              <w:rPr>
                <w:rFonts w:eastAsia="Arial Unicode MS"/>
                <w:i/>
              </w:rPr>
            </w:pPr>
            <w:r w:rsidRPr="00991B8A">
              <w:rPr>
                <w:i/>
                <w:iCs/>
              </w:rPr>
              <w:t>328,11</w:t>
            </w:r>
          </w:p>
        </w:tc>
      </w:tr>
      <w:tr w:rsidR="00006778" w:rsidRPr="00991B8A" w:rsidTr="00604743">
        <w:trPr>
          <w:trHeight w:hRule="exact" w:val="300"/>
        </w:trPr>
        <w:tc>
          <w:tcPr>
            <w:tcW w:w="5079" w:type="dxa"/>
            <w:noWrap/>
            <w:vAlign w:val="center"/>
          </w:tcPr>
          <w:p w:rsidR="00006778" w:rsidRPr="00991B8A" w:rsidRDefault="00006778" w:rsidP="00604743">
            <w:pPr>
              <w:rPr>
                <w:bCs/>
                <w:i/>
              </w:rPr>
            </w:pPr>
            <w:r w:rsidRPr="00991B8A">
              <w:rPr>
                <w:bCs/>
                <w:i/>
              </w:rPr>
              <w:t>Suma podliehajúca dani z príjmov (základ dane)</w:t>
            </w:r>
          </w:p>
        </w:tc>
        <w:tc>
          <w:tcPr>
            <w:tcW w:w="2074" w:type="dxa"/>
            <w:gridSpan w:val="2"/>
            <w:noWrap/>
            <w:vAlign w:val="center"/>
          </w:tcPr>
          <w:p w:rsidR="00006778" w:rsidRPr="00991B8A" w:rsidRDefault="00006778" w:rsidP="006106F6">
            <w:pPr>
              <w:jc w:val="center"/>
              <w:rPr>
                <w:rFonts w:eastAsia="Arial Unicode MS"/>
                <w:bCs/>
                <w:i/>
              </w:rPr>
            </w:pPr>
            <w:r w:rsidRPr="00991B8A">
              <w:rPr>
                <w:i/>
                <w:iCs/>
              </w:rPr>
              <w:t>103,71 €</w:t>
            </w:r>
          </w:p>
        </w:tc>
        <w:tc>
          <w:tcPr>
            <w:tcW w:w="2036" w:type="dxa"/>
            <w:gridSpan w:val="2"/>
            <w:vAlign w:val="center"/>
          </w:tcPr>
          <w:p w:rsidR="00006778" w:rsidRPr="00991B8A" w:rsidRDefault="00006778" w:rsidP="008E076F">
            <w:pPr>
              <w:jc w:val="center"/>
              <w:rPr>
                <w:rFonts w:eastAsia="Arial Unicode MS"/>
                <w:bCs/>
                <w:i/>
              </w:rPr>
            </w:pPr>
            <w:r w:rsidRPr="00991B8A">
              <w:rPr>
                <w:i/>
                <w:iCs/>
              </w:rPr>
              <w:t>126,21 €</w:t>
            </w:r>
          </w:p>
        </w:tc>
      </w:tr>
      <w:tr w:rsidR="00006778" w:rsidRPr="00991B8A" w:rsidTr="00604743">
        <w:trPr>
          <w:trHeight w:hRule="exact" w:val="389"/>
        </w:trPr>
        <w:tc>
          <w:tcPr>
            <w:tcW w:w="5079" w:type="dxa"/>
            <w:noWrap/>
            <w:vAlign w:val="center"/>
          </w:tcPr>
          <w:p w:rsidR="00006778" w:rsidRPr="00991B8A" w:rsidRDefault="00006778" w:rsidP="00604743">
            <w:pPr>
              <w:rPr>
                <w:b/>
                <w:bCs/>
              </w:rPr>
            </w:pPr>
            <w:r w:rsidRPr="00991B8A">
              <w:rPr>
                <w:b/>
                <w:bCs/>
              </w:rPr>
              <w:t xml:space="preserve">Daň z príjmov zo závislej činnosti </w:t>
            </w:r>
            <w:r w:rsidRPr="00991B8A">
              <w:rPr>
                <w:bCs/>
              </w:rPr>
              <w:t>(19 % zákl.)</w:t>
            </w:r>
          </w:p>
        </w:tc>
        <w:tc>
          <w:tcPr>
            <w:tcW w:w="2074" w:type="dxa"/>
            <w:gridSpan w:val="2"/>
            <w:noWrap/>
            <w:vAlign w:val="center"/>
          </w:tcPr>
          <w:p w:rsidR="00006778" w:rsidRPr="00991B8A" w:rsidRDefault="00006778" w:rsidP="008E076F">
            <w:pPr>
              <w:jc w:val="center"/>
              <w:rPr>
                <w:rFonts w:eastAsia="Arial Unicode MS"/>
                <w:b/>
                <w:bCs/>
              </w:rPr>
            </w:pPr>
            <w:r w:rsidRPr="00991B8A">
              <w:rPr>
                <w:b/>
                <w:bCs/>
              </w:rPr>
              <w:t>19,70 €</w:t>
            </w:r>
          </w:p>
        </w:tc>
        <w:tc>
          <w:tcPr>
            <w:tcW w:w="2036" w:type="dxa"/>
            <w:gridSpan w:val="2"/>
            <w:vAlign w:val="center"/>
          </w:tcPr>
          <w:p w:rsidR="00006778" w:rsidRPr="00991B8A" w:rsidRDefault="00006778" w:rsidP="002861AD">
            <w:pPr>
              <w:jc w:val="center"/>
              <w:rPr>
                <w:rFonts w:eastAsia="Arial Unicode MS"/>
                <w:b/>
                <w:bCs/>
              </w:rPr>
            </w:pPr>
            <w:r w:rsidRPr="00991B8A">
              <w:rPr>
                <w:b/>
                <w:bCs/>
              </w:rPr>
              <w:t>23,97 €</w:t>
            </w:r>
          </w:p>
        </w:tc>
      </w:tr>
      <w:tr w:rsidR="008F3C29" w:rsidRPr="00991B8A" w:rsidTr="00604743">
        <w:trPr>
          <w:trHeight w:hRule="exact" w:val="588"/>
        </w:trPr>
        <w:tc>
          <w:tcPr>
            <w:tcW w:w="5079" w:type="dxa"/>
            <w:shd w:val="clear" w:color="auto" w:fill="FFFFCC"/>
            <w:noWrap/>
            <w:vAlign w:val="center"/>
          </w:tcPr>
          <w:p w:rsidR="008F3C29" w:rsidRPr="00991B8A" w:rsidRDefault="006A1B80" w:rsidP="00604743">
            <w:pPr>
              <w:rPr>
                <w:rFonts w:eastAsia="Arial Unicode MS"/>
                <w:b/>
                <w:bCs/>
              </w:rPr>
            </w:pPr>
            <w:r w:rsidRPr="00991B8A">
              <w:rPr>
                <w:rFonts w:eastAsia="Arial Unicode MS"/>
                <w:b/>
                <w:bCs/>
              </w:rPr>
              <w:lastRenderedPageBreak/>
              <w:t>Maximálne z</w:t>
            </w:r>
            <w:r w:rsidR="008F3C29" w:rsidRPr="00991B8A">
              <w:rPr>
                <w:rFonts w:eastAsia="Arial Unicode MS"/>
                <w:b/>
                <w:bCs/>
              </w:rPr>
              <w:t>výšenie dane z príjmov na 1 zamestnanca v eurách mesačne</w:t>
            </w:r>
            <w:r w:rsidRPr="00991B8A">
              <w:rPr>
                <w:rFonts w:eastAsia="Arial Unicode MS"/>
                <w:b/>
                <w:bCs/>
              </w:rPr>
              <w:t>:</w:t>
            </w:r>
          </w:p>
        </w:tc>
        <w:tc>
          <w:tcPr>
            <w:tcW w:w="4110" w:type="dxa"/>
            <w:gridSpan w:val="4"/>
            <w:shd w:val="clear" w:color="auto" w:fill="FFFFCC"/>
            <w:vAlign w:val="center"/>
          </w:tcPr>
          <w:p w:rsidR="00006778" w:rsidRPr="00991B8A" w:rsidRDefault="00006778" w:rsidP="00006778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4,27 €</w:t>
            </w:r>
          </w:p>
          <w:p w:rsidR="008F3C29" w:rsidRPr="00991B8A" w:rsidRDefault="0073629B" w:rsidP="006106F6">
            <w:pPr>
              <w:jc w:val="center"/>
              <w:rPr>
                <w:b/>
                <w:bCs/>
              </w:rPr>
            </w:pPr>
            <w:r w:rsidRPr="00991B8A">
              <w:rPr>
                <w:rFonts w:eastAsia="Arial Unicode MS"/>
                <w:b/>
                <w:bCs/>
              </w:rPr>
              <w:tab/>
            </w:r>
            <w:r w:rsidRPr="00991B8A">
              <w:rPr>
                <w:rFonts w:eastAsia="Arial Unicode MS"/>
                <w:b/>
                <w:bCs/>
              </w:rPr>
              <w:tab/>
            </w:r>
          </w:p>
        </w:tc>
      </w:tr>
    </w:tbl>
    <w:p w:rsidR="008F3C29" w:rsidRPr="00991B8A" w:rsidRDefault="008F3C29" w:rsidP="00A0360F">
      <w:pPr>
        <w:pStyle w:val="Nzov"/>
        <w:ind w:firstLine="709"/>
        <w:jc w:val="both"/>
        <w:rPr>
          <w:sz w:val="24"/>
          <w:szCs w:val="24"/>
        </w:rPr>
      </w:pPr>
    </w:p>
    <w:p w:rsidR="00130887" w:rsidRPr="00991B8A" w:rsidRDefault="00514394" w:rsidP="00A0360F">
      <w:pPr>
        <w:pStyle w:val="Nzov"/>
        <w:ind w:firstLine="709"/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Obdobne </w:t>
      </w:r>
      <w:r w:rsidR="00506742" w:rsidRPr="00991B8A">
        <w:rPr>
          <w:sz w:val="24"/>
          <w:szCs w:val="24"/>
        </w:rPr>
        <w:t xml:space="preserve">ako v prípade odvodov na zdravotné poistenie zvýšenie dane z príjmov </w:t>
      </w:r>
      <w:r w:rsidRPr="00991B8A">
        <w:rPr>
          <w:sz w:val="24"/>
          <w:szCs w:val="24"/>
        </w:rPr>
        <w:t xml:space="preserve">u </w:t>
      </w:r>
      <w:r w:rsidR="00506742" w:rsidRPr="00991B8A">
        <w:rPr>
          <w:sz w:val="24"/>
          <w:szCs w:val="24"/>
        </w:rPr>
        <w:t>zamestnancov v</w:t>
      </w:r>
      <w:r w:rsidRPr="00991B8A">
        <w:rPr>
          <w:sz w:val="24"/>
          <w:szCs w:val="24"/>
        </w:rPr>
        <w:t xml:space="preserve"> príjmovom </w:t>
      </w:r>
      <w:r w:rsidR="00506742" w:rsidRPr="00991B8A">
        <w:rPr>
          <w:sz w:val="24"/>
          <w:szCs w:val="24"/>
        </w:rPr>
        <w:t>pásme</w:t>
      </w:r>
      <w:r w:rsidR="00506742" w:rsidRPr="00991B8A">
        <w:rPr>
          <w:b/>
          <w:sz w:val="24"/>
          <w:szCs w:val="24"/>
        </w:rPr>
        <w:t xml:space="preserve"> medzi </w:t>
      </w:r>
      <w:r w:rsidR="00006778" w:rsidRPr="00991B8A">
        <w:rPr>
          <w:b/>
          <w:sz w:val="24"/>
          <w:szCs w:val="24"/>
        </w:rPr>
        <w:t xml:space="preserve"> 480 </w:t>
      </w:r>
      <w:r w:rsidR="00506742" w:rsidRPr="00991B8A">
        <w:rPr>
          <w:b/>
          <w:sz w:val="24"/>
          <w:szCs w:val="24"/>
        </w:rPr>
        <w:t>a </w:t>
      </w:r>
      <w:r w:rsidR="00E80E64" w:rsidRPr="00991B8A">
        <w:rPr>
          <w:b/>
          <w:sz w:val="24"/>
          <w:szCs w:val="24"/>
        </w:rPr>
        <w:t>520 eur</w:t>
      </w:r>
      <w:r w:rsidR="00506742" w:rsidRPr="00991B8A">
        <w:rPr>
          <w:b/>
          <w:sz w:val="24"/>
          <w:szCs w:val="24"/>
        </w:rPr>
        <w:t xml:space="preserve"> </w:t>
      </w:r>
      <w:r w:rsidR="00506742" w:rsidRPr="00991B8A">
        <w:rPr>
          <w:sz w:val="24"/>
          <w:szCs w:val="24"/>
        </w:rPr>
        <w:t xml:space="preserve">predstavuje rozdiel medzi daňou z príjmu zo sumy </w:t>
      </w:r>
      <w:r w:rsidR="00E80E64" w:rsidRPr="00991B8A">
        <w:rPr>
          <w:sz w:val="24"/>
          <w:szCs w:val="24"/>
        </w:rPr>
        <w:t>520 eur</w:t>
      </w:r>
      <w:r w:rsidR="00506742" w:rsidRPr="00991B8A">
        <w:rPr>
          <w:sz w:val="24"/>
          <w:szCs w:val="24"/>
        </w:rPr>
        <w:t xml:space="preserve"> a</w:t>
      </w:r>
      <w:r w:rsidR="00A66F6D" w:rsidRPr="00991B8A">
        <w:rPr>
          <w:sz w:val="24"/>
          <w:szCs w:val="24"/>
        </w:rPr>
        <w:t xml:space="preserve"> daňou z príjmu </w:t>
      </w:r>
      <w:r w:rsidR="00506742" w:rsidRPr="00991B8A">
        <w:rPr>
          <w:sz w:val="24"/>
          <w:szCs w:val="24"/>
        </w:rPr>
        <w:t>z</w:t>
      </w:r>
      <w:r w:rsidRPr="00991B8A">
        <w:rPr>
          <w:sz w:val="24"/>
          <w:szCs w:val="24"/>
        </w:rPr>
        <w:t xml:space="preserve">o sumy </w:t>
      </w:r>
      <w:r w:rsidR="00506742" w:rsidRPr="00991B8A">
        <w:rPr>
          <w:sz w:val="24"/>
          <w:szCs w:val="24"/>
        </w:rPr>
        <w:t>doterajšieho priemerného príjmu</w:t>
      </w:r>
      <w:r w:rsidR="00130887" w:rsidRPr="00991B8A">
        <w:rPr>
          <w:sz w:val="24"/>
          <w:szCs w:val="24"/>
        </w:rPr>
        <w:t>:</w:t>
      </w:r>
    </w:p>
    <w:p w:rsidR="00130887" w:rsidRPr="00991B8A" w:rsidRDefault="00130887" w:rsidP="00130887">
      <w:pPr>
        <w:numPr>
          <w:ilvl w:val="0"/>
          <w:numId w:val="11"/>
        </w:numPr>
        <w:tabs>
          <w:tab w:val="clear" w:pos="2160"/>
        </w:tabs>
        <w:spacing w:before="120"/>
        <w:ind w:left="709"/>
        <w:jc w:val="both"/>
      </w:pPr>
      <w:r w:rsidRPr="00991B8A">
        <w:t xml:space="preserve">u zamestnancov tzv. podnikateľskej sféry mimo zamestnancov SZČO (PS) v príjmovom pásme </w:t>
      </w:r>
      <w:r w:rsidR="00BC6486" w:rsidRPr="00991B8A">
        <w:t>480</w:t>
      </w:r>
      <w:r w:rsidRPr="00991B8A">
        <w:t xml:space="preserve"> až </w:t>
      </w:r>
      <w:r w:rsidR="00E80E64" w:rsidRPr="00991B8A">
        <w:t>520 eur</w:t>
      </w:r>
      <w:r w:rsidRPr="00991B8A">
        <w:t xml:space="preserve"> z priemernej mzdy </w:t>
      </w:r>
      <w:r w:rsidR="00006778" w:rsidRPr="00991B8A">
        <w:rPr>
          <w:b/>
        </w:rPr>
        <w:t xml:space="preserve">492,21 </w:t>
      </w:r>
      <w:r w:rsidRPr="00991B8A">
        <w:rPr>
          <w:b/>
        </w:rPr>
        <w:t>eura mesačne</w:t>
      </w:r>
      <w:r w:rsidRPr="00991B8A">
        <w:t xml:space="preserve"> daň z príjmov zo závislej činnosti činila </w:t>
      </w:r>
      <w:r w:rsidR="00006778" w:rsidRPr="00991B8A">
        <w:rPr>
          <w:b/>
        </w:rPr>
        <w:t xml:space="preserve">21,53 </w:t>
      </w:r>
      <w:r w:rsidRPr="00991B8A">
        <w:rPr>
          <w:b/>
        </w:rPr>
        <w:t>eura</w:t>
      </w:r>
      <w:r w:rsidRPr="00991B8A">
        <w:t xml:space="preserve">; nárast dane bude </w:t>
      </w:r>
      <w:r w:rsidR="00962848" w:rsidRPr="00991B8A">
        <w:rPr>
          <w:b/>
        </w:rPr>
        <w:t xml:space="preserve">2,44 </w:t>
      </w:r>
      <w:r w:rsidRPr="00991B8A">
        <w:rPr>
          <w:b/>
        </w:rPr>
        <w:t>eura mesačne</w:t>
      </w:r>
      <w:r w:rsidRPr="00991B8A">
        <w:t xml:space="preserve"> na zamestnanca (</w:t>
      </w:r>
      <w:r w:rsidR="00962848" w:rsidRPr="00991B8A">
        <w:t xml:space="preserve">23,97 </w:t>
      </w:r>
      <w:r w:rsidRPr="00991B8A">
        <w:t xml:space="preserve">– </w:t>
      </w:r>
      <w:r w:rsidR="00962848" w:rsidRPr="00991B8A">
        <w:t xml:space="preserve">21,53 </w:t>
      </w:r>
      <w:r w:rsidRPr="00991B8A">
        <w:t xml:space="preserve">= </w:t>
      </w:r>
      <w:r w:rsidR="00962848" w:rsidRPr="00991B8A">
        <w:t xml:space="preserve">2,44 </w:t>
      </w:r>
      <w:r w:rsidR="00C82D83" w:rsidRPr="00991B8A">
        <w:t>eura)</w:t>
      </w:r>
      <w:r w:rsidRPr="00991B8A">
        <w:t xml:space="preserve">, </w:t>
      </w:r>
    </w:p>
    <w:p w:rsidR="00130887" w:rsidRPr="00991B8A" w:rsidRDefault="009C7359" w:rsidP="00130887">
      <w:pPr>
        <w:numPr>
          <w:ilvl w:val="0"/>
          <w:numId w:val="11"/>
        </w:numPr>
        <w:tabs>
          <w:tab w:val="clear" w:pos="2160"/>
        </w:tabs>
        <w:spacing w:before="120"/>
        <w:ind w:left="709" w:hanging="357"/>
        <w:jc w:val="both"/>
      </w:pPr>
      <w:r w:rsidRPr="00991B8A">
        <w:t xml:space="preserve">v prípade </w:t>
      </w:r>
      <w:r w:rsidR="00130887" w:rsidRPr="00991B8A">
        <w:t xml:space="preserve">zamestnancov </w:t>
      </w:r>
      <w:r w:rsidRPr="00991B8A">
        <w:t xml:space="preserve">zamestnaných u </w:t>
      </w:r>
      <w:r w:rsidR="00130887" w:rsidRPr="00991B8A">
        <w:t xml:space="preserve">SZČO v tom istom príjmovom pásme priemerný vymeriavací základ bol kvalifikovane odhadnutý na </w:t>
      </w:r>
      <w:r w:rsidR="00962848" w:rsidRPr="00991B8A">
        <w:rPr>
          <w:b/>
        </w:rPr>
        <w:t xml:space="preserve">491,09 </w:t>
      </w:r>
      <w:r w:rsidR="00130887" w:rsidRPr="00991B8A">
        <w:rPr>
          <w:b/>
        </w:rPr>
        <w:t>eura</w:t>
      </w:r>
      <w:r w:rsidR="00130887" w:rsidRPr="00991B8A">
        <w:t xml:space="preserve">, z čoho </w:t>
      </w:r>
      <w:r w:rsidR="00C82D83" w:rsidRPr="00991B8A">
        <w:t>daň z príjmov predstavuje</w:t>
      </w:r>
      <w:r w:rsidR="00130887" w:rsidRPr="00991B8A">
        <w:t xml:space="preserve"> </w:t>
      </w:r>
      <w:r w:rsidR="00962848" w:rsidRPr="00991B8A">
        <w:rPr>
          <w:b/>
        </w:rPr>
        <w:t xml:space="preserve">21,36 </w:t>
      </w:r>
      <w:r w:rsidR="00130887" w:rsidRPr="00991B8A">
        <w:rPr>
          <w:b/>
        </w:rPr>
        <w:t>eura</w:t>
      </w:r>
      <w:r w:rsidRPr="00991B8A">
        <w:rPr>
          <w:b/>
        </w:rPr>
        <w:t>;</w:t>
      </w:r>
      <w:r w:rsidR="00130887" w:rsidRPr="00991B8A">
        <w:t xml:space="preserve"> </w:t>
      </w:r>
      <w:r w:rsidRPr="00991B8A">
        <w:t xml:space="preserve">nárast dane z príjmov </w:t>
      </w:r>
      <w:r w:rsidR="00130887" w:rsidRPr="00991B8A">
        <w:t xml:space="preserve">bude predstavovať </w:t>
      </w:r>
      <w:r w:rsidR="00962848" w:rsidRPr="00991B8A">
        <w:rPr>
          <w:b/>
        </w:rPr>
        <w:t xml:space="preserve">2,61 </w:t>
      </w:r>
      <w:r w:rsidR="00130887" w:rsidRPr="00991B8A">
        <w:rPr>
          <w:b/>
        </w:rPr>
        <w:t>eura mesačne</w:t>
      </w:r>
      <w:r w:rsidR="00130887" w:rsidRPr="00991B8A">
        <w:t xml:space="preserve"> na zamestnanca (</w:t>
      </w:r>
      <w:r w:rsidR="00962848" w:rsidRPr="00991B8A">
        <w:t xml:space="preserve">23,97 </w:t>
      </w:r>
      <w:r w:rsidR="00130887" w:rsidRPr="00991B8A">
        <w:t xml:space="preserve">– </w:t>
      </w:r>
      <w:r w:rsidR="00962848" w:rsidRPr="00991B8A">
        <w:t xml:space="preserve">21,36 </w:t>
      </w:r>
      <w:r w:rsidR="00130887" w:rsidRPr="00991B8A">
        <w:t xml:space="preserve">= </w:t>
      </w:r>
      <w:r w:rsidR="00962848" w:rsidRPr="00991B8A">
        <w:t>2,61</w:t>
      </w:r>
      <w:r w:rsidR="00130887" w:rsidRPr="00991B8A">
        <w:t>) a</w:t>
      </w:r>
    </w:p>
    <w:p w:rsidR="00130887" w:rsidRPr="00991B8A" w:rsidRDefault="00130887" w:rsidP="00130887">
      <w:pPr>
        <w:numPr>
          <w:ilvl w:val="0"/>
          <w:numId w:val="11"/>
        </w:numPr>
        <w:tabs>
          <w:tab w:val="clear" w:pos="2160"/>
        </w:tabs>
        <w:spacing w:before="120"/>
        <w:ind w:left="709" w:hanging="357"/>
        <w:jc w:val="both"/>
      </w:pPr>
      <w:r w:rsidRPr="00991B8A">
        <w:t xml:space="preserve">u zamestnancov tzv. nepodnikateľskej sféry (NS) priemerný plat v príjmovom pásme </w:t>
      </w:r>
      <w:r w:rsidR="00BC6486" w:rsidRPr="00991B8A">
        <w:t>480</w:t>
      </w:r>
      <w:r w:rsidRPr="00991B8A">
        <w:t xml:space="preserve"> až </w:t>
      </w:r>
      <w:r w:rsidR="00E80E64" w:rsidRPr="00991B8A">
        <w:t>520 eur</w:t>
      </w:r>
      <w:r w:rsidRPr="00991B8A">
        <w:t xml:space="preserve"> predstavoval </w:t>
      </w:r>
      <w:r w:rsidR="00962848" w:rsidRPr="00991B8A">
        <w:rPr>
          <w:b/>
        </w:rPr>
        <w:t xml:space="preserve">493,32 </w:t>
      </w:r>
      <w:r w:rsidRPr="00991B8A">
        <w:rPr>
          <w:b/>
        </w:rPr>
        <w:t>eura</w:t>
      </w:r>
      <w:r w:rsidRPr="00991B8A">
        <w:t xml:space="preserve">, z čoho </w:t>
      </w:r>
      <w:r w:rsidR="009C7359" w:rsidRPr="00991B8A">
        <w:t xml:space="preserve">daň z príjmov predstavuje </w:t>
      </w:r>
      <w:r w:rsidR="00962848" w:rsidRPr="00991B8A">
        <w:rPr>
          <w:b/>
        </w:rPr>
        <w:t xml:space="preserve">21,69 </w:t>
      </w:r>
      <w:r w:rsidRPr="00991B8A">
        <w:rPr>
          <w:b/>
        </w:rPr>
        <w:t>eura</w:t>
      </w:r>
      <w:r w:rsidRPr="00991B8A">
        <w:t xml:space="preserve">; zvýšenie </w:t>
      </w:r>
      <w:r w:rsidR="009C7359" w:rsidRPr="00991B8A">
        <w:t xml:space="preserve">dane z príjmov bude </w:t>
      </w:r>
      <w:r w:rsidR="00962848" w:rsidRPr="00991B8A">
        <w:rPr>
          <w:b/>
        </w:rPr>
        <w:t xml:space="preserve">2,28 </w:t>
      </w:r>
      <w:r w:rsidRPr="00991B8A">
        <w:rPr>
          <w:b/>
        </w:rPr>
        <w:t>eura mesačne</w:t>
      </w:r>
      <w:r w:rsidRPr="00991B8A">
        <w:t xml:space="preserve"> (</w:t>
      </w:r>
      <w:r w:rsidR="00962848" w:rsidRPr="00991B8A">
        <w:t xml:space="preserve">23,97 </w:t>
      </w:r>
      <w:r w:rsidRPr="00991B8A">
        <w:t xml:space="preserve">– </w:t>
      </w:r>
      <w:r w:rsidR="00962848" w:rsidRPr="00991B8A">
        <w:t xml:space="preserve">21,69 </w:t>
      </w:r>
      <w:r w:rsidRPr="00991B8A">
        <w:t xml:space="preserve">= </w:t>
      </w:r>
      <w:r w:rsidR="00962848" w:rsidRPr="00991B8A">
        <w:t xml:space="preserve">2,28 </w:t>
      </w:r>
      <w:r w:rsidR="00B30762" w:rsidRPr="00991B8A">
        <w:t>eura</w:t>
      </w:r>
      <w:r w:rsidRPr="00991B8A">
        <w:t>).</w:t>
      </w:r>
    </w:p>
    <w:p w:rsidR="00B30762" w:rsidRPr="00991B8A" w:rsidRDefault="00B30762" w:rsidP="00A0360F">
      <w:pPr>
        <w:pStyle w:val="Nzov"/>
        <w:ind w:firstLine="709"/>
        <w:jc w:val="both"/>
        <w:rPr>
          <w:sz w:val="24"/>
          <w:szCs w:val="24"/>
        </w:rPr>
      </w:pPr>
    </w:p>
    <w:p w:rsidR="007212FD" w:rsidRPr="00991B8A" w:rsidRDefault="00B30762" w:rsidP="00A0360F">
      <w:pPr>
        <w:pStyle w:val="Nzov"/>
        <w:ind w:firstLine="709"/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Kvalifikovaný odhad vplyvu zvýšenia sumy minimálnej mzdy na daň z príjmov zo závislej činnosti v roku </w:t>
      </w:r>
      <w:r w:rsidR="00E80E64" w:rsidRPr="00991B8A">
        <w:rPr>
          <w:sz w:val="24"/>
          <w:szCs w:val="24"/>
        </w:rPr>
        <w:t>2019</w:t>
      </w:r>
      <w:r w:rsidRPr="00991B8A">
        <w:rPr>
          <w:sz w:val="24"/>
          <w:szCs w:val="24"/>
        </w:rPr>
        <w:t>:</w:t>
      </w:r>
    </w:p>
    <w:p w:rsidR="0078525B" w:rsidRPr="00991B8A" w:rsidRDefault="0078525B" w:rsidP="00A0360F">
      <w:pPr>
        <w:pStyle w:val="Nzov"/>
        <w:ind w:firstLine="709"/>
        <w:jc w:val="both"/>
        <w:rPr>
          <w:sz w:val="24"/>
          <w:szCs w:val="24"/>
        </w:rPr>
      </w:pP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500"/>
        <w:gridCol w:w="2044"/>
        <w:gridCol w:w="2268"/>
        <w:tblGridChange w:id="12">
          <w:tblGrid>
            <w:gridCol w:w="3696"/>
            <w:gridCol w:w="1500"/>
            <w:gridCol w:w="2044"/>
            <w:gridCol w:w="2268"/>
          </w:tblGrid>
        </w:tblGridChange>
      </w:tblGrid>
      <w:tr w:rsidR="00CD0486" w:rsidRPr="00991B8A" w:rsidTr="009230F7">
        <w:trPr>
          <w:trHeight w:val="645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86" w:rsidRPr="00991B8A" w:rsidRDefault="00CD0486">
            <w:r w:rsidRPr="00991B8A">
              <w:t>Skupina zamestnancov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86" w:rsidRPr="00991B8A" w:rsidRDefault="00CD0486">
            <w:r w:rsidRPr="00991B8A">
              <w:t>Počet zamestnancov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86" w:rsidRPr="00991B8A" w:rsidRDefault="00CD0486">
            <w:r w:rsidRPr="00991B8A">
              <w:t>Zvýšenie na osobu a mesiac v eurách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486" w:rsidRPr="00991B8A" w:rsidRDefault="00CD0486" w:rsidP="00CD0486">
            <w:r w:rsidRPr="00991B8A">
              <w:t xml:space="preserve">Zvýšenie na všetkých zamestnancov v eurách ročne </w:t>
            </w:r>
          </w:p>
        </w:tc>
      </w:tr>
      <w:tr w:rsidR="00254BE8" w:rsidRPr="00991B8A" w:rsidTr="00254BE8">
        <w:trPr>
          <w:trHeight w:val="397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48" w:rsidRPr="00991B8A" w:rsidRDefault="00962848">
            <w:r w:rsidRPr="00991B8A">
              <w:t>PS bez SZČO do 480 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48" w:rsidRPr="00991B8A" w:rsidRDefault="00962848" w:rsidP="00991B8A">
            <w:pPr>
              <w:jc w:val="center"/>
              <w:rPr>
                <w:bCs/>
              </w:rPr>
            </w:pPr>
            <w:r w:rsidRPr="00991B8A">
              <w:t>21 175,5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48" w:rsidRPr="00991B8A" w:rsidRDefault="00962848" w:rsidP="00991B8A">
            <w:pPr>
              <w:jc w:val="center"/>
              <w:rPr>
                <w:bCs/>
              </w:rPr>
            </w:pPr>
            <w:r w:rsidRPr="00991B8A">
              <w:t>4,27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848" w:rsidRPr="00991B8A" w:rsidRDefault="00962848" w:rsidP="00991B8A">
            <w:pPr>
              <w:jc w:val="center"/>
              <w:rPr>
                <w:bCs/>
              </w:rPr>
            </w:pPr>
            <w:r w:rsidRPr="00991B8A">
              <w:t>1 085 032,62</w:t>
            </w:r>
          </w:p>
        </w:tc>
      </w:tr>
      <w:tr w:rsidR="00254BE8" w:rsidRPr="00991B8A" w:rsidTr="00254BE8">
        <w:trPr>
          <w:trHeight w:val="397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48" w:rsidRPr="00991B8A" w:rsidRDefault="00962848" w:rsidP="00CD0486">
            <w:r w:rsidRPr="00991B8A">
              <w:t>PS bez SZČO nad 480 - 520 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48" w:rsidRPr="00991B8A" w:rsidRDefault="00962848" w:rsidP="00991B8A">
            <w:pPr>
              <w:jc w:val="center"/>
              <w:rPr>
                <w:bCs/>
              </w:rPr>
            </w:pPr>
            <w:r w:rsidRPr="00991B8A">
              <w:t>35 502,3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48" w:rsidRPr="00991B8A" w:rsidRDefault="00962848" w:rsidP="00991B8A">
            <w:pPr>
              <w:jc w:val="center"/>
              <w:rPr>
                <w:bCs/>
              </w:rPr>
            </w:pPr>
            <w:r w:rsidRPr="00991B8A">
              <w:t>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848" w:rsidRPr="00991B8A" w:rsidRDefault="00962848" w:rsidP="00991B8A">
            <w:pPr>
              <w:jc w:val="center"/>
              <w:rPr>
                <w:bCs/>
              </w:rPr>
            </w:pPr>
            <w:r w:rsidRPr="00991B8A">
              <w:t>1 039 507,34</w:t>
            </w:r>
          </w:p>
        </w:tc>
      </w:tr>
      <w:tr w:rsidR="00254BE8" w:rsidRPr="00991B8A" w:rsidTr="00254BE8">
        <w:trPr>
          <w:trHeight w:val="397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48" w:rsidRPr="00991B8A" w:rsidRDefault="00962848" w:rsidP="00CD0486">
            <w:r w:rsidRPr="00991B8A">
              <w:t>Zam. u SZČO nad 480 do 520 eur*)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48" w:rsidRPr="00991B8A" w:rsidRDefault="00962848" w:rsidP="00991B8A">
            <w:pPr>
              <w:jc w:val="center"/>
              <w:rPr>
                <w:bCs/>
              </w:rPr>
            </w:pPr>
            <w:r w:rsidRPr="00991B8A">
              <w:t>11 576,0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48" w:rsidRPr="00991B8A" w:rsidRDefault="00962848" w:rsidP="00991B8A">
            <w:pPr>
              <w:jc w:val="center"/>
              <w:rPr>
                <w:bCs/>
              </w:rPr>
            </w:pPr>
            <w:r w:rsidRPr="00991B8A">
              <w:t>2,61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848" w:rsidRPr="00991B8A" w:rsidRDefault="00962848" w:rsidP="00991B8A">
            <w:pPr>
              <w:jc w:val="center"/>
              <w:rPr>
                <w:bCs/>
              </w:rPr>
            </w:pPr>
            <w:r w:rsidRPr="00991B8A">
              <w:t>362 560,32</w:t>
            </w:r>
          </w:p>
        </w:tc>
      </w:tr>
      <w:tr w:rsidR="00254BE8" w:rsidRPr="00991B8A" w:rsidTr="00254BE8">
        <w:trPr>
          <w:trHeight w:val="397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48" w:rsidRPr="00991B8A" w:rsidRDefault="00962848">
            <w:r w:rsidRPr="00991B8A">
              <w:t>NS v pásme do 480 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48" w:rsidRPr="00991B8A" w:rsidRDefault="00962848" w:rsidP="00991B8A">
            <w:pPr>
              <w:jc w:val="center"/>
              <w:rPr>
                <w:bCs/>
              </w:rPr>
            </w:pPr>
            <w:r w:rsidRPr="00991B8A">
              <w:t>9 586,0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48" w:rsidRPr="00991B8A" w:rsidRDefault="00962848" w:rsidP="00991B8A">
            <w:pPr>
              <w:jc w:val="center"/>
              <w:rPr>
                <w:bCs/>
              </w:rPr>
            </w:pPr>
            <w:r w:rsidRPr="00991B8A">
              <w:t>4,27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848" w:rsidRPr="00991B8A" w:rsidRDefault="00962848" w:rsidP="00991B8A">
            <w:pPr>
              <w:jc w:val="center"/>
              <w:rPr>
                <w:bCs/>
              </w:rPr>
            </w:pPr>
            <w:r w:rsidRPr="00991B8A">
              <w:t>491 186,64</w:t>
            </w:r>
          </w:p>
        </w:tc>
      </w:tr>
      <w:tr w:rsidR="00254BE8" w:rsidRPr="00991B8A" w:rsidTr="00254BE8">
        <w:trPr>
          <w:trHeight w:val="397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48" w:rsidRPr="00991B8A" w:rsidRDefault="00962848">
            <w:r w:rsidRPr="00991B8A">
              <w:t>NS nad 480 do 520 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48" w:rsidRPr="00991B8A" w:rsidRDefault="00962848" w:rsidP="00991B8A">
            <w:pPr>
              <w:jc w:val="center"/>
              <w:rPr>
                <w:bCs/>
              </w:rPr>
            </w:pPr>
            <w:r w:rsidRPr="00991B8A">
              <w:t>19 768,1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48" w:rsidRPr="00991B8A" w:rsidRDefault="00962848" w:rsidP="00991B8A">
            <w:pPr>
              <w:jc w:val="center"/>
              <w:rPr>
                <w:bCs/>
              </w:rPr>
            </w:pPr>
            <w:r w:rsidRPr="00991B8A">
              <w:t>2,28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848" w:rsidRPr="00991B8A" w:rsidRDefault="00962848" w:rsidP="00991B8A">
            <w:pPr>
              <w:jc w:val="center"/>
              <w:rPr>
                <w:bCs/>
              </w:rPr>
            </w:pPr>
            <w:r w:rsidRPr="00991B8A">
              <w:t>540 855,22</w:t>
            </w:r>
          </w:p>
        </w:tc>
      </w:tr>
      <w:tr w:rsidR="00254BE8" w:rsidRPr="00991B8A" w:rsidTr="00254BE8">
        <w:trPr>
          <w:trHeight w:val="397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D82C87" w:rsidRPr="00991B8A" w:rsidRDefault="00D82C87">
            <w:pPr>
              <w:rPr>
                <w:b/>
              </w:rPr>
            </w:pPr>
            <w:r w:rsidRPr="00991B8A">
              <w:rPr>
                <w:b/>
                <w:sz w:val="23"/>
                <w:szCs w:val="23"/>
              </w:rPr>
              <w:t>Počty zamestnancov spolu: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82C87" w:rsidRPr="00991B8A" w:rsidRDefault="00962848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97 607,9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D82C87" w:rsidRPr="00991B8A" w:rsidRDefault="00D82C87" w:rsidP="00991B8A">
            <w:pPr>
              <w:jc w:val="center"/>
              <w:rPr>
                <w:b/>
              </w:rPr>
            </w:pPr>
            <w:r w:rsidRPr="00991B8A">
              <w:rPr>
                <w:b/>
              </w:rPr>
              <w:t>Zvýšenie spolu: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D82C87" w:rsidRPr="00991B8A" w:rsidRDefault="00962848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3 519 142,14</w:t>
            </w:r>
          </w:p>
        </w:tc>
      </w:tr>
    </w:tbl>
    <w:p w:rsidR="009E3484" w:rsidRPr="00991B8A" w:rsidRDefault="009E3484" w:rsidP="000C3E58">
      <w:pPr>
        <w:pStyle w:val="Nzov"/>
        <w:spacing w:before="120"/>
        <w:jc w:val="both"/>
        <w:rPr>
          <w:i/>
          <w:sz w:val="24"/>
          <w:szCs w:val="24"/>
        </w:rPr>
      </w:pPr>
      <w:r w:rsidRPr="00991B8A">
        <w:rPr>
          <w:i/>
          <w:sz w:val="24"/>
          <w:szCs w:val="24"/>
        </w:rPr>
        <w:t xml:space="preserve">*) U zamestnancov SZČO v pásme do </w:t>
      </w:r>
      <w:r w:rsidR="00E80E64" w:rsidRPr="00991B8A">
        <w:rPr>
          <w:i/>
          <w:sz w:val="24"/>
          <w:szCs w:val="24"/>
        </w:rPr>
        <w:t>480 eur</w:t>
      </w:r>
      <w:r w:rsidRPr="00991B8A">
        <w:rPr>
          <w:i/>
          <w:sz w:val="24"/>
          <w:szCs w:val="24"/>
        </w:rPr>
        <w:t xml:space="preserve"> s priemerným vymeriavacím základom </w:t>
      </w:r>
      <w:r w:rsidR="004858B2" w:rsidRPr="00991B8A">
        <w:rPr>
          <w:i/>
          <w:sz w:val="24"/>
          <w:szCs w:val="24"/>
        </w:rPr>
        <w:t xml:space="preserve">252,61 </w:t>
      </w:r>
      <w:r w:rsidRPr="00991B8A">
        <w:rPr>
          <w:i/>
          <w:sz w:val="24"/>
          <w:szCs w:val="24"/>
        </w:rPr>
        <w:t>eura mesačne sa s daňou z príjmov zo závislej činnosti neuvažuje.</w:t>
      </w:r>
    </w:p>
    <w:p w:rsidR="00755DF8" w:rsidRPr="00991B8A" w:rsidRDefault="00755DF8" w:rsidP="00A0360F">
      <w:pPr>
        <w:pStyle w:val="Nzov"/>
        <w:ind w:firstLine="709"/>
        <w:jc w:val="both"/>
        <w:rPr>
          <w:sz w:val="24"/>
          <w:szCs w:val="24"/>
        </w:rPr>
      </w:pPr>
    </w:p>
    <w:p w:rsidR="00755DF8" w:rsidRPr="00991B8A" w:rsidRDefault="00E75DD5" w:rsidP="00A0360F">
      <w:pPr>
        <w:pStyle w:val="Nzov"/>
        <w:ind w:firstLine="709"/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Za predpokladu uplatnenia zákonného rozdelenia výnosu dane z príjmov </w:t>
      </w:r>
      <w:r w:rsidRPr="00991B8A">
        <w:rPr>
          <w:b/>
          <w:sz w:val="24"/>
          <w:szCs w:val="24"/>
        </w:rPr>
        <w:t xml:space="preserve">v podiele </w:t>
      </w:r>
      <w:r w:rsidR="00D82C87" w:rsidRPr="00991B8A">
        <w:rPr>
          <w:b/>
          <w:sz w:val="24"/>
          <w:szCs w:val="24"/>
        </w:rPr>
        <w:t>70 </w:t>
      </w:r>
      <w:r w:rsidR="00C32E8E" w:rsidRPr="00991B8A">
        <w:rPr>
          <w:b/>
          <w:sz w:val="24"/>
          <w:szCs w:val="24"/>
        </w:rPr>
        <w:t xml:space="preserve">% </w:t>
      </w:r>
      <w:r w:rsidRPr="00991B8A">
        <w:rPr>
          <w:b/>
          <w:sz w:val="24"/>
          <w:szCs w:val="24"/>
        </w:rPr>
        <w:t>v prospech obcí</w:t>
      </w:r>
      <w:r w:rsidRPr="00991B8A">
        <w:rPr>
          <w:sz w:val="24"/>
          <w:szCs w:val="24"/>
        </w:rPr>
        <w:t xml:space="preserve"> </w:t>
      </w:r>
      <w:r w:rsidR="001E761C" w:rsidRPr="00991B8A">
        <w:rPr>
          <w:b/>
          <w:sz w:val="24"/>
          <w:szCs w:val="24"/>
        </w:rPr>
        <w:t xml:space="preserve">a </w:t>
      </w:r>
      <w:r w:rsidR="00C32E8E" w:rsidRPr="00991B8A">
        <w:rPr>
          <w:b/>
          <w:sz w:val="24"/>
          <w:szCs w:val="24"/>
        </w:rPr>
        <w:t xml:space="preserve">30 % </w:t>
      </w:r>
      <w:r w:rsidR="001E761C" w:rsidRPr="00991B8A">
        <w:rPr>
          <w:b/>
          <w:sz w:val="24"/>
          <w:szCs w:val="24"/>
        </w:rPr>
        <w:t>v prospech VÚC</w:t>
      </w:r>
      <w:r w:rsidR="001E761C" w:rsidRPr="00991B8A">
        <w:rPr>
          <w:sz w:val="24"/>
          <w:szCs w:val="24"/>
        </w:rPr>
        <w:t xml:space="preserve"> </w:t>
      </w:r>
      <w:r w:rsidR="001E6363" w:rsidRPr="00991B8A">
        <w:rPr>
          <w:sz w:val="24"/>
          <w:szCs w:val="24"/>
        </w:rPr>
        <w:t xml:space="preserve">v zmysle zákona č. 564/2004 Z. z. o rozpočtovom určení výnosu dane z príjmov územnej samospráve a o zmene a doplnení niektorých zákonov </w:t>
      </w:r>
      <w:r w:rsidR="001E6363" w:rsidRPr="00991B8A">
        <w:rPr>
          <w:b/>
          <w:sz w:val="24"/>
          <w:szCs w:val="24"/>
        </w:rPr>
        <w:t xml:space="preserve">v znení </w:t>
      </w:r>
      <w:r w:rsidR="00031101" w:rsidRPr="00991B8A">
        <w:rPr>
          <w:b/>
          <w:sz w:val="24"/>
          <w:szCs w:val="24"/>
        </w:rPr>
        <w:t xml:space="preserve">zákona č. </w:t>
      </w:r>
      <w:r w:rsidR="00C32E8E" w:rsidRPr="00991B8A">
        <w:rPr>
          <w:b/>
          <w:sz w:val="24"/>
          <w:szCs w:val="24"/>
        </w:rPr>
        <w:t>337/</w:t>
      </w:r>
      <w:r w:rsidR="00E80E64" w:rsidRPr="00991B8A">
        <w:rPr>
          <w:b/>
          <w:sz w:val="24"/>
          <w:szCs w:val="24"/>
        </w:rPr>
        <w:t>201</w:t>
      </w:r>
      <w:r w:rsidR="00740CC4">
        <w:rPr>
          <w:b/>
          <w:sz w:val="24"/>
          <w:szCs w:val="24"/>
        </w:rPr>
        <w:t>5</w:t>
      </w:r>
      <w:r w:rsidR="00C32E8E" w:rsidRPr="00991B8A">
        <w:rPr>
          <w:b/>
          <w:sz w:val="24"/>
          <w:szCs w:val="24"/>
        </w:rPr>
        <w:t xml:space="preserve"> </w:t>
      </w:r>
      <w:r w:rsidR="00031101" w:rsidRPr="00991B8A">
        <w:rPr>
          <w:b/>
          <w:sz w:val="24"/>
          <w:szCs w:val="24"/>
        </w:rPr>
        <w:t>Z. z.</w:t>
      </w:r>
      <w:r w:rsidR="00031101" w:rsidRPr="00991B8A">
        <w:rPr>
          <w:sz w:val="24"/>
          <w:szCs w:val="24"/>
        </w:rPr>
        <w:t xml:space="preserve">, </w:t>
      </w:r>
      <w:r w:rsidRPr="00991B8A">
        <w:rPr>
          <w:sz w:val="24"/>
          <w:szCs w:val="24"/>
        </w:rPr>
        <w:t>možno celkový výnos zvýšenia dane z príjmov fyzických osôb zo závislej činnosti rozdeliť na výnos rozpočtu obcí</w:t>
      </w:r>
      <w:r w:rsidR="00C32E8E" w:rsidRPr="00991B8A">
        <w:rPr>
          <w:sz w:val="24"/>
          <w:szCs w:val="24"/>
        </w:rPr>
        <w:t xml:space="preserve"> a</w:t>
      </w:r>
      <w:r w:rsidR="00031101" w:rsidRPr="00991B8A">
        <w:rPr>
          <w:sz w:val="24"/>
          <w:szCs w:val="24"/>
        </w:rPr>
        <w:t xml:space="preserve"> rozpočtu VÚC </w:t>
      </w:r>
      <w:r w:rsidR="007E6BF6" w:rsidRPr="00991B8A">
        <w:rPr>
          <w:sz w:val="24"/>
          <w:szCs w:val="24"/>
        </w:rPr>
        <w:t xml:space="preserve">na roky </w:t>
      </w:r>
      <w:r w:rsidR="00E80E64" w:rsidRPr="00991B8A">
        <w:rPr>
          <w:sz w:val="24"/>
          <w:szCs w:val="24"/>
        </w:rPr>
        <w:t>2019</w:t>
      </w:r>
      <w:r w:rsidR="007E6BF6" w:rsidRPr="00991B8A">
        <w:rPr>
          <w:sz w:val="24"/>
          <w:szCs w:val="24"/>
        </w:rPr>
        <w:t xml:space="preserve"> až </w:t>
      </w:r>
      <w:r w:rsidR="00E80E64" w:rsidRPr="00991B8A">
        <w:rPr>
          <w:sz w:val="24"/>
          <w:szCs w:val="24"/>
        </w:rPr>
        <w:t>2021</w:t>
      </w:r>
      <w:r w:rsidR="007E6BF6" w:rsidRPr="00991B8A">
        <w:rPr>
          <w:sz w:val="24"/>
          <w:szCs w:val="24"/>
        </w:rPr>
        <w:t xml:space="preserve"> </w:t>
      </w:r>
      <w:r w:rsidR="00031101" w:rsidRPr="00991B8A">
        <w:rPr>
          <w:sz w:val="24"/>
          <w:szCs w:val="24"/>
        </w:rPr>
        <w:t>nasledovne</w:t>
      </w:r>
      <w:r w:rsidRPr="00991B8A">
        <w:rPr>
          <w:sz w:val="24"/>
          <w:szCs w:val="24"/>
        </w:rPr>
        <w:t>:</w:t>
      </w:r>
    </w:p>
    <w:p w:rsidR="00E75DD5" w:rsidRPr="00991B8A" w:rsidRDefault="00E75DD5" w:rsidP="00A0360F">
      <w:pPr>
        <w:pStyle w:val="Nzov"/>
        <w:ind w:firstLine="709"/>
        <w:jc w:val="both"/>
        <w:rPr>
          <w:sz w:val="24"/>
          <w:szCs w:val="24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537"/>
        <w:gridCol w:w="1512"/>
        <w:gridCol w:w="1512"/>
      </w:tblGrid>
      <w:tr w:rsidR="00965D95" w:rsidRPr="00991B8A" w:rsidTr="00614432">
        <w:tc>
          <w:tcPr>
            <w:tcW w:w="4786" w:type="dxa"/>
            <w:vAlign w:val="center"/>
          </w:tcPr>
          <w:p w:rsidR="00965D95" w:rsidRPr="00991B8A" w:rsidRDefault="00965D95" w:rsidP="00C9264B">
            <w:pPr>
              <w:pStyle w:val="Nzov"/>
              <w:tabs>
                <w:tab w:val="left" w:pos="1800"/>
              </w:tabs>
              <w:spacing w:before="20" w:after="20"/>
              <w:ind w:left="-6"/>
              <w:jc w:val="left"/>
              <w:rPr>
                <w:iCs/>
                <w:sz w:val="24"/>
                <w:szCs w:val="24"/>
              </w:rPr>
            </w:pPr>
            <w:r w:rsidRPr="00991B8A">
              <w:rPr>
                <w:iCs/>
                <w:sz w:val="24"/>
                <w:szCs w:val="24"/>
              </w:rPr>
              <w:t>Ukazovateľ</w:t>
            </w:r>
          </w:p>
        </w:tc>
        <w:tc>
          <w:tcPr>
            <w:tcW w:w="1537" w:type="dxa"/>
            <w:vAlign w:val="center"/>
          </w:tcPr>
          <w:p w:rsidR="00965D95" w:rsidRPr="00991B8A" w:rsidRDefault="00E80E64" w:rsidP="006106F6">
            <w:pPr>
              <w:ind w:left="-58" w:right="-77"/>
              <w:jc w:val="center"/>
              <w:rPr>
                <w:bCs/>
              </w:rPr>
            </w:pPr>
            <w:r w:rsidRPr="00991B8A">
              <w:rPr>
                <w:szCs w:val="22"/>
              </w:rPr>
              <w:t>2019</w:t>
            </w:r>
          </w:p>
        </w:tc>
        <w:tc>
          <w:tcPr>
            <w:tcW w:w="1512" w:type="dxa"/>
            <w:vAlign w:val="center"/>
          </w:tcPr>
          <w:p w:rsidR="00965D95" w:rsidRPr="00991B8A" w:rsidRDefault="00E80E64" w:rsidP="008E076F">
            <w:pPr>
              <w:ind w:left="-58" w:right="-77"/>
              <w:jc w:val="center"/>
              <w:rPr>
                <w:bCs/>
              </w:rPr>
            </w:pPr>
            <w:r w:rsidRPr="00991B8A">
              <w:rPr>
                <w:szCs w:val="22"/>
              </w:rPr>
              <w:t>2020</w:t>
            </w:r>
          </w:p>
        </w:tc>
        <w:tc>
          <w:tcPr>
            <w:tcW w:w="1512" w:type="dxa"/>
            <w:vAlign w:val="center"/>
          </w:tcPr>
          <w:p w:rsidR="00965D95" w:rsidRPr="00991B8A" w:rsidRDefault="00E80E64" w:rsidP="002861AD">
            <w:pPr>
              <w:ind w:left="-58" w:right="-77"/>
              <w:jc w:val="center"/>
              <w:rPr>
                <w:bCs/>
              </w:rPr>
            </w:pPr>
            <w:r w:rsidRPr="00991B8A">
              <w:rPr>
                <w:szCs w:val="22"/>
              </w:rPr>
              <w:t>2021</w:t>
            </w:r>
          </w:p>
        </w:tc>
      </w:tr>
      <w:tr w:rsidR="007523D0" w:rsidRPr="00991B8A" w:rsidTr="00614432">
        <w:tc>
          <w:tcPr>
            <w:tcW w:w="4786" w:type="dxa"/>
            <w:shd w:val="clear" w:color="auto" w:fill="FFFFCC"/>
            <w:vAlign w:val="center"/>
          </w:tcPr>
          <w:p w:rsidR="007523D0" w:rsidRPr="00991B8A" w:rsidRDefault="007523D0" w:rsidP="00C9264B">
            <w:pPr>
              <w:pStyle w:val="Nzov"/>
              <w:tabs>
                <w:tab w:val="left" w:pos="1800"/>
              </w:tabs>
              <w:spacing w:before="20" w:after="20"/>
              <w:ind w:left="-6"/>
              <w:jc w:val="left"/>
              <w:rPr>
                <w:b/>
                <w:iCs/>
                <w:sz w:val="24"/>
                <w:szCs w:val="24"/>
              </w:rPr>
            </w:pPr>
            <w:r w:rsidRPr="00991B8A">
              <w:rPr>
                <w:b/>
                <w:iCs/>
                <w:sz w:val="24"/>
                <w:szCs w:val="24"/>
              </w:rPr>
              <w:t>Zvýšenie dane z príjmov fyzických osôb zo závislej činnosti v eurách ročne, v tom:</w:t>
            </w:r>
          </w:p>
        </w:tc>
        <w:tc>
          <w:tcPr>
            <w:tcW w:w="1537" w:type="dxa"/>
            <w:shd w:val="clear" w:color="auto" w:fill="FFFFCC"/>
            <w:vAlign w:val="center"/>
          </w:tcPr>
          <w:p w:rsidR="007523D0" w:rsidRPr="00991B8A" w:rsidRDefault="007523D0" w:rsidP="006106F6">
            <w:pPr>
              <w:ind w:left="-58" w:right="-77"/>
              <w:jc w:val="center"/>
              <w:rPr>
                <w:b/>
              </w:rPr>
            </w:pPr>
            <w:r w:rsidRPr="00991B8A">
              <w:rPr>
                <w:b/>
                <w:bCs/>
              </w:rPr>
              <w:t>5 122 930,80</w:t>
            </w:r>
          </w:p>
        </w:tc>
        <w:tc>
          <w:tcPr>
            <w:tcW w:w="1512" w:type="dxa"/>
            <w:shd w:val="clear" w:color="auto" w:fill="FFFFCC"/>
            <w:vAlign w:val="center"/>
          </w:tcPr>
          <w:p w:rsidR="007523D0" w:rsidRPr="00991B8A" w:rsidRDefault="007523D0" w:rsidP="008E076F">
            <w:pPr>
              <w:ind w:left="-58" w:right="-77"/>
              <w:jc w:val="center"/>
              <w:rPr>
                <w:b/>
              </w:rPr>
            </w:pPr>
            <w:r w:rsidRPr="00991B8A">
              <w:rPr>
                <w:b/>
                <w:bCs/>
              </w:rPr>
              <w:t>5 086 967,31</w:t>
            </w:r>
          </w:p>
        </w:tc>
        <w:tc>
          <w:tcPr>
            <w:tcW w:w="1512" w:type="dxa"/>
            <w:shd w:val="clear" w:color="auto" w:fill="FFFFCC"/>
            <w:vAlign w:val="center"/>
          </w:tcPr>
          <w:p w:rsidR="007523D0" w:rsidRPr="00991B8A" w:rsidRDefault="007523D0" w:rsidP="002861AD">
            <w:pPr>
              <w:ind w:left="-58" w:right="-77"/>
              <w:jc w:val="center"/>
              <w:rPr>
                <w:b/>
              </w:rPr>
            </w:pPr>
            <w:r w:rsidRPr="00991B8A">
              <w:rPr>
                <w:b/>
                <w:bCs/>
              </w:rPr>
              <w:t>5 016 838,51</w:t>
            </w:r>
          </w:p>
        </w:tc>
      </w:tr>
      <w:tr w:rsidR="00991B8A" w:rsidRPr="00991B8A" w:rsidTr="00991B8A">
        <w:tc>
          <w:tcPr>
            <w:tcW w:w="4786" w:type="dxa"/>
            <w:vAlign w:val="center"/>
          </w:tcPr>
          <w:p w:rsidR="00084C5A" w:rsidRPr="00991B8A" w:rsidRDefault="00084C5A" w:rsidP="00C9264B">
            <w:pPr>
              <w:pStyle w:val="Nzov"/>
              <w:numPr>
                <w:ilvl w:val="0"/>
                <w:numId w:val="11"/>
              </w:numPr>
              <w:tabs>
                <w:tab w:val="clear" w:pos="2160"/>
                <w:tab w:val="num" w:pos="426"/>
              </w:tabs>
              <w:spacing w:before="20" w:after="20"/>
              <w:ind w:left="-6" w:firstLine="149"/>
              <w:jc w:val="left"/>
              <w:rPr>
                <w:i/>
                <w:iCs/>
                <w:sz w:val="24"/>
                <w:szCs w:val="24"/>
              </w:rPr>
            </w:pPr>
            <w:r w:rsidRPr="00991B8A">
              <w:rPr>
                <w:i/>
                <w:iCs/>
                <w:sz w:val="24"/>
                <w:szCs w:val="24"/>
              </w:rPr>
              <w:t>príjem rozpočtov obcí</w:t>
            </w:r>
          </w:p>
        </w:tc>
        <w:tc>
          <w:tcPr>
            <w:tcW w:w="1537" w:type="dxa"/>
          </w:tcPr>
          <w:p w:rsidR="00084C5A" w:rsidRPr="00991B8A" w:rsidRDefault="00084C5A" w:rsidP="006106F6">
            <w:pPr>
              <w:ind w:left="-58" w:right="-77"/>
              <w:jc w:val="center"/>
              <w:rPr>
                <w:i/>
              </w:rPr>
            </w:pPr>
            <w:r w:rsidRPr="00991B8A">
              <w:rPr>
                <w:i/>
              </w:rPr>
              <w:t>2 463 399,49</w:t>
            </w:r>
          </w:p>
        </w:tc>
        <w:tc>
          <w:tcPr>
            <w:tcW w:w="1512" w:type="dxa"/>
          </w:tcPr>
          <w:p w:rsidR="00084C5A" w:rsidRPr="00991B8A" w:rsidRDefault="00084C5A" w:rsidP="008E076F">
            <w:pPr>
              <w:ind w:left="-58" w:right="-77"/>
              <w:jc w:val="center"/>
              <w:rPr>
                <w:i/>
              </w:rPr>
            </w:pPr>
            <w:r w:rsidRPr="00991B8A">
              <w:rPr>
                <w:i/>
              </w:rPr>
              <w:t>2 445 338,76</w:t>
            </w:r>
          </w:p>
        </w:tc>
        <w:tc>
          <w:tcPr>
            <w:tcW w:w="1512" w:type="dxa"/>
          </w:tcPr>
          <w:p w:rsidR="00084C5A" w:rsidRPr="00991B8A" w:rsidRDefault="00084C5A" w:rsidP="002861AD">
            <w:pPr>
              <w:ind w:left="-58" w:right="-77"/>
              <w:jc w:val="center"/>
              <w:rPr>
                <w:i/>
              </w:rPr>
            </w:pPr>
            <w:r w:rsidRPr="00991B8A">
              <w:rPr>
                <w:i/>
              </w:rPr>
              <w:t>2 410 120,33</w:t>
            </w:r>
          </w:p>
        </w:tc>
      </w:tr>
      <w:tr w:rsidR="00991B8A" w:rsidRPr="00991B8A" w:rsidTr="00991B8A">
        <w:tc>
          <w:tcPr>
            <w:tcW w:w="4786" w:type="dxa"/>
            <w:vAlign w:val="center"/>
          </w:tcPr>
          <w:p w:rsidR="00084C5A" w:rsidRPr="00991B8A" w:rsidRDefault="00084C5A" w:rsidP="00C9264B">
            <w:pPr>
              <w:pStyle w:val="Nzov"/>
              <w:numPr>
                <w:ilvl w:val="0"/>
                <w:numId w:val="11"/>
              </w:numPr>
              <w:tabs>
                <w:tab w:val="clear" w:pos="2160"/>
                <w:tab w:val="num" w:pos="426"/>
              </w:tabs>
              <w:spacing w:before="20" w:after="20"/>
              <w:ind w:left="-6" w:firstLine="149"/>
              <w:jc w:val="left"/>
              <w:rPr>
                <w:i/>
                <w:iCs/>
                <w:sz w:val="24"/>
                <w:szCs w:val="24"/>
              </w:rPr>
            </w:pPr>
            <w:r w:rsidRPr="00991B8A">
              <w:rPr>
                <w:i/>
                <w:iCs/>
                <w:sz w:val="24"/>
                <w:szCs w:val="24"/>
              </w:rPr>
              <w:t>príjem rozpočtov VÚC</w:t>
            </w:r>
          </w:p>
        </w:tc>
        <w:tc>
          <w:tcPr>
            <w:tcW w:w="1537" w:type="dxa"/>
          </w:tcPr>
          <w:p w:rsidR="00084C5A" w:rsidRPr="00991B8A" w:rsidRDefault="00084C5A" w:rsidP="006106F6">
            <w:pPr>
              <w:jc w:val="center"/>
              <w:rPr>
                <w:i/>
              </w:rPr>
            </w:pPr>
            <w:r w:rsidRPr="00991B8A">
              <w:rPr>
                <w:i/>
              </w:rPr>
              <w:t>1 055 742,64</w:t>
            </w:r>
          </w:p>
        </w:tc>
        <w:tc>
          <w:tcPr>
            <w:tcW w:w="1512" w:type="dxa"/>
          </w:tcPr>
          <w:p w:rsidR="00084C5A" w:rsidRPr="00991B8A" w:rsidRDefault="00084C5A" w:rsidP="008E076F">
            <w:pPr>
              <w:jc w:val="center"/>
              <w:rPr>
                <w:i/>
              </w:rPr>
            </w:pPr>
            <w:r w:rsidRPr="00991B8A">
              <w:rPr>
                <w:i/>
              </w:rPr>
              <w:t>1 048 002,33</w:t>
            </w:r>
          </w:p>
        </w:tc>
        <w:tc>
          <w:tcPr>
            <w:tcW w:w="1512" w:type="dxa"/>
          </w:tcPr>
          <w:p w:rsidR="00084C5A" w:rsidRPr="00991B8A" w:rsidRDefault="00084C5A" w:rsidP="002861AD">
            <w:pPr>
              <w:jc w:val="center"/>
              <w:rPr>
                <w:i/>
              </w:rPr>
            </w:pPr>
            <w:r w:rsidRPr="00991B8A">
              <w:rPr>
                <w:i/>
              </w:rPr>
              <w:t>1 032 908,71</w:t>
            </w:r>
          </w:p>
        </w:tc>
      </w:tr>
    </w:tbl>
    <w:p w:rsidR="001E761C" w:rsidRPr="00991B8A" w:rsidRDefault="001E761C" w:rsidP="00A0360F">
      <w:pPr>
        <w:pStyle w:val="Nzov"/>
        <w:ind w:firstLine="709"/>
        <w:jc w:val="both"/>
        <w:rPr>
          <w:sz w:val="24"/>
          <w:szCs w:val="24"/>
        </w:rPr>
      </w:pPr>
    </w:p>
    <w:p w:rsidR="001E761C" w:rsidRPr="00991B8A" w:rsidRDefault="001E761C" w:rsidP="00A0360F">
      <w:pPr>
        <w:pStyle w:val="Nzov"/>
        <w:ind w:firstLine="709"/>
        <w:jc w:val="both"/>
        <w:rPr>
          <w:sz w:val="24"/>
          <w:szCs w:val="24"/>
        </w:rPr>
      </w:pPr>
    </w:p>
    <w:p w:rsidR="002A5D7C" w:rsidRPr="00991B8A" w:rsidRDefault="00995E7F" w:rsidP="00A0360F">
      <w:pPr>
        <w:pStyle w:val="Nzov"/>
        <w:jc w:val="both"/>
        <w:rPr>
          <w:sz w:val="24"/>
          <w:szCs w:val="24"/>
          <w:u w:val="single"/>
        </w:rPr>
      </w:pPr>
      <w:r w:rsidRPr="00991B8A">
        <w:rPr>
          <w:sz w:val="24"/>
          <w:szCs w:val="24"/>
        </w:rPr>
        <w:t xml:space="preserve">D.2 </w:t>
      </w:r>
      <w:r w:rsidR="00A0360F" w:rsidRPr="00991B8A">
        <w:rPr>
          <w:sz w:val="24"/>
          <w:szCs w:val="24"/>
        </w:rPr>
        <w:tab/>
      </w:r>
      <w:r w:rsidRPr="00991B8A">
        <w:rPr>
          <w:sz w:val="24"/>
          <w:szCs w:val="24"/>
          <w:u w:val="single"/>
        </w:rPr>
        <w:t xml:space="preserve">Vplyv </w:t>
      </w:r>
      <w:r w:rsidR="002A5D7C" w:rsidRPr="00991B8A">
        <w:rPr>
          <w:sz w:val="24"/>
          <w:szCs w:val="24"/>
          <w:u w:val="single"/>
        </w:rPr>
        <w:t>v položke ekonomickej klasifikácie 131 – Daň z pridanej hodnoty</w:t>
      </w:r>
    </w:p>
    <w:p w:rsidR="00A0360F" w:rsidRPr="00991B8A" w:rsidRDefault="00A0360F" w:rsidP="00A0360F">
      <w:pPr>
        <w:pStyle w:val="Nzov"/>
        <w:ind w:firstLine="709"/>
        <w:jc w:val="both"/>
        <w:rPr>
          <w:sz w:val="24"/>
          <w:szCs w:val="24"/>
        </w:rPr>
      </w:pPr>
    </w:p>
    <w:p w:rsidR="00382123" w:rsidRPr="00991B8A" w:rsidRDefault="002A5D7C" w:rsidP="00D528D1">
      <w:pPr>
        <w:pStyle w:val="Nzov"/>
        <w:ind w:firstLine="709"/>
        <w:jc w:val="both"/>
        <w:rPr>
          <w:sz w:val="24"/>
          <w:szCs w:val="24"/>
        </w:rPr>
      </w:pPr>
      <w:r w:rsidRPr="00991B8A">
        <w:rPr>
          <w:sz w:val="24"/>
          <w:szCs w:val="24"/>
        </w:rPr>
        <w:t xml:space="preserve">Výpočet tohto vplyvu vychádza z opodstatneného predpokladu, že zamestnanec s príjmom </w:t>
      </w:r>
      <w:r w:rsidR="00C5091D" w:rsidRPr="00991B8A">
        <w:rPr>
          <w:sz w:val="24"/>
          <w:szCs w:val="24"/>
        </w:rPr>
        <w:t xml:space="preserve">na úrovni </w:t>
      </w:r>
      <w:r w:rsidRPr="00991B8A">
        <w:rPr>
          <w:sz w:val="24"/>
          <w:szCs w:val="24"/>
        </w:rPr>
        <w:t xml:space="preserve">sumy minimálnej mzdy </w:t>
      </w:r>
      <w:r w:rsidRPr="00991B8A">
        <w:rPr>
          <w:b/>
          <w:sz w:val="24"/>
          <w:szCs w:val="24"/>
        </w:rPr>
        <w:t xml:space="preserve">použije zvýšený </w:t>
      </w:r>
      <w:r w:rsidR="00DE06B6" w:rsidRPr="00991B8A">
        <w:rPr>
          <w:b/>
          <w:sz w:val="24"/>
          <w:szCs w:val="24"/>
        </w:rPr>
        <w:t xml:space="preserve">čistý príjem </w:t>
      </w:r>
      <w:r w:rsidRPr="00991B8A">
        <w:rPr>
          <w:b/>
          <w:sz w:val="24"/>
          <w:szCs w:val="24"/>
        </w:rPr>
        <w:t>na nákup základných životných potrieb</w:t>
      </w:r>
      <w:r w:rsidRPr="00991B8A">
        <w:rPr>
          <w:sz w:val="24"/>
          <w:szCs w:val="24"/>
        </w:rPr>
        <w:t xml:space="preserve">, najmä potravín, ošatenia a iného tovaru. Z tohto dôvodu možno počítať </w:t>
      </w:r>
      <w:r w:rsidRPr="00991B8A">
        <w:rPr>
          <w:b/>
          <w:sz w:val="24"/>
          <w:szCs w:val="24"/>
        </w:rPr>
        <w:t xml:space="preserve">s kladným </w:t>
      </w:r>
      <w:r w:rsidR="00E54305" w:rsidRPr="00991B8A">
        <w:rPr>
          <w:b/>
          <w:sz w:val="24"/>
          <w:szCs w:val="24"/>
        </w:rPr>
        <w:t xml:space="preserve">vplyvom </w:t>
      </w:r>
      <w:r w:rsidRPr="00991B8A">
        <w:rPr>
          <w:sz w:val="24"/>
          <w:szCs w:val="24"/>
        </w:rPr>
        <w:t>n</w:t>
      </w:r>
      <w:r w:rsidR="00E54305" w:rsidRPr="00991B8A">
        <w:rPr>
          <w:sz w:val="24"/>
          <w:szCs w:val="24"/>
        </w:rPr>
        <w:t>a zvýšenie príjmu štátneho rozpočtu aj v položke</w:t>
      </w:r>
      <w:r w:rsidR="00E54305" w:rsidRPr="00991B8A">
        <w:rPr>
          <w:b/>
          <w:sz w:val="24"/>
          <w:szCs w:val="24"/>
        </w:rPr>
        <w:t xml:space="preserve"> </w:t>
      </w:r>
      <w:r w:rsidRPr="00991B8A">
        <w:rPr>
          <w:b/>
          <w:sz w:val="24"/>
          <w:szCs w:val="24"/>
        </w:rPr>
        <w:t>z dane z pridanej hodnoty</w:t>
      </w:r>
      <w:r w:rsidRPr="00991B8A">
        <w:rPr>
          <w:sz w:val="24"/>
          <w:szCs w:val="24"/>
        </w:rPr>
        <w:t xml:space="preserve">. </w:t>
      </w:r>
      <w:r w:rsidR="00EB5186" w:rsidRPr="00991B8A">
        <w:rPr>
          <w:sz w:val="24"/>
          <w:szCs w:val="24"/>
        </w:rPr>
        <w:t xml:space="preserve">Čistá disponibilná suma zo zvýšenia sumy minimálnej mzdy zo </w:t>
      </w:r>
      <w:r w:rsidR="00E80E64" w:rsidRPr="00991B8A">
        <w:rPr>
          <w:sz w:val="24"/>
          <w:szCs w:val="24"/>
        </w:rPr>
        <w:t>480 eur</w:t>
      </w:r>
      <w:r w:rsidR="00EB5186" w:rsidRPr="00991B8A">
        <w:rPr>
          <w:sz w:val="24"/>
          <w:szCs w:val="24"/>
        </w:rPr>
        <w:t xml:space="preserve"> mesačne na </w:t>
      </w:r>
      <w:r w:rsidR="00E80E64" w:rsidRPr="00991B8A">
        <w:rPr>
          <w:sz w:val="24"/>
          <w:szCs w:val="24"/>
        </w:rPr>
        <w:t>520 eur</w:t>
      </w:r>
      <w:r w:rsidR="00EB5186" w:rsidRPr="00991B8A">
        <w:rPr>
          <w:sz w:val="24"/>
          <w:szCs w:val="24"/>
        </w:rPr>
        <w:t xml:space="preserve"> mesačne je </w:t>
      </w:r>
      <w:r w:rsidR="00FD3116" w:rsidRPr="00991B8A">
        <w:rPr>
          <w:b/>
          <w:sz w:val="24"/>
          <w:szCs w:val="24"/>
        </w:rPr>
        <w:t xml:space="preserve">29,07 </w:t>
      </w:r>
      <w:r w:rsidR="00EB5186" w:rsidRPr="00991B8A">
        <w:rPr>
          <w:b/>
          <w:sz w:val="24"/>
          <w:szCs w:val="24"/>
        </w:rPr>
        <w:t>eura mesačne</w:t>
      </w:r>
      <w:r w:rsidR="0097014B" w:rsidRPr="00991B8A">
        <w:rPr>
          <w:sz w:val="24"/>
          <w:szCs w:val="24"/>
        </w:rPr>
        <w:t>:</w:t>
      </w:r>
    </w:p>
    <w:p w:rsidR="00202814" w:rsidRPr="00991B8A" w:rsidRDefault="00202814" w:rsidP="003426D9">
      <w:pPr>
        <w:pStyle w:val="Nzov"/>
        <w:jc w:val="both"/>
        <w:rPr>
          <w:i/>
          <w:sz w:val="24"/>
          <w:szCs w:val="24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3"/>
        <w:gridCol w:w="7"/>
        <w:gridCol w:w="2036"/>
        <w:gridCol w:w="1991"/>
      </w:tblGrid>
      <w:tr w:rsidR="006113DC" w:rsidRPr="00991B8A" w:rsidTr="00FC2989">
        <w:trPr>
          <w:trHeight w:val="590"/>
        </w:trPr>
        <w:tc>
          <w:tcPr>
            <w:tcW w:w="5320" w:type="dxa"/>
            <w:gridSpan w:val="2"/>
            <w:noWrap/>
            <w:vAlign w:val="center"/>
            <w:hideMark/>
          </w:tcPr>
          <w:p w:rsidR="006113DC" w:rsidRPr="00991B8A" w:rsidRDefault="006113DC" w:rsidP="00403353">
            <w:pPr>
              <w:rPr>
                <w:rFonts w:eastAsia="Arial Unicode MS"/>
                <w:b/>
                <w:bCs/>
              </w:rPr>
            </w:pPr>
            <w:r w:rsidRPr="00991B8A">
              <w:rPr>
                <w:rFonts w:eastAsia="Arial Unicode MS"/>
                <w:b/>
                <w:bCs/>
              </w:rPr>
              <w:t>Príjem zo závislej činnosti vo výške:</w:t>
            </w:r>
          </w:p>
        </w:tc>
        <w:tc>
          <w:tcPr>
            <w:tcW w:w="2036" w:type="dxa"/>
            <w:vAlign w:val="center"/>
          </w:tcPr>
          <w:p w:rsidR="006113DC" w:rsidRPr="00991B8A" w:rsidRDefault="006113DC" w:rsidP="00202814">
            <w:pPr>
              <w:jc w:val="center"/>
              <w:rPr>
                <w:rFonts w:eastAsia="Arial Unicode MS"/>
                <w:b/>
                <w:bCs/>
              </w:rPr>
            </w:pPr>
            <w:r w:rsidRPr="00991B8A">
              <w:rPr>
                <w:rFonts w:eastAsia="Arial Unicode MS"/>
                <w:b/>
                <w:bCs/>
              </w:rPr>
              <w:t xml:space="preserve">Suma MM </w:t>
            </w:r>
            <w:r w:rsidR="00BC6486" w:rsidRPr="00991B8A">
              <w:rPr>
                <w:rFonts w:eastAsia="Arial Unicode MS"/>
                <w:b/>
                <w:bCs/>
              </w:rPr>
              <w:t>480</w:t>
            </w:r>
            <w:r w:rsidRPr="00991B8A">
              <w:rPr>
                <w:rFonts w:eastAsia="Arial Unicode MS"/>
                <w:b/>
                <w:bCs/>
              </w:rPr>
              <w:t xml:space="preserve"> €</w:t>
            </w:r>
          </w:p>
        </w:tc>
        <w:tc>
          <w:tcPr>
            <w:tcW w:w="1991" w:type="dxa"/>
            <w:vAlign w:val="center"/>
          </w:tcPr>
          <w:p w:rsidR="006113DC" w:rsidRPr="00991B8A" w:rsidRDefault="006113DC" w:rsidP="00D33B69">
            <w:pPr>
              <w:jc w:val="center"/>
              <w:rPr>
                <w:rFonts w:eastAsia="Arial Unicode MS"/>
                <w:b/>
                <w:bCs/>
              </w:rPr>
            </w:pPr>
            <w:r w:rsidRPr="00991B8A">
              <w:rPr>
                <w:rFonts w:eastAsia="Arial Unicode MS"/>
                <w:b/>
                <w:bCs/>
              </w:rPr>
              <w:t xml:space="preserve"> Suma MM </w:t>
            </w:r>
            <w:r w:rsidR="00BC6486" w:rsidRPr="00991B8A">
              <w:rPr>
                <w:rFonts w:eastAsia="Arial Unicode MS"/>
                <w:b/>
                <w:bCs/>
              </w:rPr>
              <w:t>520 €</w:t>
            </w:r>
          </w:p>
        </w:tc>
      </w:tr>
      <w:tr w:rsidR="00991B8A" w:rsidRPr="00991B8A" w:rsidTr="00991B8A">
        <w:trPr>
          <w:trHeight w:hRule="exact" w:val="414"/>
        </w:trPr>
        <w:tc>
          <w:tcPr>
            <w:tcW w:w="5320" w:type="dxa"/>
            <w:gridSpan w:val="2"/>
            <w:noWrap/>
            <w:vAlign w:val="center"/>
          </w:tcPr>
          <w:p w:rsidR="00EB3581" w:rsidRPr="00991B8A" w:rsidRDefault="00EB3581" w:rsidP="00403353">
            <w:pPr>
              <w:rPr>
                <w:bCs/>
              </w:rPr>
            </w:pPr>
            <w:r w:rsidRPr="00991B8A">
              <w:rPr>
                <w:bCs/>
              </w:rPr>
              <w:t>Odvody poistného za zamestnanca</w:t>
            </w:r>
          </w:p>
        </w:tc>
        <w:tc>
          <w:tcPr>
            <w:tcW w:w="2036" w:type="dxa"/>
            <w:noWrap/>
            <w:vAlign w:val="center"/>
          </w:tcPr>
          <w:p w:rsidR="00EB3581" w:rsidRPr="00991B8A" w:rsidRDefault="00074852" w:rsidP="001777F0">
            <w:pPr>
              <w:jc w:val="center"/>
              <w:rPr>
                <w:rFonts w:eastAsia="Arial Unicode MS"/>
                <w:bCs/>
              </w:rPr>
            </w:pPr>
            <w:r w:rsidRPr="00991B8A">
              <w:rPr>
                <w:rFonts w:eastAsia="Arial Unicode MS"/>
              </w:rPr>
              <w:t xml:space="preserve">57,12 </w:t>
            </w:r>
            <w:r w:rsidR="00EB3581" w:rsidRPr="00991B8A">
              <w:rPr>
                <w:rFonts w:eastAsia="Arial Unicode MS"/>
              </w:rPr>
              <w:t>€</w:t>
            </w:r>
          </w:p>
        </w:tc>
        <w:tc>
          <w:tcPr>
            <w:tcW w:w="1991" w:type="dxa"/>
            <w:vAlign w:val="center"/>
          </w:tcPr>
          <w:p w:rsidR="00074852" w:rsidRPr="00991B8A" w:rsidRDefault="00074852" w:rsidP="001777F0">
            <w:pPr>
              <w:jc w:val="center"/>
              <w:rPr>
                <w:rFonts w:eastAsia="Arial Unicode MS"/>
              </w:rPr>
            </w:pPr>
            <w:r w:rsidRPr="00991B8A">
              <w:rPr>
                <w:rFonts w:eastAsia="Arial Unicode MS"/>
              </w:rPr>
              <w:t>65,68</w:t>
            </w:r>
          </w:p>
          <w:p w:rsidR="00EB3581" w:rsidRPr="00991B8A" w:rsidRDefault="00EB3581" w:rsidP="001777F0">
            <w:pPr>
              <w:jc w:val="center"/>
              <w:rPr>
                <w:rFonts w:eastAsia="Arial Unicode MS"/>
              </w:rPr>
            </w:pPr>
            <w:r w:rsidRPr="00991B8A">
              <w:rPr>
                <w:rFonts w:eastAsia="Arial Unicode MS"/>
              </w:rPr>
              <w:t>€</w:t>
            </w:r>
          </w:p>
        </w:tc>
      </w:tr>
      <w:tr w:rsidR="00EB3581" w:rsidRPr="00991B8A" w:rsidTr="00FC2989">
        <w:trPr>
          <w:trHeight w:hRule="exact" w:val="300"/>
        </w:trPr>
        <w:tc>
          <w:tcPr>
            <w:tcW w:w="5320" w:type="dxa"/>
            <w:gridSpan w:val="2"/>
            <w:noWrap/>
            <w:vAlign w:val="center"/>
          </w:tcPr>
          <w:p w:rsidR="00EB3581" w:rsidRPr="00991B8A" w:rsidRDefault="00EB3581" w:rsidP="00403353">
            <w:pPr>
              <w:rPr>
                <w:bCs/>
              </w:rPr>
            </w:pPr>
            <w:r w:rsidRPr="00991B8A">
              <w:rPr>
                <w:bCs/>
              </w:rPr>
              <w:t>Daň z príjmov zo závislej činnosti (19 % základu)</w:t>
            </w:r>
          </w:p>
        </w:tc>
        <w:tc>
          <w:tcPr>
            <w:tcW w:w="2036" w:type="dxa"/>
            <w:noWrap/>
            <w:vAlign w:val="center"/>
          </w:tcPr>
          <w:p w:rsidR="00EB3581" w:rsidRPr="00991B8A" w:rsidRDefault="00074852" w:rsidP="00202814">
            <w:pPr>
              <w:jc w:val="center"/>
              <w:rPr>
                <w:rFonts w:eastAsia="Arial Unicode MS"/>
                <w:bCs/>
              </w:rPr>
            </w:pPr>
            <w:r w:rsidRPr="00991B8A">
              <w:rPr>
                <w:rFonts w:eastAsia="Arial Unicode MS"/>
                <w:bCs/>
              </w:rPr>
              <w:t xml:space="preserve">19,70 </w:t>
            </w:r>
            <w:r w:rsidR="00EB3581" w:rsidRPr="00991B8A">
              <w:rPr>
                <w:rFonts w:eastAsia="Arial Unicode MS"/>
                <w:bCs/>
              </w:rPr>
              <w:t>€</w:t>
            </w:r>
          </w:p>
        </w:tc>
        <w:tc>
          <w:tcPr>
            <w:tcW w:w="1991" w:type="dxa"/>
            <w:vAlign w:val="center"/>
          </w:tcPr>
          <w:p w:rsidR="00EB3581" w:rsidRPr="00991B8A" w:rsidRDefault="00074852" w:rsidP="00202814">
            <w:pPr>
              <w:jc w:val="center"/>
              <w:rPr>
                <w:rFonts w:eastAsia="Arial Unicode MS"/>
                <w:bCs/>
              </w:rPr>
            </w:pPr>
            <w:r w:rsidRPr="00991B8A">
              <w:rPr>
                <w:rFonts w:eastAsia="Arial Unicode MS"/>
                <w:bCs/>
              </w:rPr>
              <w:t xml:space="preserve">23,97 </w:t>
            </w:r>
            <w:r w:rsidR="00EB3581" w:rsidRPr="00991B8A">
              <w:rPr>
                <w:rFonts w:eastAsia="Arial Unicode MS"/>
                <w:bCs/>
              </w:rPr>
              <w:t>€</w:t>
            </w:r>
          </w:p>
        </w:tc>
      </w:tr>
      <w:tr w:rsidR="00EB3581" w:rsidRPr="00991B8A" w:rsidTr="00FC2989">
        <w:trPr>
          <w:trHeight w:hRule="exact" w:val="588"/>
        </w:trPr>
        <w:tc>
          <w:tcPr>
            <w:tcW w:w="5313" w:type="dxa"/>
            <w:noWrap/>
            <w:vAlign w:val="center"/>
          </w:tcPr>
          <w:p w:rsidR="00EB3581" w:rsidRPr="00991B8A" w:rsidRDefault="00EB3581" w:rsidP="00403353">
            <w:pPr>
              <w:rPr>
                <w:rFonts w:eastAsia="Arial Unicode MS"/>
                <w:b/>
                <w:bCs/>
              </w:rPr>
            </w:pPr>
            <w:r w:rsidRPr="00991B8A">
              <w:rPr>
                <w:rFonts w:eastAsia="Arial Unicode MS"/>
                <w:b/>
                <w:bCs/>
              </w:rPr>
              <w:t>Čistý príjem zamestnanca v eurách mesačne:</w:t>
            </w:r>
          </w:p>
        </w:tc>
        <w:tc>
          <w:tcPr>
            <w:tcW w:w="2043" w:type="dxa"/>
            <w:gridSpan w:val="2"/>
            <w:vAlign w:val="center"/>
          </w:tcPr>
          <w:p w:rsidR="00EB3581" w:rsidRPr="00991B8A" w:rsidRDefault="00074852" w:rsidP="00403353">
            <w:pPr>
              <w:jc w:val="center"/>
              <w:rPr>
                <w:rFonts w:eastAsia="Arial Unicode MS"/>
                <w:b/>
                <w:bCs/>
              </w:rPr>
            </w:pPr>
            <w:r w:rsidRPr="00991B8A">
              <w:rPr>
                <w:rFonts w:eastAsia="Arial Unicode MS"/>
                <w:b/>
                <w:bCs/>
              </w:rPr>
              <w:t xml:space="preserve">403,18 </w:t>
            </w:r>
            <w:r w:rsidR="00EB3581" w:rsidRPr="00991B8A">
              <w:rPr>
                <w:rFonts w:eastAsia="Arial Unicode MS"/>
                <w:b/>
                <w:bCs/>
              </w:rPr>
              <w:t>€</w:t>
            </w:r>
          </w:p>
        </w:tc>
        <w:tc>
          <w:tcPr>
            <w:tcW w:w="1991" w:type="dxa"/>
            <w:vAlign w:val="center"/>
          </w:tcPr>
          <w:p w:rsidR="00EB3581" w:rsidRPr="00991B8A" w:rsidRDefault="00074852" w:rsidP="00403353">
            <w:pPr>
              <w:jc w:val="center"/>
              <w:rPr>
                <w:rFonts w:eastAsia="Arial Unicode MS"/>
                <w:b/>
                <w:bCs/>
              </w:rPr>
            </w:pPr>
            <w:r w:rsidRPr="00991B8A">
              <w:rPr>
                <w:rFonts w:eastAsia="Arial Unicode MS"/>
                <w:b/>
                <w:bCs/>
              </w:rPr>
              <w:t xml:space="preserve">430,35 </w:t>
            </w:r>
            <w:r w:rsidR="00EB3581" w:rsidRPr="00991B8A">
              <w:rPr>
                <w:rFonts w:eastAsia="Arial Unicode MS"/>
                <w:b/>
                <w:bCs/>
              </w:rPr>
              <w:t>€</w:t>
            </w:r>
          </w:p>
        </w:tc>
      </w:tr>
      <w:tr w:rsidR="006113DC" w:rsidRPr="00991B8A" w:rsidTr="00FC2989">
        <w:trPr>
          <w:trHeight w:hRule="exact" w:val="588"/>
        </w:trPr>
        <w:tc>
          <w:tcPr>
            <w:tcW w:w="5313" w:type="dxa"/>
            <w:shd w:val="clear" w:color="auto" w:fill="FFFFCC"/>
            <w:noWrap/>
            <w:vAlign w:val="center"/>
          </w:tcPr>
          <w:p w:rsidR="006113DC" w:rsidRPr="00991B8A" w:rsidRDefault="006113DC" w:rsidP="00403353">
            <w:pPr>
              <w:rPr>
                <w:rFonts w:eastAsia="Arial Unicode MS"/>
                <w:b/>
                <w:bCs/>
              </w:rPr>
            </w:pPr>
            <w:r w:rsidRPr="00991B8A">
              <w:rPr>
                <w:rFonts w:eastAsia="Arial Unicode MS"/>
                <w:b/>
                <w:bCs/>
              </w:rPr>
              <w:t>Maximálne disponibilné zvýšenie príjmu zamestnanca v eurách mesačne:</w:t>
            </w:r>
          </w:p>
        </w:tc>
        <w:tc>
          <w:tcPr>
            <w:tcW w:w="4034" w:type="dxa"/>
            <w:gridSpan w:val="3"/>
            <w:shd w:val="clear" w:color="auto" w:fill="FFFFCC"/>
            <w:vAlign w:val="center"/>
          </w:tcPr>
          <w:p w:rsidR="006113DC" w:rsidRPr="00991B8A" w:rsidRDefault="00FC456C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27,17 €</w:t>
            </w:r>
          </w:p>
        </w:tc>
      </w:tr>
    </w:tbl>
    <w:p w:rsidR="00202814" w:rsidRPr="00991B8A" w:rsidRDefault="00202814" w:rsidP="003426D9">
      <w:pPr>
        <w:pStyle w:val="Nzov"/>
        <w:jc w:val="both"/>
        <w:rPr>
          <w:i/>
          <w:sz w:val="24"/>
          <w:szCs w:val="24"/>
        </w:rPr>
      </w:pPr>
    </w:p>
    <w:p w:rsidR="002A5D7C" w:rsidRPr="00991B8A" w:rsidRDefault="008378D4" w:rsidP="008378D4">
      <w:pPr>
        <w:pStyle w:val="Nzov"/>
        <w:ind w:firstLine="708"/>
        <w:jc w:val="both"/>
        <w:rPr>
          <w:sz w:val="24"/>
          <w:szCs w:val="24"/>
        </w:rPr>
      </w:pPr>
      <w:r w:rsidRPr="00991B8A">
        <w:rPr>
          <w:sz w:val="24"/>
          <w:szCs w:val="24"/>
        </w:rPr>
        <w:t>Reálne použiteľná suma je ovplyvnená skutočnosťou, že iba časti zamestnancov sa čistý príjem zvýši o</w:t>
      </w:r>
      <w:r w:rsidR="002861AD" w:rsidRPr="00991B8A">
        <w:rPr>
          <w:sz w:val="24"/>
          <w:szCs w:val="24"/>
        </w:rPr>
        <w:t> </w:t>
      </w:r>
      <w:r w:rsidR="00FC456C" w:rsidRPr="00991B8A">
        <w:rPr>
          <w:sz w:val="24"/>
          <w:szCs w:val="24"/>
        </w:rPr>
        <w:t xml:space="preserve">27,17 </w:t>
      </w:r>
      <w:r w:rsidRPr="00991B8A">
        <w:rPr>
          <w:sz w:val="24"/>
          <w:szCs w:val="24"/>
        </w:rPr>
        <w:t>eura mesačne. Kvalifikovaný odhad vychádza z kvantifikovaných údajov o počtoch zamestnancov v jednotlivých príjmových pásmach a predpokladanej výške doplatku do sumy minimálnej mzdy:</w:t>
      </w:r>
    </w:p>
    <w:p w:rsidR="008378D4" w:rsidRPr="00991B8A" w:rsidRDefault="008378D4" w:rsidP="008378D4">
      <w:pPr>
        <w:pStyle w:val="Nzov"/>
        <w:ind w:firstLine="708"/>
        <w:jc w:val="both"/>
        <w:rPr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1738"/>
        <w:gridCol w:w="1733"/>
        <w:gridCol w:w="1701"/>
        <w:tblGridChange w:id="13">
          <w:tblGrid>
            <w:gridCol w:w="4308"/>
            <w:gridCol w:w="1738"/>
            <w:gridCol w:w="1733"/>
            <w:gridCol w:w="1701"/>
          </w:tblGrid>
        </w:tblGridChange>
      </w:tblGrid>
      <w:tr w:rsidR="00A659AC" w:rsidRPr="00991B8A" w:rsidTr="00604743">
        <w:tc>
          <w:tcPr>
            <w:tcW w:w="4308" w:type="dxa"/>
            <w:vAlign w:val="center"/>
          </w:tcPr>
          <w:p w:rsidR="00965D95" w:rsidRPr="00991B8A" w:rsidRDefault="00965D95" w:rsidP="00403353">
            <w:pPr>
              <w:pStyle w:val="Nzov"/>
              <w:tabs>
                <w:tab w:val="left" w:pos="1800"/>
              </w:tabs>
              <w:jc w:val="left"/>
              <w:rPr>
                <w:sz w:val="24"/>
                <w:szCs w:val="24"/>
              </w:rPr>
            </w:pPr>
            <w:r w:rsidRPr="00991B8A">
              <w:rPr>
                <w:sz w:val="24"/>
                <w:szCs w:val="24"/>
              </w:rPr>
              <w:t>Ukazovateľ</w:t>
            </w:r>
          </w:p>
        </w:tc>
        <w:tc>
          <w:tcPr>
            <w:tcW w:w="1738" w:type="dxa"/>
            <w:vAlign w:val="center"/>
          </w:tcPr>
          <w:p w:rsidR="00965D95" w:rsidRPr="00991B8A" w:rsidRDefault="00E80E64" w:rsidP="00604743">
            <w:pPr>
              <w:pStyle w:val="Nzov"/>
              <w:tabs>
                <w:tab w:val="left" w:pos="1800"/>
              </w:tabs>
              <w:rPr>
                <w:sz w:val="24"/>
                <w:szCs w:val="24"/>
              </w:rPr>
            </w:pPr>
            <w:r w:rsidRPr="00991B8A">
              <w:rPr>
                <w:sz w:val="24"/>
                <w:szCs w:val="24"/>
              </w:rPr>
              <w:t>2019</w:t>
            </w:r>
          </w:p>
        </w:tc>
        <w:tc>
          <w:tcPr>
            <w:tcW w:w="1733" w:type="dxa"/>
            <w:vAlign w:val="center"/>
          </w:tcPr>
          <w:p w:rsidR="00965D95" w:rsidRPr="00991B8A" w:rsidRDefault="00E80E64" w:rsidP="00604743">
            <w:pPr>
              <w:pStyle w:val="Nzov"/>
              <w:tabs>
                <w:tab w:val="left" w:pos="1800"/>
              </w:tabs>
              <w:rPr>
                <w:sz w:val="24"/>
                <w:szCs w:val="24"/>
              </w:rPr>
            </w:pPr>
            <w:r w:rsidRPr="00991B8A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965D95" w:rsidRPr="00991B8A" w:rsidRDefault="00E80E64" w:rsidP="00604743">
            <w:pPr>
              <w:pStyle w:val="Nzov"/>
              <w:tabs>
                <w:tab w:val="left" w:pos="1800"/>
              </w:tabs>
              <w:rPr>
                <w:sz w:val="24"/>
                <w:szCs w:val="24"/>
              </w:rPr>
            </w:pPr>
            <w:r w:rsidRPr="00991B8A">
              <w:rPr>
                <w:sz w:val="24"/>
                <w:szCs w:val="24"/>
              </w:rPr>
              <w:t>2021</w:t>
            </w:r>
          </w:p>
        </w:tc>
      </w:tr>
      <w:tr w:rsidR="00991B8A" w:rsidRPr="00991B8A" w:rsidTr="00991B8A">
        <w:tc>
          <w:tcPr>
            <w:tcW w:w="4308" w:type="dxa"/>
            <w:vAlign w:val="center"/>
          </w:tcPr>
          <w:p w:rsidR="00FC456C" w:rsidRPr="00991B8A" w:rsidRDefault="00FC456C" w:rsidP="00403353">
            <w:pPr>
              <w:pStyle w:val="Nzov"/>
              <w:tabs>
                <w:tab w:val="left" w:pos="1800"/>
              </w:tabs>
              <w:jc w:val="left"/>
              <w:rPr>
                <w:i/>
                <w:sz w:val="24"/>
                <w:szCs w:val="24"/>
              </w:rPr>
            </w:pPr>
            <w:r w:rsidRPr="00991B8A">
              <w:rPr>
                <w:i/>
                <w:sz w:val="24"/>
                <w:szCs w:val="24"/>
              </w:rPr>
              <w:t>Nárast doplatkov v podnikateľskej sfére v eurách ročne</w:t>
            </w:r>
          </w:p>
        </w:tc>
        <w:tc>
          <w:tcPr>
            <w:tcW w:w="1738" w:type="dxa"/>
            <w:vAlign w:val="center"/>
          </w:tcPr>
          <w:p w:rsidR="00FC456C" w:rsidRPr="00991B8A" w:rsidRDefault="00FC456C" w:rsidP="00991B8A">
            <w:pPr>
              <w:jc w:val="center"/>
              <w:rPr>
                <w:i/>
                <w:iCs/>
              </w:rPr>
            </w:pPr>
            <w:r w:rsidRPr="00991B8A">
              <w:rPr>
                <w:i/>
              </w:rPr>
              <w:t>39 507 636,24</w:t>
            </w:r>
          </w:p>
        </w:tc>
        <w:tc>
          <w:tcPr>
            <w:tcW w:w="1733" w:type="dxa"/>
            <w:vAlign w:val="center"/>
          </w:tcPr>
          <w:p w:rsidR="00FC456C" w:rsidRPr="00991B8A" w:rsidRDefault="00FC456C" w:rsidP="00991B8A">
            <w:pPr>
              <w:jc w:val="center"/>
              <w:rPr>
                <w:i/>
                <w:iCs/>
              </w:rPr>
            </w:pPr>
            <w:r w:rsidRPr="00991B8A">
              <w:rPr>
                <w:i/>
              </w:rPr>
              <w:t>39 507 636,24</w:t>
            </w:r>
          </w:p>
        </w:tc>
        <w:tc>
          <w:tcPr>
            <w:tcW w:w="1701" w:type="dxa"/>
            <w:vAlign w:val="center"/>
          </w:tcPr>
          <w:p w:rsidR="00FC456C" w:rsidRPr="00991B8A" w:rsidRDefault="00FC456C" w:rsidP="00991B8A">
            <w:pPr>
              <w:jc w:val="center"/>
              <w:rPr>
                <w:i/>
                <w:iCs/>
              </w:rPr>
            </w:pPr>
            <w:r w:rsidRPr="00991B8A">
              <w:rPr>
                <w:i/>
              </w:rPr>
              <w:t>39 507 636,24</w:t>
            </w:r>
          </w:p>
        </w:tc>
      </w:tr>
      <w:tr w:rsidR="00991B8A" w:rsidRPr="00991B8A" w:rsidTr="00991B8A">
        <w:tc>
          <w:tcPr>
            <w:tcW w:w="4308" w:type="dxa"/>
            <w:vAlign w:val="center"/>
          </w:tcPr>
          <w:p w:rsidR="00FC456C" w:rsidRPr="00991B8A" w:rsidRDefault="00FC456C" w:rsidP="00403353">
            <w:pPr>
              <w:pStyle w:val="Nzov"/>
              <w:tabs>
                <w:tab w:val="left" w:pos="1800"/>
              </w:tabs>
              <w:jc w:val="left"/>
              <w:rPr>
                <w:i/>
                <w:sz w:val="24"/>
                <w:szCs w:val="24"/>
              </w:rPr>
            </w:pPr>
            <w:r w:rsidRPr="00991B8A">
              <w:rPr>
                <w:i/>
                <w:sz w:val="24"/>
                <w:szCs w:val="24"/>
              </w:rPr>
              <w:t>Nárast doplatkov v nepodnikateľskej sfére v eurách ročne</w:t>
            </w:r>
          </w:p>
        </w:tc>
        <w:tc>
          <w:tcPr>
            <w:tcW w:w="1738" w:type="dxa"/>
            <w:vAlign w:val="center"/>
          </w:tcPr>
          <w:p w:rsidR="00FC456C" w:rsidRPr="00991B8A" w:rsidRDefault="00FC456C" w:rsidP="00991B8A">
            <w:pPr>
              <w:jc w:val="center"/>
              <w:rPr>
                <w:i/>
                <w:iCs/>
              </w:rPr>
            </w:pPr>
            <w:r w:rsidRPr="00991B8A">
              <w:rPr>
                <w:i/>
              </w:rPr>
              <w:t>10 931 030,52</w:t>
            </w:r>
          </w:p>
        </w:tc>
        <w:tc>
          <w:tcPr>
            <w:tcW w:w="1733" w:type="dxa"/>
            <w:vAlign w:val="center"/>
          </w:tcPr>
          <w:p w:rsidR="00FC456C" w:rsidRPr="00991B8A" w:rsidRDefault="00FC456C" w:rsidP="00991B8A">
            <w:pPr>
              <w:jc w:val="center"/>
              <w:rPr>
                <w:i/>
                <w:iCs/>
              </w:rPr>
            </w:pPr>
            <w:r w:rsidRPr="00991B8A">
              <w:rPr>
                <w:i/>
              </w:rPr>
              <w:t>10 657 737,12</w:t>
            </w:r>
          </w:p>
        </w:tc>
        <w:tc>
          <w:tcPr>
            <w:tcW w:w="1701" w:type="dxa"/>
            <w:vAlign w:val="center"/>
          </w:tcPr>
          <w:p w:rsidR="00FC456C" w:rsidRPr="00991B8A" w:rsidRDefault="00FC456C" w:rsidP="00991B8A">
            <w:pPr>
              <w:jc w:val="center"/>
              <w:rPr>
                <w:i/>
                <w:iCs/>
              </w:rPr>
            </w:pPr>
            <w:r w:rsidRPr="00991B8A">
              <w:rPr>
                <w:i/>
              </w:rPr>
              <w:t>10 384 480,80</w:t>
            </w:r>
          </w:p>
        </w:tc>
      </w:tr>
      <w:tr w:rsidR="00254BE8" w:rsidRPr="00991B8A" w:rsidTr="00254BE8">
        <w:tc>
          <w:tcPr>
            <w:tcW w:w="4308" w:type="dxa"/>
            <w:vAlign w:val="center"/>
          </w:tcPr>
          <w:p w:rsidR="00FC456C" w:rsidRPr="00991B8A" w:rsidRDefault="00FC456C" w:rsidP="00403353">
            <w:pPr>
              <w:pStyle w:val="Nzov"/>
              <w:tabs>
                <w:tab w:val="left" w:pos="1800"/>
              </w:tabs>
              <w:jc w:val="left"/>
              <w:rPr>
                <w:b/>
                <w:bCs/>
                <w:sz w:val="24"/>
                <w:szCs w:val="24"/>
              </w:rPr>
            </w:pPr>
            <w:r w:rsidRPr="00991B8A">
              <w:rPr>
                <w:b/>
                <w:bCs/>
                <w:sz w:val="24"/>
                <w:szCs w:val="24"/>
              </w:rPr>
              <w:t xml:space="preserve">Zvýšenie hrubého príjmu zamestnancov v </w:t>
            </w:r>
            <w:r w:rsidRPr="00991B8A">
              <w:rPr>
                <w:b/>
                <w:bCs/>
                <w:iCs/>
                <w:sz w:val="24"/>
                <w:szCs w:val="24"/>
              </w:rPr>
              <w:t>eurách ročne</w:t>
            </w:r>
          </w:p>
        </w:tc>
        <w:tc>
          <w:tcPr>
            <w:tcW w:w="1738" w:type="dxa"/>
            <w:vAlign w:val="center"/>
          </w:tcPr>
          <w:p w:rsidR="00FC456C" w:rsidRPr="00991B8A" w:rsidRDefault="00FC456C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</w:rPr>
              <w:t>50 438 666,76</w:t>
            </w:r>
          </w:p>
        </w:tc>
        <w:tc>
          <w:tcPr>
            <w:tcW w:w="1733" w:type="dxa"/>
            <w:vAlign w:val="center"/>
          </w:tcPr>
          <w:p w:rsidR="00FC456C" w:rsidRPr="00991B8A" w:rsidRDefault="00FC456C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</w:rPr>
              <w:t>50 165 373,36</w:t>
            </w:r>
          </w:p>
        </w:tc>
        <w:tc>
          <w:tcPr>
            <w:tcW w:w="1701" w:type="dxa"/>
            <w:vAlign w:val="center"/>
          </w:tcPr>
          <w:p w:rsidR="00FC456C" w:rsidRPr="00991B8A" w:rsidRDefault="00FC456C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</w:rPr>
              <w:t>49 892 117,04</w:t>
            </w:r>
          </w:p>
        </w:tc>
      </w:tr>
      <w:tr w:rsidR="00254BE8" w:rsidRPr="00991B8A" w:rsidTr="00254BE8">
        <w:tc>
          <w:tcPr>
            <w:tcW w:w="4308" w:type="dxa"/>
            <w:vAlign w:val="center"/>
          </w:tcPr>
          <w:p w:rsidR="00F44B09" w:rsidRPr="00991B8A" w:rsidRDefault="00F44B09" w:rsidP="00993813">
            <w:pPr>
              <w:pStyle w:val="Nzov"/>
              <w:tabs>
                <w:tab w:val="left" w:pos="1800"/>
              </w:tabs>
              <w:jc w:val="left"/>
              <w:rPr>
                <w:i/>
                <w:iCs/>
                <w:spacing w:val="-2"/>
                <w:sz w:val="24"/>
                <w:szCs w:val="24"/>
              </w:rPr>
            </w:pPr>
            <w:r w:rsidRPr="00991B8A">
              <w:rPr>
                <w:i/>
                <w:iCs/>
                <w:spacing w:val="-2"/>
                <w:sz w:val="24"/>
                <w:szCs w:val="24"/>
              </w:rPr>
              <w:t>Odpočet zvýšenia odvodov zamestnancov do poistných fondov v </w:t>
            </w:r>
            <w:r w:rsidRPr="00991B8A">
              <w:rPr>
                <w:i/>
                <w:iCs/>
                <w:sz w:val="24"/>
                <w:szCs w:val="24"/>
              </w:rPr>
              <w:t>eurách ročne</w:t>
            </w:r>
          </w:p>
        </w:tc>
        <w:tc>
          <w:tcPr>
            <w:tcW w:w="1738" w:type="dxa"/>
            <w:vAlign w:val="center"/>
          </w:tcPr>
          <w:p w:rsidR="00F44B09" w:rsidRPr="00991B8A" w:rsidRDefault="00F44B09" w:rsidP="00991B8A">
            <w:pPr>
              <w:jc w:val="center"/>
              <w:rPr>
                <w:i/>
                <w:iCs/>
              </w:rPr>
            </w:pPr>
            <w:r w:rsidRPr="00991B8A">
              <w:rPr>
                <w:i/>
              </w:rPr>
              <w:t>- 9 179 521,11</w:t>
            </w:r>
          </w:p>
        </w:tc>
        <w:tc>
          <w:tcPr>
            <w:tcW w:w="1733" w:type="dxa"/>
            <w:vAlign w:val="center"/>
          </w:tcPr>
          <w:p w:rsidR="00F44B09" w:rsidRPr="00991B8A" w:rsidRDefault="00F44B09" w:rsidP="00991B8A">
            <w:pPr>
              <w:jc w:val="center"/>
              <w:rPr>
                <w:i/>
                <w:iCs/>
              </w:rPr>
            </w:pPr>
            <w:r w:rsidRPr="00991B8A">
              <w:rPr>
                <w:i/>
              </w:rPr>
              <w:t>- 9 120 992,67</w:t>
            </w:r>
          </w:p>
        </w:tc>
        <w:tc>
          <w:tcPr>
            <w:tcW w:w="1701" w:type="dxa"/>
            <w:vAlign w:val="center"/>
          </w:tcPr>
          <w:p w:rsidR="00F44B09" w:rsidRPr="00991B8A" w:rsidRDefault="00F44B09" w:rsidP="00991B8A">
            <w:pPr>
              <w:jc w:val="center"/>
              <w:rPr>
                <w:i/>
                <w:iCs/>
              </w:rPr>
            </w:pPr>
            <w:r w:rsidRPr="00991B8A">
              <w:rPr>
                <w:i/>
              </w:rPr>
              <w:t>- 9 006 862,21</w:t>
            </w:r>
          </w:p>
        </w:tc>
      </w:tr>
      <w:tr w:rsidR="00991B8A" w:rsidRPr="00991B8A" w:rsidTr="00991B8A">
        <w:trPr>
          <w:trHeight w:val="331"/>
        </w:trPr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F44B09" w:rsidRPr="00991B8A" w:rsidRDefault="00F44B09" w:rsidP="00DB602B">
            <w:pPr>
              <w:pStyle w:val="Nzov"/>
              <w:tabs>
                <w:tab w:val="left" w:pos="1800"/>
              </w:tabs>
              <w:jc w:val="left"/>
              <w:rPr>
                <w:i/>
                <w:spacing w:val="-2"/>
                <w:sz w:val="24"/>
                <w:szCs w:val="24"/>
              </w:rPr>
            </w:pPr>
            <w:r w:rsidRPr="00991B8A">
              <w:rPr>
                <w:i/>
                <w:spacing w:val="-2"/>
                <w:sz w:val="24"/>
                <w:szCs w:val="24"/>
              </w:rPr>
              <w:t xml:space="preserve">Odpočet zvýšenia dane z príjmov zo závislej činnosti </w:t>
            </w:r>
            <w:r w:rsidRPr="00991B8A">
              <w:rPr>
                <w:i/>
                <w:iCs/>
                <w:spacing w:val="-2"/>
                <w:sz w:val="24"/>
                <w:szCs w:val="24"/>
              </w:rPr>
              <w:t>v eurách ročne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F44B09" w:rsidRPr="00991B8A" w:rsidRDefault="00F44B09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- 3 519 142,13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F44B09" w:rsidRPr="00991B8A" w:rsidRDefault="00F44B09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- 3 493 341,08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4B09" w:rsidRPr="00991B8A" w:rsidRDefault="00F44B09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- 3 443 029,04</w:t>
            </w:r>
          </w:p>
        </w:tc>
      </w:tr>
      <w:tr w:rsidR="00991B8A" w:rsidRPr="00991B8A" w:rsidTr="00991B8A">
        <w:trPr>
          <w:trHeight w:val="756"/>
        </w:trPr>
        <w:tc>
          <w:tcPr>
            <w:tcW w:w="4308" w:type="dxa"/>
            <w:shd w:val="clear" w:color="auto" w:fill="FFFFCC"/>
            <w:vAlign w:val="center"/>
          </w:tcPr>
          <w:p w:rsidR="00F44B09" w:rsidRPr="00991B8A" w:rsidRDefault="00F44B09" w:rsidP="00403353">
            <w:pPr>
              <w:pStyle w:val="Nzov"/>
              <w:tabs>
                <w:tab w:val="left" w:pos="1800"/>
              </w:tabs>
              <w:jc w:val="left"/>
              <w:rPr>
                <w:b/>
                <w:spacing w:val="-2"/>
                <w:sz w:val="24"/>
                <w:szCs w:val="24"/>
              </w:rPr>
            </w:pPr>
            <w:r w:rsidRPr="00991B8A">
              <w:rPr>
                <w:b/>
                <w:spacing w:val="-2"/>
                <w:sz w:val="24"/>
                <w:szCs w:val="24"/>
              </w:rPr>
              <w:t>Čistá suma zo zvýšenia, použiteľná na nákup tovaru v eurách ročne</w:t>
            </w:r>
          </w:p>
        </w:tc>
        <w:tc>
          <w:tcPr>
            <w:tcW w:w="1738" w:type="dxa"/>
            <w:shd w:val="clear" w:color="auto" w:fill="FFFFCC"/>
            <w:vAlign w:val="center"/>
          </w:tcPr>
          <w:p w:rsidR="00F44B09" w:rsidRPr="00991B8A" w:rsidRDefault="00F44B09" w:rsidP="00991B8A">
            <w:pPr>
              <w:jc w:val="center"/>
              <w:rPr>
                <w:b/>
              </w:rPr>
            </w:pPr>
            <w:r w:rsidRPr="00991B8A">
              <w:rPr>
                <w:b/>
                <w:bCs/>
              </w:rPr>
              <w:t>37 740 003,52</w:t>
            </w:r>
          </w:p>
        </w:tc>
        <w:tc>
          <w:tcPr>
            <w:tcW w:w="1733" w:type="dxa"/>
            <w:shd w:val="clear" w:color="auto" w:fill="FFFFCC"/>
            <w:vAlign w:val="center"/>
          </w:tcPr>
          <w:p w:rsidR="00F44B09" w:rsidRPr="00991B8A" w:rsidRDefault="00F44B09" w:rsidP="00991B8A">
            <w:pPr>
              <w:jc w:val="center"/>
              <w:rPr>
                <w:b/>
              </w:rPr>
            </w:pPr>
            <w:r w:rsidRPr="00991B8A">
              <w:rPr>
                <w:b/>
                <w:bCs/>
              </w:rPr>
              <w:t>37 551 039,61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F44B09" w:rsidRPr="00991B8A" w:rsidRDefault="00F44B09" w:rsidP="00991B8A">
            <w:pPr>
              <w:jc w:val="center"/>
              <w:rPr>
                <w:b/>
              </w:rPr>
            </w:pPr>
            <w:r w:rsidRPr="00991B8A">
              <w:rPr>
                <w:b/>
                <w:bCs/>
              </w:rPr>
              <w:t>37 442 225,79</w:t>
            </w:r>
          </w:p>
        </w:tc>
      </w:tr>
    </w:tbl>
    <w:p w:rsidR="000B0815" w:rsidRPr="00991B8A" w:rsidRDefault="000B0815"/>
    <w:p w:rsidR="000B0815" w:rsidRPr="00991B8A" w:rsidRDefault="000B0815" w:rsidP="00A215F6">
      <w:pPr>
        <w:ind w:firstLine="708"/>
        <w:jc w:val="both"/>
      </w:pPr>
      <w:r w:rsidRPr="00991B8A">
        <w:t xml:space="preserve">V zmysle § 27 ods. 1 zákona č. 222/2004 Z. z. o dani z pridanej hodnoty </w:t>
      </w:r>
      <w:r w:rsidR="00A215F6" w:rsidRPr="00991B8A">
        <w:t>v </w:t>
      </w:r>
      <w:r w:rsidR="00FF6C58" w:rsidRPr="00991B8A">
        <w:t>znení</w:t>
      </w:r>
      <w:r w:rsidR="00A215F6" w:rsidRPr="00991B8A">
        <w:t xml:space="preserve"> zákona č. </w:t>
      </w:r>
      <w:r w:rsidR="00F065BF" w:rsidRPr="00991B8A">
        <w:t xml:space="preserve">656/2005 </w:t>
      </w:r>
      <w:r w:rsidR="00A215F6" w:rsidRPr="00991B8A">
        <w:t xml:space="preserve">Z. z. </w:t>
      </w:r>
      <w:r w:rsidRPr="00991B8A">
        <w:t xml:space="preserve">sa okrem </w:t>
      </w:r>
      <w:r w:rsidRPr="00991B8A">
        <w:rPr>
          <w:b/>
        </w:rPr>
        <w:t xml:space="preserve">základnej sadzby dane na tovary a služby vo výške 20 % zo základu </w:t>
      </w:r>
      <w:r w:rsidRPr="00991B8A">
        <w:t>dane na</w:t>
      </w:r>
      <w:r w:rsidR="00614432" w:rsidRPr="00991B8A">
        <w:t xml:space="preserve"> </w:t>
      </w:r>
      <w:r w:rsidRPr="00991B8A">
        <w:t xml:space="preserve">tovary uvedené v </w:t>
      </w:r>
      <w:hyperlink r:id="rId10" w:anchor="prilohy.priloha-priloha_c_7_k_zakonu_c_222_2004_z_z_v_zneni_zakona_c_656_2006_z_z.oznacenie" w:tooltip="Odkaz na predpis alebo ustanovenie" w:history="1">
        <w:r w:rsidRPr="00991B8A">
          <w:rPr>
            <w:rStyle w:val="Hypertextovprepojenie"/>
            <w:bCs/>
            <w:color w:val="auto"/>
            <w:u w:val="none"/>
          </w:rPr>
          <w:t>prílohe č. 7</w:t>
        </w:r>
      </w:hyperlink>
      <w:r w:rsidRPr="00991B8A">
        <w:t xml:space="preserve"> zákona uplatňuje znížená sadzba dane 10 % zo základu dane</w:t>
      </w:r>
      <w:r w:rsidR="004120E4" w:rsidRPr="00991B8A">
        <w:t xml:space="preserve">. </w:t>
      </w:r>
      <w:r w:rsidR="00437B25" w:rsidRPr="00991B8A">
        <w:t>Vzhľadom na absenciu relevantných údajov o priemernej sadzbe dane z pridanej hodnoty</w:t>
      </w:r>
      <w:r w:rsidR="00377318" w:rsidRPr="00991B8A">
        <w:t xml:space="preserve"> sa pri kvalifikovanom </w:t>
      </w:r>
      <w:r w:rsidR="0077055E" w:rsidRPr="00991B8A">
        <w:t xml:space="preserve">odhade vplyvu zvýšenia sumy minimálnej mzdy na príjmy štátneho rozpočtu v oblasti DPH uplatnila </w:t>
      </w:r>
      <w:r w:rsidR="0077055E" w:rsidRPr="00991B8A">
        <w:rPr>
          <w:b/>
        </w:rPr>
        <w:t xml:space="preserve">sadzba </w:t>
      </w:r>
      <w:r w:rsidR="003D6A23" w:rsidRPr="00991B8A">
        <w:rPr>
          <w:b/>
        </w:rPr>
        <w:t xml:space="preserve">20 </w:t>
      </w:r>
      <w:r w:rsidR="0077055E" w:rsidRPr="00991B8A">
        <w:rPr>
          <w:b/>
        </w:rPr>
        <w:t>%</w:t>
      </w:r>
      <w:r w:rsidR="00437B25" w:rsidRPr="00991B8A">
        <w:t xml:space="preserve">. </w:t>
      </w:r>
    </w:p>
    <w:p w:rsidR="000B0815" w:rsidRPr="00991B8A" w:rsidRDefault="000B0815"/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596"/>
        <w:gridCol w:w="1619"/>
        <w:gridCol w:w="1629"/>
      </w:tblGrid>
      <w:tr w:rsidR="003D6A23" w:rsidRPr="00991B8A" w:rsidTr="00614432">
        <w:tc>
          <w:tcPr>
            <w:tcW w:w="4503" w:type="dxa"/>
            <w:shd w:val="clear" w:color="auto" w:fill="FFFFCC"/>
            <w:vAlign w:val="center"/>
          </w:tcPr>
          <w:p w:rsidR="003D6A23" w:rsidRPr="00991B8A" w:rsidRDefault="003D6A23" w:rsidP="009A2C0F">
            <w:pPr>
              <w:pStyle w:val="Nzov"/>
              <w:tabs>
                <w:tab w:val="left" w:pos="1800"/>
              </w:tabs>
              <w:jc w:val="left"/>
              <w:rPr>
                <w:b/>
                <w:spacing w:val="-2"/>
                <w:sz w:val="24"/>
                <w:szCs w:val="24"/>
              </w:rPr>
            </w:pPr>
            <w:r w:rsidRPr="00991B8A">
              <w:rPr>
                <w:b/>
                <w:spacing w:val="-2"/>
                <w:sz w:val="24"/>
                <w:szCs w:val="24"/>
              </w:rPr>
              <w:t xml:space="preserve">Zvýšenie príjmu ŠR v položke 131 </w:t>
            </w:r>
            <w:r w:rsidRPr="00991B8A">
              <w:rPr>
                <w:b/>
                <w:iCs/>
                <w:sz w:val="24"/>
                <w:szCs w:val="24"/>
              </w:rPr>
              <w:t>eurách ročne</w:t>
            </w:r>
            <w:r w:rsidRPr="00991B8A">
              <w:rPr>
                <w:b/>
                <w:spacing w:val="-2"/>
                <w:sz w:val="24"/>
                <w:szCs w:val="24"/>
              </w:rPr>
              <w:t xml:space="preserve"> (DPH v priemere 15 %)</w:t>
            </w:r>
          </w:p>
        </w:tc>
        <w:tc>
          <w:tcPr>
            <w:tcW w:w="1596" w:type="dxa"/>
            <w:shd w:val="clear" w:color="auto" w:fill="FFFFCC"/>
            <w:vAlign w:val="center"/>
          </w:tcPr>
          <w:p w:rsidR="003D6A23" w:rsidRPr="00991B8A" w:rsidRDefault="003D6A23" w:rsidP="006106F6">
            <w:pPr>
              <w:jc w:val="center"/>
              <w:rPr>
                <w:b/>
              </w:rPr>
            </w:pPr>
            <w:r w:rsidRPr="00991B8A">
              <w:rPr>
                <w:b/>
                <w:bCs/>
              </w:rPr>
              <w:t>7 548 000,70</w:t>
            </w:r>
          </w:p>
        </w:tc>
        <w:tc>
          <w:tcPr>
            <w:tcW w:w="1619" w:type="dxa"/>
            <w:shd w:val="clear" w:color="auto" w:fill="FFFFCC"/>
            <w:vAlign w:val="center"/>
          </w:tcPr>
          <w:p w:rsidR="003D6A23" w:rsidRPr="00991B8A" w:rsidRDefault="003D6A23" w:rsidP="008E076F">
            <w:pPr>
              <w:jc w:val="center"/>
              <w:rPr>
                <w:b/>
              </w:rPr>
            </w:pPr>
            <w:r w:rsidRPr="00991B8A">
              <w:rPr>
                <w:b/>
                <w:bCs/>
              </w:rPr>
              <w:t>7 510 207,92</w:t>
            </w:r>
          </w:p>
        </w:tc>
        <w:tc>
          <w:tcPr>
            <w:tcW w:w="1629" w:type="dxa"/>
            <w:shd w:val="clear" w:color="auto" w:fill="FFFFCC"/>
            <w:vAlign w:val="center"/>
          </w:tcPr>
          <w:p w:rsidR="003D6A23" w:rsidRPr="00991B8A" w:rsidRDefault="003D6A23" w:rsidP="002861AD">
            <w:pPr>
              <w:jc w:val="center"/>
              <w:rPr>
                <w:b/>
              </w:rPr>
            </w:pPr>
            <w:r w:rsidRPr="00991B8A">
              <w:rPr>
                <w:b/>
                <w:bCs/>
              </w:rPr>
              <w:t>7 488 445,16</w:t>
            </w:r>
          </w:p>
        </w:tc>
      </w:tr>
    </w:tbl>
    <w:p w:rsidR="003426D9" w:rsidRPr="00991B8A" w:rsidRDefault="003426D9" w:rsidP="00614432">
      <w:pPr>
        <w:pStyle w:val="Nzov"/>
        <w:spacing w:before="120"/>
        <w:jc w:val="both"/>
        <w:rPr>
          <w:sz w:val="24"/>
          <w:szCs w:val="24"/>
        </w:rPr>
      </w:pPr>
    </w:p>
    <w:p w:rsidR="002A5D7C" w:rsidRPr="00991B8A" w:rsidRDefault="002A5D7C" w:rsidP="00A0360F">
      <w:pPr>
        <w:pStyle w:val="BodyText21"/>
        <w:numPr>
          <w:ilvl w:val="0"/>
          <w:numId w:val="12"/>
        </w:numPr>
        <w:overflowPunct/>
        <w:autoSpaceDE/>
        <w:autoSpaceDN/>
        <w:adjustRightInd/>
        <w:textAlignment w:val="auto"/>
        <w:rPr>
          <w:b/>
          <w:szCs w:val="24"/>
        </w:rPr>
      </w:pPr>
      <w:r w:rsidRPr="00991B8A">
        <w:rPr>
          <w:b/>
          <w:szCs w:val="24"/>
        </w:rPr>
        <w:t xml:space="preserve">Možné vplyvy z dôvodu väzby plnenia na sumu minimálnej mzdy </w:t>
      </w:r>
    </w:p>
    <w:p w:rsidR="002A5D7C" w:rsidRPr="00991B8A" w:rsidRDefault="002A5D7C" w:rsidP="00A0360F">
      <w:pPr>
        <w:pStyle w:val="BodyText21"/>
        <w:overflowPunct/>
        <w:autoSpaceDE/>
        <w:autoSpaceDN/>
        <w:adjustRightInd/>
        <w:textAlignment w:val="auto"/>
        <w:rPr>
          <w:szCs w:val="24"/>
        </w:rPr>
      </w:pPr>
    </w:p>
    <w:p w:rsidR="00042D28" w:rsidRPr="00991B8A" w:rsidRDefault="002A5D7C" w:rsidP="00A0360F">
      <w:pPr>
        <w:pStyle w:val="BodyText21"/>
        <w:overflowPunct/>
        <w:autoSpaceDE/>
        <w:autoSpaceDN/>
        <w:adjustRightInd/>
        <w:ind w:firstLine="708"/>
        <w:textAlignment w:val="auto"/>
        <w:rPr>
          <w:szCs w:val="24"/>
        </w:rPr>
      </w:pPr>
      <w:r w:rsidRPr="00991B8A">
        <w:rPr>
          <w:szCs w:val="24"/>
        </w:rPr>
        <w:t xml:space="preserve">Vo viacerých zákonoch je suma minimálnej mzdy použitá ako </w:t>
      </w:r>
      <w:r w:rsidRPr="00991B8A">
        <w:rPr>
          <w:b/>
          <w:szCs w:val="24"/>
        </w:rPr>
        <w:t>referenčná veličina</w:t>
      </w:r>
      <w:r w:rsidR="00465FD9" w:rsidRPr="00991B8A">
        <w:rPr>
          <w:b/>
          <w:szCs w:val="24"/>
        </w:rPr>
        <w:t xml:space="preserve"> pre určenie výšky </w:t>
      </w:r>
      <w:r w:rsidR="00EE7842" w:rsidRPr="00991B8A">
        <w:rPr>
          <w:b/>
          <w:szCs w:val="24"/>
        </w:rPr>
        <w:t xml:space="preserve">určitého nárokového </w:t>
      </w:r>
      <w:r w:rsidR="00465FD9" w:rsidRPr="00991B8A">
        <w:rPr>
          <w:b/>
          <w:szCs w:val="24"/>
        </w:rPr>
        <w:t>plnenia</w:t>
      </w:r>
      <w:r w:rsidRPr="00991B8A">
        <w:rPr>
          <w:szCs w:val="24"/>
        </w:rPr>
        <w:t xml:space="preserve">. Možný vplyv zvýšenia sumy minimálnej mzdy na zvýšenie potreby prostriedkov zo štátneho rozpočtu </w:t>
      </w:r>
      <w:r w:rsidRPr="00991B8A">
        <w:rPr>
          <w:b/>
          <w:szCs w:val="24"/>
        </w:rPr>
        <w:t>závisí od počtu vzniknutých prípadov</w:t>
      </w:r>
      <w:r w:rsidRPr="00991B8A">
        <w:rPr>
          <w:szCs w:val="24"/>
        </w:rPr>
        <w:t xml:space="preserve">, </w:t>
      </w:r>
      <w:r w:rsidR="00465FD9" w:rsidRPr="00991B8A">
        <w:rPr>
          <w:szCs w:val="24"/>
        </w:rPr>
        <w:t xml:space="preserve">zakladajúcich nárok na príslušné plnenie. Kvantifikovať </w:t>
      </w:r>
      <w:r w:rsidRPr="00991B8A">
        <w:rPr>
          <w:szCs w:val="24"/>
        </w:rPr>
        <w:t xml:space="preserve">je </w:t>
      </w:r>
      <w:r w:rsidR="00465FD9" w:rsidRPr="00991B8A">
        <w:rPr>
          <w:szCs w:val="24"/>
        </w:rPr>
        <w:t xml:space="preserve">preto možné </w:t>
      </w:r>
      <w:r w:rsidRPr="00991B8A">
        <w:rPr>
          <w:szCs w:val="24"/>
        </w:rPr>
        <w:t xml:space="preserve">len dopad zvýšenia sumy na jeden </w:t>
      </w:r>
      <w:r w:rsidR="00465FD9" w:rsidRPr="00991B8A">
        <w:rPr>
          <w:szCs w:val="24"/>
        </w:rPr>
        <w:t xml:space="preserve">vzniknutý </w:t>
      </w:r>
      <w:r w:rsidRPr="00991B8A">
        <w:rPr>
          <w:szCs w:val="24"/>
        </w:rPr>
        <w:t xml:space="preserve">prípad. </w:t>
      </w:r>
    </w:p>
    <w:p w:rsidR="00042D28" w:rsidRPr="00991B8A" w:rsidRDefault="00042D28" w:rsidP="00A0360F">
      <w:pPr>
        <w:pStyle w:val="BodyText21"/>
        <w:overflowPunct/>
        <w:autoSpaceDE/>
        <w:autoSpaceDN/>
        <w:adjustRightInd/>
        <w:ind w:firstLine="708"/>
        <w:textAlignment w:val="auto"/>
        <w:rPr>
          <w:szCs w:val="24"/>
        </w:rPr>
      </w:pPr>
    </w:p>
    <w:p w:rsidR="002A5D7C" w:rsidRPr="00991B8A" w:rsidRDefault="002A5D7C" w:rsidP="00A0360F">
      <w:pPr>
        <w:pStyle w:val="BodyText21"/>
        <w:overflowPunct/>
        <w:autoSpaceDE/>
        <w:autoSpaceDN/>
        <w:adjustRightInd/>
        <w:ind w:firstLine="708"/>
        <w:textAlignment w:val="auto"/>
        <w:rPr>
          <w:szCs w:val="24"/>
        </w:rPr>
      </w:pPr>
      <w:r w:rsidRPr="00991B8A">
        <w:rPr>
          <w:szCs w:val="24"/>
        </w:rPr>
        <w:t>Ide</w:t>
      </w:r>
      <w:r w:rsidR="00FE6392" w:rsidRPr="00991B8A">
        <w:rPr>
          <w:szCs w:val="24"/>
        </w:rPr>
        <w:t xml:space="preserve"> najmä</w:t>
      </w:r>
      <w:r w:rsidRPr="00991B8A">
        <w:rPr>
          <w:szCs w:val="24"/>
        </w:rPr>
        <w:t xml:space="preserve"> o nasledujúce právne predpisy:</w:t>
      </w:r>
    </w:p>
    <w:p w:rsidR="002A5D7C" w:rsidRPr="00991B8A" w:rsidRDefault="002A5D7C" w:rsidP="00A0360F">
      <w:pPr>
        <w:pStyle w:val="BodyText21"/>
        <w:overflowPunct/>
        <w:autoSpaceDE/>
        <w:autoSpaceDN/>
        <w:adjustRightInd/>
        <w:ind w:firstLine="708"/>
        <w:textAlignment w:val="auto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1418"/>
      </w:tblGrid>
      <w:tr w:rsidR="00991B8A" w:rsidRPr="00991B8A" w:rsidTr="00991B8A">
        <w:trPr>
          <w:trHeight w:val="285"/>
        </w:trPr>
        <w:tc>
          <w:tcPr>
            <w:tcW w:w="8188" w:type="dxa"/>
            <w:noWrap/>
          </w:tcPr>
          <w:p w:rsidR="0057709E" w:rsidRPr="00991B8A" w:rsidRDefault="0057709E" w:rsidP="000C3E58">
            <w:pPr>
              <w:ind w:left="-18"/>
              <w:rPr>
                <w:b/>
              </w:rPr>
            </w:pPr>
            <w:r w:rsidRPr="00991B8A">
              <w:rPr>
                <w:b/>
              </w:rPr>
              <w:t>Nárast vyčísliteľný v eurách na jednotlivý prípad vplyvu</w:t>
            </w:r>
          </w:p>
        </w:tc>
        <w:tc>
          <w:tcPr>
            <w:tcW w:w="1418" w:type="dxa"/>
            <w:noWrap/>
            <w:vAlign w:val="center"/>
          </w:tcPr>
          <w:p w:rsidR="0057709E" w:rsidRPr="00991B8A" w:rsidRDefault="0057709E" w:rsidP="00403353">
            <w:pPr>
              <w:ind w:right="-70"/>
              <w:rPr>
                <w:b/>
              </w:rPr>
            </w:pPr>
            <w:r w:rsidRPr="00991B8A">
              <w:rPr>
                <w:b/>
              </w:rPr>
              <w:t>Zvýšenie v</w:t>
            </w:r>
            <w:r w:rsidR="00DD093D" w:rsidRPr="00991B8A">
              <w:rPr>
                <w:b/>
              </w:rPr>
              <w:t> </w:t>
            </w:r>
            <w:r w:rsidRPr="00991B8A">
              <w:rPr>
                <w:b/>
              </w:rPr>
              <w:t>eurách</w:t>
            </w:r>
          </w:p>
        </w:tc>
      </w:tr>
      <w:tr w:rsidR="00991B8A" w:rsidRPr="00991B8A" w:rsidTr="00991B8A">
        <w:trPr>
          <w:trHeight w:val="285"/>
        </w:trPr>
        <w:tc>
          <w:tcPr>
            <w:tcW w:w="9606" w:type="dxa"/>
            <w:gridSpan w:val="2"/>
            <w:noWrap/>
            <w:vAlign w:val="center"/>
          </w:tcPr>
          <w:p w:rsidR="0057709E" w:rsidRPr="00991B8A" w:rsidRDefault="0057709E" w:rsidP="00403353">
            <w:pPr>
              <w:ind w:right="-270"/>
              <w:rPr>
                <w:b/>
                <w:bCs/>
              </w:rPr>
            </w:pPr>
            <w:r w:rsidRPr="00991B8A">
              <w:rPr>
                <w:b/>
                <w:bCs/>
              </w:rPr>
              <w:t>Jednorazové odškodnenie prokurátora podľa zákona č. 154/2001 Z. z.</w:t>
            </w:r>
            <w:r w:rsidRPr="00991B8A">
              <w:rPr>
                <w:b/>
                <w:bCs/>
                <w:vertAlign w:val="superscript"/>
              </w:rPr>
              <w:t xml:space="preserve"> </w:t>
            </w:r>
            <w:r w:rsidRPr="00991B8A">
              <w:rPr>
                <w:b/>
                <w:bCs/>
              </w:rPr>
              <w:t xml:space="preserve">o prokurátoroch a právnych čakateľoch prokuratúry v znení neskorších predpisov </w:t>
            </w:r>
          </w:p>
        </w:tc>
      </w:tr>
      <w:tr w:rsidR="00991B8A" w:rsidRPr="00991B8A" w:rsidTr="00991B8A">
        <w:trPr>
          <w:trHeight w:val="255"/>
        </w:trPr>
        <w:tc>
          <w:tcPr>
            <w:tcW w:w="8188" w:type="dxa"/>
            <w:noWrap/>
            <w:vAlign w:val="center"/>
          </w:tcPr>
          <w:p w:rsidR="003D6A23" w:rsidRPr="00991B8A" w:rsidRDefault="003D6A23" w:rsidP="00C3360E">
            <w:pPr>
              <w:ind w:left="-18"/>
              <w:rPr>
                <w:i/>
                <w:iCs/>
              </w:rPr>
            </w:pPr>
            <w:r w:rsidRPr="00991B8A">
              <w:rPr>
                <w:i/>
                <w:iCs/>
              </w:rPr>
              <w:t xml:space="preserve"> - </w:t>
            </w:r>
            <w:r w:rsidRPr="00991B8A">
              <w:rPr>
                <w:bCs/>
                <w:i/>
                <w:iCs/>
              </w:rPr>
              <w:t>v prípade</w:t>
            </w:r>
            <w:r w:rsidRPr="00991B8A">
              <w:rPr>
                <w:i/>
                <w:iCs/>
              </w:rPr>
              <w:t xml:space="preserve"> služobného úrazu prokurátora 100-nás. MM (§ 169)</w:t>
            </w:r>
          </w:p>
        </w:tc>
        <w:tc>
          <w:tcPr>
            <w:tcW w:w="1418" w:type="dxa"/>
            <w:noWrap/>
            <w:vAlign w:val="center"/>
          </w:tcPr>
          <w:p w:rsidR="003D6A23" w:rsidRPr="00991B8A" w:rsidRDefault="003D6A23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4 000,00</w:t>
            </w:r>
          </w:p>
        </w:tc>
      </w:tr>
      <w:tr w:rsidR="00991B8A" w:rsidRPr="00991B8A" w:rsidTr="00991B8A">
        <w:trPr>
          <w:trHeight w:val="255"/>
        </w:trPr>
        <w:tc>
          <w:tcPr>
            <w:tcW w:w="8188" w:type="dxa"/>
            <w:noWrap/>
            <w:vAlign w:val="center"/>
          </w:tcPr>
          <w:p w:rsidR="003D6A23" w:rsidRPr="00991B8A" w:rsidRDefault="003D6A23" w:rsidP="00C3360E">
            <w:pPr>
              <w:ind w:left="-18"/>
              <w:rPr>
                <w:i/>
                <w:iCs/>
              </w:rPr>
            </w:pPr>
            <w:r w:rsidRPr="00991B8A">
              <w:rPr>
                <w:i/>
                <w:iCs/>
              </w:rPr>
              <w:t xml:space="preserve"> - manželke a deťom prokurátora zomrelého prokurátora 50- nás. MM (§ 175)</w:t>
            </w:r>
          </w:p>
        </w:tc>
        <w:tc>
          <w:tcPr>
            <w:tcW w:w="1418" w:type="dxa"/>
            <w:noWrap/>
            <w:vAlign w:val="center"/>
          </w:tcPr>
          <w:p w:rsidR="003D6A23" w:rsidRPr="00991B8A" w:rsidRDefault="003D6A23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2 000,00</w:t>
            </w:r>
          </w:p>
        </w:tc>
      </w:tr>
      <w:tr w:rsidR="00991B8A" w:rsidRPr="00991B8A" w:rsidTr="00991B8A">
        <w:trPr>
          <w:trHeight w:val="255"/>
        </w:trPr>
        <w:tc>
          <w:tcPr>
            <w:tcW w:w="8188" w:type="dxa"/>
            <w:noWrap/>
            <w:vAlign w:val="center"/>
          </w:tcPr>
          <w:p w:rsidR="003D6A23" w:rsidRPr="00991B8A" w:rsidRDefault="003D6A23" w:rsidP="00C3360E">
            <w:pPr>
              <w:ind w:left="-18"/>
              <w:rPr>
                <w:i/>
                <w:iCs/>
                <w:spacing w:val="-2"/>
              </w:rPr>
            </w:pPr>
            <w:r w:rsidRPr="00991B8A">
              <w:rPr>
                <w:i/>
                <w:iCs/>
                <w:spacing w:val="-2"/>
              </w:rPr>
              <w:t xml:space="preserve"> - rodičom zomrelého prokurátora v odôvodnených prípadoch 20-nás. MM (§ 175)</w:t>
            </w:r>
          </w:p>
        </w:tc>
        <w:tc>
          <w:tcPr>
            <w:tcW w:w="1418" w:type="dxa"/>
            <w:noWrap/>
            <w:vAlign w:val="center"/>
          </w:tcPr>
          <w:p w:rsidR="003D6A23" w:rsidRPr="00991B8A" w:rsidRDefault="003D6A23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800,00</w:t>
            </w:r>
          </w:p>
        </w:tc>
      </w:tr>
      <w:tr w:rsidR="00991B8A" w:rsidRPr="00991B8A" w:rsidTr="00991B8A">
        <w:trPr>
          <w:trHeight w:val="285"/>
        </w:trPr>
        <w:tc>
          <w:tcPr>
            <w:tcW w:w="9606" w:type="dxa"/>
            <w:gridSpan w:val="2"/>
            <w:noWrap/>
            <w:vAlign w:val="center"/>
          </w:tcPr>
          <w:p w:rsidR="0057709E" w:rsidRPr="00991B8A" w:rsidRDefault="0057709E" w:rsidP="00403353">
            <w:pPr>
              <w:ind w:left="-18"/>
              <w:rPr>
                <w:b/>
                <w:bCs/>
                <w:vertAlign w:val="superscript"/>
              </w:rPr>
            </w:pPr>
            <w:r w:rsidRPr="00991B8A">
              <w:rPr>
                <w:b/>
                <w:bCs/>
              </w:rPr>
              <w:t>Jednorazové odškodnenie sudcu podľa zákona č. 385/2000 Z. z. o sudcoch a prísediacich.... v znení neskorších predpisov</w:t>
            </w:r>
          </w:p>
        </w:tc>
      </w:tr>
      <w:tr w:rsidR="00991B8A" w:rsidRPr="00991B8A" w:rsidTr="00991B8A">
        <w:trPr>
          <w:trHeight w:val="255"/>
        </w:trPr>
        <w:tc>
          <w:tcPr>
            <w:tcW w:w="8188" w:type="dxa"/>
            <w:noWrap/>
            <w:vAlign w:val="center"/>
          </w:tcPr>
          <w:p w:rsidR="003D6A23" w:rsidRPr="00991B8A" w:rsidRDefault="003D6A23" w:rsidP="00C3360E">
            <w:pPr>
              <w:ind w:left="-18"/>
              <w:rPr>
                <w:i/>
                <w:iCs/>
              </w:rPr>
            </w:pPr>
            <w:r w:rsidRPr="00991B8A">
              <w:rPr>
                <w:i/>
                <w:iCs/>
              </w:rPr>
              <w:t xml:space="preserve"> - </w:t>
            </w:r>
            <w:r w:rsidRPr="00991B8A">
              <w:rPr>
                <w:bCs/>
                <w:i/>
                <w:iCs/>
              </w:rPr>
              <w:t>v prípade</w:t>
            </w:r>
            <w:r w:rsidRPr="00991B8A">
              <w:rPr>
                <w:i/>
                <w:iCs/>
              </w:rPr>
              <w:t xml:space="preserve"> služobného úrazu sudcu 100- nás. MM (§ 112)</w:t>
            </w:r>
          </w:p>
        </w:tc>
        <w:tc>
          <w:tcPr>
            <w:tcW w:w="1418" w:type="dxa"/>
            <w:noWrap/>
            <w:vAlign w:val="center"/>
          </w:tcPr>
          <w:p w:rsidR="003D6A23" w:rsidRPr="00991B8A" w:rsidRDefault="003D6A23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4 000,00</w:t>
            </w:r>
          </w:p>
        </w:tc>
      </w:tr>
      <w:tr w:rsidR="00991B8A" w:rsidRPr="00991B8A" w:rsidTr="00991B8A">
        <w:trPr>
          <w:trHeight w:val="255"/>
        </w:trPr>
        <w:tc>
          <w:tcPr>
            <w:tcW w:w="8188" w:type="dxa"/>
            <w:noWrap/>
            <w:vAlign w:val="center"/>
          </w:tcPr>
          <w:p w:rsidR="003D6A23" w:rsidRPr="00991B8A" w:rsidRDefault="003D6A23" w:rsidP="00C3360E">
            <w:pPr>
              <w:ind w:left="-18"/>
              <w:rPr>
                <w:i/>
                <w:iCs/>
              </w:rPr>
            </w:pPr>
            <w:r w:rsidRPr="00991B8A">
              <w:rPr>
                <w:i/>
                <w:iCs/>
              </w:rPr>
              <w:t xml:space="preserve"> - manželke a deťom zomrelého sudcu 50-nás. MM (§ 113)</w:t>
            </w:r>
          </w:p>
        </w:tc>
        <w:tc>
          <w:tcPr>
            <w:tcW w:w="1418" w:type="dxa"/>
            <w:noWrap/>
            <w:vAlign w:val="center"/>
          </w:tcPr>
          <w:p w:rsidR="003D6A23" w:rsidRPr="00991B8A" w:rsidRDefault="003D6A23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2 000,00</w:t>
            </w:r>
          </w:p>
        </w:tc>
      </w:tr>
      <w:tr w:rsidR="00991B8A" w:rsidRPr="00991B8A" w:rsidTr="00991B8A">
        <w:trPr>
          <w:trHeight w:val="255"/>
        </w:trPr>
        <w:tc>
          <w:tcPr>
            <w:tcW w:w="8188" w:type="dxa"/>
            <w:noWrap/>
            <w:vAlign w:val="center"/>
          </w:tcPr>
          <w:p w:rsidR="003D6A23" w:rsidRPr="00991B8A" w:rsidRDefault="003D6A23" w:rsidP="00C3360E">
            <w:pPr>
              <w:ind w:left="-18"/>
              <w:rPr>
                <w:i/>
                <w:iCs/>
              </w:rPr>
            </w:pPr>
            <w:r w:rsidRPr="00991B8A">
              <w:rPr>
                <w:i/>
                <w:iCs/>
              </w:rPr>
              <w:t xml:space="preserve"> - rodičom zomrelého sudcu v odôvodnených prípadoch 20-nás. MM (§ 113)</w:t>
            </w:r>
          </w:p>
        </w:tc>
        <w:tc>
          <w:tcPr>
            <w:tcW w:w="1418" w:type="dxa"/>
            <w:noWrap/>
            <w:vAlign w:val="center"/>
          </w:tcPr>
          <w:p w:rsidR="003D6A23" w:rsidRPr="00991B8A" w:rsidRDefault="003D6A23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800,00</w:t>
            </w:r>
          </w:p>
        </w:tc>
      </w:tr>
      <w:tr w:rsidR="00991B8A" w:rsidRPr="00991B8A" w:rsidTr="00991B8A">
        <w:trPr>
          <w:trHeight w:val="255"/>
        </w:trPr>
        <w:tc>
          <w:tcPr>
            <w:tcW w:w="9606" w:type="dxa"/>
            <w:gridSpan w:val="2"/>
            <w:noWrap/>
            <w:vAlign w:val="center"/>
          </w:tcPr>
          <w:p w:rsidR="0057709E" w:rsidRPr="00991B8A" w:rsidRDefault="0057709E" w:rsidP="00403353">
            <w:pPr>
              <w:rPr>
                <w:b/>
                <w:vertAlign w:val="superscript"/>
              </w:rPr>
            </w:pPr>
            <w:r w:rsidRPr="00991B8A">
              <w:rPr>
                <w:b/>
                <w:bCs/>
              </w:rPr>
              <w:t xml:space="preserve">Jednorazové odškodnenie podľa zákona </w:t>
            </w:r>
            <w:r w:rsidRPr="00991B8A">
              <w:rPr>
                <w:b/>
              </w:rPr>
              <w:t xml:space="preserve">č. 215/2006 Z. z. o odškodňovaní osôb poškodených násilnými trestnými činmi v znení zákona č. </w:t>
            </w:r>
            <w:hyperlink r:id="rId11" w:history="1">
              <w:r w:rsidRPr="00991B8A">
                <w:rPr>
                  <w:b/>
                </w:rPr>
                <w:t>79/2008 Z. z.</w:t>
              </w:r>
            </w:hyperlink>
          </w:p>
        </w:tc>
      </w:tr>
      <w:tr w:rsidR="00991B8A" w:rsidRPr="00991B8A" w:rsidTr="00991B8A">
        <w:trPr>
          <w:trHeight w:val="255"/>
        </w:trPr>
        <w:tc>
          <w:tcPr>
            <w:tcW w:w="8188" w:type="dxa"/>
            <w:noWrap/>
            <w:vAlign w:val="center"/>
          </w:tcPr>
          <w:p w:rsidR="003D6A23" w:rsidRPr="00991B8A" w:rsidRDefault="003D6A23" w:rsidP="00C3360E">
            <w:pPr>
              <w:ind w:left="-18"/>
              <w:rPr>
                <w:i/>
                <w:iCs/>
              </w:rPr>
            </w:pPr>
            <w:r w:rsidRPr="00991B8A">
              <w:rPr>
                <w:i/>
                <w:iCs/>
              </w:rPr>
              <w:t xml:space="preserve"> - osobe usmrtenej násilným činom 50-nás. MM (§ 5)</w:t>
            </w:r>
          </w:p>
        </w:tc>
        <w:tc>
          <w:tcPr>
            <w:tcW w:w="1418" w:type="dxa"/>
            <w:noWrap/>
            <w:vAlign w:val="center"/>
          </w:tcPr>
          <w:p w:rsidR="003D6A23" w:rsidRPr="00991B8A" w:rsidRDefault="003D6A23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2 000,00</w:t>
            </w:r>
          </w:p>
        </w:tc>
      </w:tr>
      <w:tr w:rsidR="00991B8A" w:rsidRPr="00991B8A" w:rsidTr="00991B8A">
        <w:trPr>
          <w:trHeight w:val="255"/>
        </w:trPr>
        <w:tc>
          <w:tcPr>
            <w:tcW w:w="8188" w:type="dxa"/>
            <w:noWrap/>
            <w:vAlign w:val="center"/>
          </w:tcPr>
          <w:p w:rsidR="003D6A23" w:rsidRPr="00991B8A" w:rsidRDefault="003D6A23" w:rsidP="00C3360E">
            <w:pPr>
              <w:ind w:left="-18"/>
              <w:rPr>
                <w:i/>
                <w:iCs/>
              </w:rPr>
            </w:pPr>
            <w:r w:rsidRPr="00991B8A">
              <w:rPr>
                <w:i/>
                <w:iCs/>
              </w:rPr>
              <w:t xml:space="preserve"> - osobe poškodenej znásilnením alebo sexuálnym násilím 10-nás. MM (§ 5)</w:t>
            </w:r>
          </w:p>
        </w:tc>
        <w:tc>
          <w:tcPr>
            <w:tcW w:w="1418" w:type="dxa"/>
            <w:noWrap/>
            <w:vAlign w:val="center"/>
          </w:tcPr>
          <w:p w:rsidR="003D6A23" w:rsidRPr="00991B8A" w:rsidRDefault="003D6A23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400,00</w:t>
            </w:r>
          </w:p>
        </w:tc>
      </w:tr>
      <w:tr w:rsidR="00991B8A" w:rsidRPr="00991B8A" w:rsidTr="00991B8A">
        <w:trPr>
          <w:trHeight w:val="255"/>
        </w:trPr>
        <w:tc>
          <w:tcPr>
            <w:tcW w:w="9606" w:type="dxa"/>
            <w:gridSpan w:val="2"/>
            <w:noWrap/>
            <w:vAlign w:val="center"/>
          </w:tcPr>
          <w:p w:rsidR="00480944" w:rsidRPr="00991B8A" w:rsidRDefault="00480944" w:rsidP="00403353">
            <w:pPr>
              <w:rPr>
                <w:b/>
                <w:bCs/>
              </w:rPr>
            </w:pPr>
            <w:r w:rsidRPr="00991B8A">
              <w:rPr>
                <w:b/>
                <w:bCs/>
              </w:rPr>
              <w:t xml:space="preserve">Jednorazové odškodnenie podľa zákona </w:t>
            </w:r>
            <w:r w:rsidRPr="00991B8A">
              <w:rPr>
                <w:b/>
              </w:rPr>
              <w:t>č. 543/2002 Z. z. o ochrane prírody</w:t>
            </w:r>
            <w:r w:rsidR="00425765" w:rsidRPr="00991B8A">
              <w:rPr>
                <w:b/>
              </w:rPr>
              <w:t xml:space="preserve"> </w:t>
            </w:r>
            <w:r w:rsidRPr="00991B8A">
              <w:rPr>
                <w:b/>
              </w:rPr>
              <w:t>v znení neskorších predpisov</w:t>
            </w:r>
          </w:p>
        </w:tc>
      </w:tr>
      <w:tr w:rsidR="00991B8A" w:rsidRPr="00991B8A" w:rsidTr="00991B8A">
        <w:trPr>
          <w:trHeight w:val="255"/>
        </w:trPr>
        <w:tc>
          <w:tcPr>
            <w:tcW w:w="8188" w:type="dxa"/>
            <w:noWrap/>
            <w:vAlign w:val="center"/>
          </w:tcPr>
          <w:p w:rsidR="003D6A23" w:rsidRPr="00991B8A" w:rsidRDefault="003D6A23" w:rsidP="00C3360E">
            <w:pPr>
              <w:ind w:left="-18"/>
            </w:pPr>
            <w:r w:rsidRPr="00991B8A">
              <w:rPr>
                <w:i/>
                <w:iCs/>
              </w:rPr>
              <w:t xml:space="preserve"> - manželovi (druhovi) usmrteného a pozostalej maloletej osobe vo výške 30-násobku </w:t>
            </w:r>
            <w:bookmarkStart w:id="14" w:name="731"/>
            <w:bookmarkEnd w:id="14"/>
            <w:r w:rsidRPr="00991B8A">
              <w:rPr>
                <w:i/>
                <w:iCs/>
              </w:rPr>
              <w:t xml:space="preserve">minimálnej </w:t>
            </w:r>
            <w:bookmarkStart w:id="15" w:name="732"/>
            <w:bookmarkEnd w:id="15"/>
            <w:r w:rsidRPr="00991B8A">
              <w:rPr>
                <w:i/>
                <w:iCs/>
              </w:rPr>
              <w:t>mzdy (§ 99)</w:t>
            </w:r>
          </w:p>
        </w:tc>
        <w:tc>
          <w:tcPr>
            <w:tcW w:w="1418" w:type="dxa"/>
            <w:noWrap/>
            <w:vAlign w:val="center"/>
          </w:tcPr>
          <w:p w:rsidR="003D6A23" w:rsidRPr="00991B8A" w:rsidRDefault="003D6A23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1 200,00</w:t>
            </w:r>
          </w:p>
        </w:tc>
      </w:tr>
      <w:tr w:rsidR="00991B8A" w:rsidRPr="00991B8A" w:rsidTr="00991B8A">
        <w:trPr>
          <w:trHeight w:val="255"/>
        </w:trPr>
        <w:tc>
          <w:tcPr>
            <w:tcW w:w="8188" w:type="dxa"/>
            <w:noWrap/>
            <w:vAlign w:val="center"/>
          </w:tcPr>
          <w:p w:rsidR="003D6A23" w:rsidRPr="00991B8A" w:rsidRDefault="003D6A23" w:rsidP="00C3360E">
            <w:pPr>
              <w:ind w:left="-18"/>
              <w:rPr>
                <w:i/>
                <w:iCs/>
              </w:rPr>
            </w:pPr>
            <w:r w:rsidRPr="00991B8A">
              <w:rPr>
                <w:i/>
                <w:iCs/>
              </w:rPr>
              <w:t xml:space="preserve"> - ostatným pozostalým vo výške 20-násobku </w:t>
            </w:r>
            <w:bookmarkStart w:id="16" w:name="733"/>
            <w:bookmarkEnd w:id="16"/>
            <w:r w:rsidRPr="00991B8A">
              <w:rPr>
                <w:i/>
                <w:iCs/>
              </w:rPr>
              <w:t xml:space="preserve">minimálnej </w:t>
            </w:r>
            <w:bookmarkStart w:id="17" w:name="734"/>
            <w:bookmarkEnd w:id="17"/>
            <w:r w:rsidRPr="00991B8A">
              <w:rPr>
                <w:i/>
                <w:iCs/>
              </w:rPr>
              <w:t>mzdy (§ 99)</w:t>
            </w:r>
          </w:p>
        </w:tc>
        <w:tc>
          <w:tcPr>
            <w:tcW w:w="1418" w:type="dxa"/>
            <w:noWrap/>
            <w:vAlign w:val="center"/>
          </w:tcPr>
          <w:p w:rsidR="003D6A23" w:rsidRPr="00991B8A" w:rsidRDefault="003D6A23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800,00</w:t>
            </w:r>
          </w:p>
        </w:tc>
      </w:tr>
      <w:tr w:rsidR="00991B8A" w:rsidRPr="00991B8A" w:rsidTr="00991B8A">
        <w:trPr>
          <w:trHeight w:val="255"/>
        </w:trPr>
        <w:tc>
          <w:tcPr>
            <w:tcW w:w="8188" w:type="dxa"/>
            <w:noWrap/>
            <w:vAlign w:val="center"/>
          </w:tcPr>
          <w:p w:rsidR="003D6A23" w:rsidRPr="00991B8A" w:rsidRDefault="003D6A23" w:rsidP="00A551FB">
            <w:r w:rsidRPr="00991B8A">
              <w:rPr>
                <w:b/>
                <w:bCs/>
              </w:rPr>
              <w:t xml:space="preserve">Náhrada vo výške pomernej časti minimálnej mzdy na 1 deň samostatne zárobkovo činnej osobe, ktorá je členom volebnej komisie pri voľbách podľa zákona č. 180/2015 Z. z. </w:t>
            </w:r>
          </w:p>
        </w:tc>
        <w:tc>
          <w:tcPr>
            <w:tcW w:w="1418" w:type="dxa"/>
            <w:vAlign w:val="center"/>
          </w:tcPr>
          <w:p w:rsidR="003D6A23" w:rsidRPr="00991B8A" w:rsidRDefault="003D6A23" w:rsidP="00991B8A">
            <w:pPr>
              <w:jc w:val="center"/>
              <w:rPr>
                <w:i/>
              </w:rPr>
            </w:pPr>
            <w:r w:rsidRPr="00991B8A">
              <w:rPr>
                <w:i/>
              </w:rPr>
              <w:t>1,84</w:t>
            </w:r>
          </w:p>
        </w:tc>
      </w:tr>
    </w:tbl>
    <w:p w:rsidR="002A5D7C" w:rsidRPr="00991B8A" w:rsidRDefault="002A5D7C" w:rsidP="00A0360F">
      <w:pPr>
        <w:jc w:val="both"/>
      </w:pPr>
    </w:p>
    <w:p w:rsidR="00174A44" w:rsidRPr="00991B8A" w:rsidRDefault="002A5D7C" w:rsidP="00A0360F">
      <w:pPr>
        <w:ind w:firstLine="708"/>
        <w:jc w:val="both"/>
      </w:pPr>
      <w:r w:rsidRPr="00991B8A">
        <w:rPr>
          <w:spacing w:val="-2"/>
        </w:rPr>
        <w:t xml:space="preserve">Nepriamo vyvolaným vplyvom zvýšenia </w:t>
      </w:r>
      <w:r w:rsidR="006C3C74" w:rsidRPr="00991B8A">
        <w:rPr>
          <w:spacing w:val="-2"/>
        </w:rPr>
        <w:t xml:space="preserve">sumy </w:t>
      </w:r>
      <w:r w:rsidRPr="00991B8A">
        <w:rPr>
          <w:spacing w:val="-2"/>
        </w:rPr>
        <w:t>minimálnej</w:t>
      </w:r>
      <w:r w:rsidRPr="00991B8A">
        <w:t xml:space="preserve"> mzdy</w:t>
      </w:r>
      <w:r w:rsidRPr="00991B8A">
        <w:rPr>
          <w:spacing w:val="-2"/>
        </w:rPr>
        <w:t xml:space="preserve"> na štátny rozpočet</w:t>
      </w:r>
      <w:r w:rsidR="00E92F60" w:rsidRPr="00991B8A">
        <w:rPr>
          <w:spacing w:val="-2"/>
        </w:rPr>
        <w:t xml:space="preserve"> </w:t>
      </w:r>
      <w:r w:rsidR="00E92F60" w:rsidRPr="00991B8A">
        <w:t xml:space="preserve">môže byť </w:t>
      </w:r>
      <w:r w:rsidRPr="00991B8A">
        <w:rPr>
          <w:b/>
          <w:bCs/>
        </w:rPr>
        <w:t>zvýšenie pracovnej odmeny obvinených a odsúdených</w:t>
      </w:r>
      <w:r w:rsidRPr="00991B8A">
        <w:t xml:space="preserve"> podľa nariadenia vlády Slovenskej republiky </w:t>
      </w:r>
      <w:r w:rsidRPr="00991B8A">
        <w:rPr>
          <w:b/>
        </w:rPr>
        <w:t>č. 384/2006 Z. z. o výške pracovnej odmeny</w:t>
      </w:r>
      <w:r w:rsidRPr="00991B8A">
        <w:t xml:space="preserve"> a podmienkach jej poskytovania obvineným a odsúdeným v znení neskorších predpisov. Podľa § 3 ods. 3 </w:t>
      </w:r>
      <w:r w:rsidR="00EE7842" w:rsidRPr="00991B8A">
        <w:t xml:space="preserve">tohto </w:t>
      </w:r>
      <w:r w:rsidRPr="00991B8A">
        <w:t xml:space="preserve">nariadenia vlády sa výška pracovných taríf </w:t>
      </w:r>
      <w:r w:rsidRPr="00991B8A">
        <w:rPr>
          <w:bCs/>
        </w:rPr>
        <w:t>pre obvinených a odsúdených zaradených do práce</w:t>
      </w:r>
      <w:r w:rsidRPr="00991B8A">
        <w:t xml:space="preserve"> upraví vždy k 1. januáru príslušného kalendárneho roka </w:t>
      </w:r>
      <w:r w:rsidRPr="00991B8A">
        <w:rPr>
          <w:b/>
          <w:bCs/>
        </w:rPr>
        <w:t>úmerne zvýšeniu minimálnej mzdy</w:t>
      </w:r>
      <w:r w:rsidRPr="00991B8A">
        <w:t>.</w:t>
      </w:r>
      <w:r w:rsidR="00A8224E" w:rsidRPr="00991B8A">
        <w:t xml:space="preserve"> V zmysle prijatých prechodných ustanovení sa predmetné ustanovenie § 3 ods. 3 nepoužilo v roku </w:t>
      </w:r>
      <w:r w:rsidR="00886D67" w:rsidRPr="00991B8A">
        <w:t>2013, v roku 2015  a v roku 2016</w:t>
      </w:r>
      <w:r w:rsidR="00A8224E" w:rsidRPr="00991B8A">
        <w:t>.</w:t>
      </w:r>
    </w:p>
    <w:p w:rsidR="00174A44" w:rsidRPr="00991B8A" w:rsidRDefault="00174A44" w:rsidP="00A0360F">
      <w:pPr>
        <w:ind w:firstLine="708"/>
        <w:jc w:val="both"/>
      </w:pPr>
    </w:p>
    <w:p w:rsidR="002A5D7C" w:rsidRPr="00991B8A" w:rsidRDefault="00A8224E" w:rsidP="00A0360F">
      <w:pPr>
        <w:ind w:firstLine="708"/>
        <w:jc w:val="both"/>
        <w:rPr>
          <w:b/>
        </w:rPr>
      </w:pPr>
      <w:r w:rsidRPr="00991B8A">
        <w:t xml:space="preserve">Ak sa na rok </w:t>
      </w:r>
      <w:r w:rsidR="00E80E64" w:rsidRPr="00991B8A">
        <w:t>2019</w:t>
      </w:r>
      <w:r w:rsidRPr="00991B8A">
        <w:t xml:space="preserve"> ustanovenie § 3 ods. 3 použije, po zaokrúhlení </w:t>
      </w:r>
      <w:r w:rsidR="00C5091D" w:rsidRPr="00991B8A">
        <w:t>podiel</w:t>
      </w:r>
      <w:r w:rsidRPr="00991B8A">
        <w:t>u</w:t>
      </w:r>
      <w:r w:rsidR="00C5091D" w:rsidRPr="00991B8A">
        <w:t xml:space="preserve"> výšky ustanovenej minimálnej mzdy </w:t>
      </w:r>
      <w:r w:rsidR="00E80E64" w:rsidRPr="00991B8A">
        <w:t>520 eur</w:t>
      </w:r>
      <w:r w:rsidRPr="00991B8A">
        <w:t xml:space="preserve"> mesačne </w:t>
      </w:r>
      <w:r w:rsidR="00C5091D" w:rsidRPr="00991B8A">
        <w:t>a výšky minimálnej mzdy ustanovenej v</w:t>
      </w:r>
      <w:r w:rsidRPr="00991B8A">
        <w:t xml:space="preserve"> predchádzajúcom </w:t>
      </w:r>
      <w:r w:rsidR="00C5091D" w:rsidRPr="00991B8A">
        <w:t>roku</w:t>
      </w:r>
      <w:r w:rsidRPr="00991B8A">
        <w:t xml:space="preserve"> (</w:t>
      </w:r>
      <w:r w:rsidR="00E80E64" w:rsidRPr="00991B8A">
        <w:t>480 eur</w:t>
      </w:r>
      <w:r w:rsidRPr="00991B8A">
        <w:t xml:space="preserve"> mesačne) </w:t>
      </w:r>
      <w:r w:rsidR="00C5091D" w:rsidRPr="00991B8A">
        <w:rPr>
          <w:b/>
        </w:rPr>
        <w:t>s presnosťou na dve desatinné miesta</w:t>
      </w:r>
      <w:r w:rsidR="00C5091D" w:rsidRPr="00991B8A">
        <w:t xml:space="preserve">, na rok </w:t>
      </w:r>
      <w:r w:rsidR="00E80E64" w:rsidRPr="00991B8A">
        <w:t>2019</w:t>
      </w:r>
      <w:r w:rsidR="00FE6392" w:rsidRPr="00991B8A">
        <w:t xml:space="preserve"> </w:t>
      </w:r>
      <w:r w:rsidR="00C5091D" w:rsidRPr="00991B8A">
        <w:t xml:space="preserve">bude </w:t>
      </w:r>
      <w:r w:rsidR="00EE7842" w:rsidRPr="00991B8A">
        <w:t>koeficient</w:t>
      </w:r>
      <w:r w:rsidR="00EE7842" w:rsidRPr="00991B8A">
        <w:rPr>
          <w:b/>
        </w:rPr>
        <w:t xml:space="preserve"> </w:t>
      </w:r>
      <w:r w:rsidR="00C5091D" w:rsidRPr="00991B8A">
        <w:rPr>
          <w:b/>
        </w:rPr>
        <w:t xml:space="preserve">predstavovať </w:t>
      </w:r>
      <w:r w:rsidR="009F7AC3" w:rsidRPr="00991B8A">
        <w:rPr>
          <w:b/>
        </w:rPr>
        <w:t>1,08</w:t>
      </w:r>
      <w:r w:rsidR="00C5091D" w:rsidRPr="00991B8A">
        <w:rPr>
          <w:b/>
        </w:rPr>
        <w:t>.</w:t>
      </w:r>
    </w:p>
    <w:p w:rsidR="004170EE" w:rsidRPr="00991B8A" w:rsidRDefault="004170EE" w:rsidP="006A39B7">
      <w:pPr>
        <w:jc w:val="both"/>
      </w:pPr>
    </w:p>
    <w:p w:rsidR="00EB0F97" w:rsidRPr="00991B8A" w:rsidRDefault="00EB0F97" w:rsidP="006A39B7">
      <w:pPr>
        <w:jc w:val="both"/>
        <w:rPr>
          <w:b/>
        </w:rPr>
        <w:sectPr w:rsidR="00EB0F97" w:rsidRPr="00991B8A" w:rsidSect="00C77EC0">
          <w:headerReference w:type="even" r:id="rId12"/>
          <w:headerReference w:type="default" r:id="rId13"/>
          <w:pgSz w:w="11906" w:h="16838" w:code="9"/>
          <w:pgMar w:top="1276" w:right="1276" w:bottom="1418" w:left="1418" w:header="709" w:footer="709" w:gutter="0"/>
          <w:cols w:space="708"/>
          <w:titlePg/>
          <w:docGrid w:linePitch="360"/>
        </w:sectPr>
      </w:pPr>
    </w:p>
    <w:p w:rsidR="00702214" w:rsidRPr="00991B8A" w:rsidRDefault="002A5D7C" w:rsidP="00A0360F">
      <w:pPr>
        <w:pStyle w:val="Zkladntext"/>
        <w:tabs>
          <w:tab w:val="num" w:pos="1080"/>
        </w:tabs>
        <w:ind w:right="-31"/>
        <w:jc w:val="right"/>
        <w:rPr>
          <w:b w:val="0"/>
          <w:bCs/>
          <w:szCs w:val="24"/>
        </w:rPr>
      </w:pPr>
      <w:r w:rsidRPr="00991B8A">
        <w:rPr>
          <w:b w:val="0"/>
          <w:szCs w:val="24"/>
        </w:rPr>
        <w:lastRenderedPageBreak/>
        <w:t xml:space="preserve"> </w:t>
      </w:r>
      <w:r w:rsidR="002710CE" w:rsidRPr="00991B8A">
        <w:rPr>
          <w:b w:val="0"/>
          <w:bCs/>
          <w:szCs w:val="24"/>
        </w:rPr>
        <w:t>Tabuľka č. 3</w:t>
      </w:r>
      <w:r w:rsidR="00EE7842" w:rsidRPr="00991B8A">
        <w:rPr>
          <w:b w:val="0"/>
          <w:bCs/>
          <w:szCs w:val="24"/>
        </w:rPr>
        <w:t xml:space="preserve"> </w:t>
      </w:r>
    </w:p>
    <w:tbl>
      <w:tblPr>
        <w:tblpPr w:leftFromText="141" w:rightFromText="141" w:horzAnchor="margin" w:tblpXSpec="center" w:tblpY="533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8"/>
        <w:gridCol w:w="1406"/>
        <w:gridCol w:w="2166"/>
        <w:gridCol w:w="2126"/>
        <w:gridCol w:w="2126"/>
        <w:gridCol w:w="2197"/>
        <w:tblGridChange w:id="18">
          <w:tblGrid>
            <w:gridCol w:w="4758"/>
            <w:gridCol w:w="1406"/>
            <w:gridCol w:w="2166"/>
            <w:gridCol w:w="2126"/>
            <w:gridCol w:w="2126"/>
            <w:gridCol w:w="2197"/>
          </w:tblGrid>
        </w:tblGridChange>
      </w:tblGrid>
      <w:tr w:rsidR="007525C7" w:rsidRPr="00991B8A" w:rsidTr="007525C7">
        <w:trPr>
          <w:trHeight w:val="255"/>
        </w:trPr>
        <w:tc>
          <w:tcPr>
            <w:tcW w:w="4758" w:type="dxa"/>
            <w:vMerge w:val="restart"/>
            <w:shd w:val="clear" w:color="auto" w:fill="000000"/>
            <w:vAlign w:val="center"/>
          </w:tcPr>
          <w:p w:rsidR="00702214" w:rsidRPr="00991B8A" w:rsidRDefault="00702214" w:rsidP="00A0360F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Príjmy (v eurách)</w:t>
            </w:r>
          </w:p>
        </w:tc>
        <w:tc>
          <w:tcPr>
            <w:tcW w:w="7824" w:type="dxa"/>
            <w:gridSpan w:val="4"/>
            <w:shd w:val="clear" w:color="auto" w:fill="000000"/>
            <w:vAlign w:val="center"/>
          </w:tcPr>
          <w:p w:rsidR="00702214" w:rsidRPr="00991B8A" w:rsidRDefault="00702214" w:rsidP="00614432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Vplyv na rozpočet verejnej správy</w:t>
            </w:r>
          </w:p>
        </w:tc>
        <w:tc>
          <w:tcPr>
            <w:tcW w:w="2197" w:type="dxa"/>
            <w:vMerge w:val="restart"/>
            <w:shd w:val="clear" w:color="auto" w:fill="000000"/>
            <w:noWrap/>
            <w:vAlign w:val="center"/>
          </w:tcPr>
          <w:p w:rsidR="00702214" w:rsidRPr="00991B8A" w:rsidRDefault="00702214" w:rsidP="006106F6">
            <w:pPr>
              <w:rPr>
                <w:b/>
                <w:bCs/>
              </w:rPr>
            </w:pPr>
            <w:r w:rsidRPr="00991B8A">
              <w:rPr>
                <w:b/>
                <w:bCs/>
              </w:rPr>
              <w:t>poznámka</w:t>
            </w:r>
          </w:p>
        </w:tc>
      </w:tr>
      <w:tr w:rsidR="007525C7" w:rsidRPr="00991B8A" w:rsidTr="007525C7">
        <w:trPr>
          <w:trHeight w:val="255"/>
        </w:trPr>
        <w:tc>
          <w:tcPr>
            <w:tcW w:w="4758" w:type="dxa"/>
            <w:vMerge/>
          </w:tcPr>
          <w:p w:rsidR="00917241" w:rsidRPr="00991B8A" w:rsidRDefault="00917241" w:rsidP="00A0360F">
            <w:pPr>
              <w:rPr>
                <w:b/>
                <w:bCs/>
              </w:rPr>
            </w:pPr>
          </w:p>
        </w:tc>
        <w:tc>
          <w:tcPr>
            <w:tcW w:w="1406" w:type="dxa"/>
            <w:shd w:val="clear" w:color="auto" w:fill="000000"/>
            <w:vAlign w:val="center"/>
          </w:tcPr>
          <w:p w:rsidR="00917241" w:rsidRPr="00991B8A" w:rsidRDefault="00E80E64" w:rsidP="006106F6">
            <w:pPr>
              <w:jc w:val="center"/>
              <w:rPr>
                <w:b/>
                <w:bCs/>
              </w:rPr>
            </w:pPr>
            <w:r w:rsidRPr="00991B8A">
              <w:rPr>
                <w:szCs w:val="22"/>
              </w:rPr>
              <w:t>2018</w:t>
            </w:r>
          </w:p>
        </w:tc>
        <w:tc>
          <w:tcPr>
            <w:tcW w:w="2166" w:type="dxa"/>
            <w:shd w:val="clear" w:color="auto" w:fill="000000"/>
            <w:vAlign w:val="center"/>
          </w:tcPr>
          <w:p w:rsidR="00917241" w:rsidRPr="00991B8A" w:rsidRDefault="00E80E64" w:rsidP="00614432">
            <w:pPr>
              <w:jc w:val="center"/>
              <w:rPr>
                <w:b/>
                <w:bCs/>
              </w:rPr>
            </w:pPr>
            <w:r w:rsidRPr="00991B8A">
              <w:rPr>
                <w:szCs w:val="22"/>
              </w:rPr>
              <w:t>2019</w:t>
            </w:r>
          </w:p>
        </w:tc>
        <w:tc>
          <w:tcPr>
            <w:tcW w:w="2126" w:type="dxa"/>
            <w:shd w:val="clear" w:color="auto" w:fill="000000"/>
            <w:vAlign w:val="center"/>
          </w:tcPr>
          <w:p w:rsidR="00917241" w:rsidRPr="00991B8A" w:rsidRDefault="00E80E64" w:rsidP="00614432">
            <w:pPr>
              <w:jc w:val="center"/>
              <w:rPr>
                <w:b/>
                <w:bCs/>
              </w:rPr>
            </w:pPr>
            <w:r w:rsidRPr="00991B8A">
              <w:rPr>
                <w:szCs w:val="22"/>
              </w:rPr>
              <w:t>2020</w:t>
            </w:r>
          </w:p>
        </w:tc>
        <w:tc>
          <w:tcPr>
            <w:tcW w:w="2126" w:type="dxa"/>
            <w:shd w:val="clear" w:color="auto" w:fill="000000"/>
            <w:vAlign w:val="center"/>
          </w:tcPr>
          <w:p w:rsidR="00917241" w:rsidRPr="00991B8A" w:rsidRDefault="00E80E64" w:rsidP="00614432">
            <w:pPr>
              <w:jc w:val="center"/>
            </w:pPr>
            <w:r w:rsidRPr="00991B8A">
              <w:rPr>
                <w:szCs w:val="22"/>
              </w:rPr>
              <w:t>2021</w:t>
            </w:r>
          </w:p>
        </w:tc>
        <w:tc>
          <w:tcPr>
            <w:tcW w:w="2197" w:type="dxa"/>
            <w:vMerge/>
            <w:vAlign w:val="center"/>
          </w:tcPr>
          <w:p w:rsidR="00917241" w:rsidRPr="00991B8A" w:rsidRDefault="00917241" w:rsidP="00614432">
            <w:pPr>
              <w:rPr>
                <w:b/>
                <w:bCs/>
              </w:rPr>
            </w:pPr>
          </w:p>
        </w:tc>
      </w:tr>
      <w:tr w:rsidR="00991B8A" w:rsidRPr="00991B8A" w:rsidTr="00991B8A">
        <w:trPr>
          <w:trHeight w:val="255"/>
        </w:trPr>
        <w:tc>
          <w:tcPr>
            <w:tcW w:w="4758" w:type="dxa"/>
            <w:vAlign w:val="center"/>
          </w:tcPr>
          <w:p w:rsidR="009F7AC3" w:rsidRPr="00991B8A" w:rsidRDefault="009F7AC3" w:rsidP="00403353">
            <w:r w:rsidRPr="00991B8A">
              <w:t>Príjmy poistného na sociálne poistenie (151 + 152 + 153 + 155 + 156 + 157 + 158)</w:t>
            </w:r>
          </w:p>
          <w:p w:rsidR="009F7AC3" w:rsidRPr="00991B8A" w:rsidRDefault="009F7AC3" w:rsidP="00403353">
            <w:pPr>
              <w:rPr>
                <w:vertAlign w:val="superscript"/>
              </w:rPr>
            </w:pPr>
            <w:r w:rsidRPr="00991B8A">
              <w:t>(Daňové príjmy - 100)</w:t>
            </w:r>
          </w:p>
        </w:tc>
        <w:tc>
          <w:tcPr>
            <w:tcW w:w="1406" w:type="dxa"/>
            <w:vAlign w:val="center"/>
          </w:tcPr>
          <w:p w:rsidR="009F7AC3" w:rsidRPr="00991B8A" w:rsidRDefault="009F7AC3" w:rsidP="006106F6">
            <w:pPr>
              <w:jc w:val="center"/>
            </w:pPr>
            <w:r w:rsidRPr="00991B8A">
              <w:t>0,00</w:t>
            </w:r>
          </w:p>
        </w:tc>
        <w:tc>
          <w:tcPr>
            <w:tcW w:w="2166" w:type="dxa"/>
            <w:vAlign w:val="center"/>
          </w:tcPr>
          <w:p w:rsidR="009F7AC3" w:rsidRPr="00991B8A" w:rsidRDefault="009F7AC3" w:rsidP="00991B8A">
            <w:pPr>
              <w:jc w:val="center"/>
            </w:pPr>
            <w:r w:rsidRPr="00991B8A">
              <w:t>17 424 451,13</w:t>
            </w:r>
          </w:p>
        </w:tc>
        <w:tc>
          <w:tcPr>
            <w:tcW w:w="2126" w:type="dxa"/>
            <w:vAlign w:val="center"/>
          </w:tcPr>
          <w:p w:rsidR="009F7AC3" w:rsidRPr="00991B8A" w:rsidRDefault="009F7AC3" w:rsidP="00991B8A">
            <w:pPr>
              <w:jc w:val="center"/>
            </w:pPr>
            <w:r w:rsidRPr="00991B8A">
              <w:t>17 330 580,91</w:t>
            </w:r>
          </w:p>
        </w:tc>
        <w:tc>
          <w:tcPr>
            <w:tcW w:w="2126" w:type="dxa"/>
            <w:vAlign w:val="center"/>
          </w:tcPr>
          <w:p w:rsidR="009F7AC3" w:rsidRPr="00991B8A" w:rsidRDefault="009F7AC3" w:rsidP="00991B8A">
            <w:pPr>
              <w:jc w:val="center"/>
            </w:pPr>
            <w:r w:rsidRPr="00991B8A">
              <w:t>17 236 710,68</w:t>
            </w:r>
          </w:p>
        </w:tc>
        <w:tc>
          <w:tcPr>
            <w:tcW w:w="2197" w:type="dxa"/>
            <w:vMerge w:val="restart"/>
            <w:noWrap/>
            <w:vAlign w:val="center"/>
          </w:tcPr>
          <w:p w:rsidR="009F7AC3" w:rsidRPr="00991B8A" w:rsidRDefault="009F7AC3" w:rsidP="006106F6">
            <w:r w:rsidRPr="00991B8A">
              <w:t>1)</w:t>
            </w:r>
          </w:p>
          <w:p w:rsidR="009F7AC3" w:rsidRPr="00991B8A" w:rsidRDefault="009F7AC3" w:rsidP="008E076F"/>
        </w:tc>
      </w:tr>
      <w:tr w:rsidR="00991B8A" w:rsidRPr="00991B8A" w:rsidTr="00991B8A">
        <w:trPr>
          <w:trHeight w:val="255"/>
        </w:trPr>
        <w:tc>
          <w:tcPr>
            <w:tcW w:w="4758" w:type="dxa"/>
            <w:vAlign w:val="center"/>
          </w:tcPr>
          <w:p w:rsidR="009F7AC3" w:rsidRPr="00991B8A" w:rsidRDefault="009F7AC3" w:rsidP="00403353">
            <w:r w:rsidRPr="00991B8A">
              <w:t>Príjmy poistného na zdravotné poistenie (154)</w:t>
            </w:r>
          </w:p>
          <w:p w:rsidR="009F7AC3" w:rsidRPr="00991B8A" w:rsidRDefault="009F7AC3" w:rsidP="00403353">
            <w:r w:rsidRPr="00991B8A">
              <w:t>(Daňové príjmy - 100)</w:t>
            </w:r>
          </w:p>
        </w:tc>
        <w:tc>
          <w:tcPr>
            <w:tcW w:w="1406" w:type="dxa"/>
            <w:vAlign w:val="center"/>
          </w:tcPr>
          <w:p w:rsidR="009F7AC3" w:rsidRPr="00991B8A" w:rsidRDefault="009F7AC3" w:rsidP="006106F6">
            <w:pPr>
              <w:jc w:val="center"/>
            </w:pPr>
            <w:r w:rsidRPr="00991B8A">
              <w:t>0,00</w:t>
            </w:r>
          </w:p>
        </w:tc>
        <w:tc>
          <w:tcPr>
            <w:tcW w:w="2166" w:type="dxa"/>
            <w:vAlign w:val="center"/>
          </w:tcPr>
          <w:p w:rsidR="009F7AC3" w:rsidRPr="00991B8A" w:rsidRDefault="009F7AC3" w:rsidP="00991B8A">
            <w:pPr>
              <w:jc w:val="center"/>
              <w:rPr>
                <w:bCs/>
              </w:rPr>
            </w:pPr>
            <w:r w:rsidRPr="00991B8A">
              <w:t>9 476 549,26</w:t>
            </w:r>
          </w:p>
        </w:tc>
        <w:tc>
          <w:tcPr>
            <w:tcW w:w="2126" w:type="dxa"/>
            <w:vAlign w:val="center"/>
          </w:tcPr>
          <w:p w:rsidR="009F7AC3" w:rsidRPr="00991B8A" w:rsidRDefault="009F7AC3" w:rsidP="00991B8A">
            <w:pPr>
              <w:jc w:val="center"/>
              <w:rPr>
                <w:bCs/>
              </w:rPr>
            </w:pPr>
            <w:r w:rsidRPr="00991B8A">
              <w:t>9 416 383,15</w:t>
            </w:r>
          </w:p>
        </w:tc>
        <w:tc>
          <w:tcPr>
            <w:tcW w:w="2126" w:type="dxa"/>
            <w:vAlign w:val="center"/>
          </w:tcPr>
          <w:p w:rsidR="009F7AC3" w:rsidRPr="00991B8A" w:rsidRDefault="009F7AC3" w:rsidP="00991B8A">
            <w:pPr>
              <w:jc w:val="center"/>
              <w:rPr>
                <w:bCs/>
              </w:rPr>
            </w:pPr>
            <w:r w:rsidRPr="00991B8A">
              <w:t>9 356 217,05</w:t>
            </w:r>
          </w:p>
        </w:tc>
        <w:tc>
          <w:tcPr>
            <w:tcW w:w="2197" w:type="dxa"/>
            <w:vMerge/>
            <w:noWrap/>
            <w:vAlign w:val="center"/>
          </w:tcPr>
          <w:p w:rsidR="009F7AC3" w:rsidRPr="00991B8A" w:rsidRDefault="009F7AC3" w:rsidP="00614432"/>
        </w:tc>
      </w:tr>
      <w:tr w:rsidR="00991B8A" w:rsidRPr="00991B8A" w:rsidTr="00991B8A">
        <w:trPr>
          <w:trHeight w:val="255"/>
        </w:trPr>
        <w:tc>
          <w:tcPr>
            <w:tcW w:w="4758" w:type="dxa"/>
            <w:vAlign w:val="center"/>
          </w:tcPr>
          <w:p w:rsidR="009F7AC3" w:rsidRPr="00991B8A" w:rsidRDefault="009F7AC3" w:rsidP="00403353">
            <w:r w:rsidRPr="00991B8A">
              <w:t>Daň z príjmov fyzickej osoby (111)</w:t>
            </w:r>
          </w:p>
          <w:p w:rsidR="009F7AC3" w:rsidRPr="00991B8A" w:rsidRDefault="009F7AC3" w:rsidP="00403353">
            <w:r w:rsidRPr="00991B8A">
              <w:t>(Daňové príjmy - 100)</w:t>
            </w:r>
          </w:p>
        </w:tc>
        <w:tc>
          <w:tcPr>
            <w:tcW w:w="1406" w:type="dxa"/>
            <w:vAlign w:val="center"/>
          </w:tcPr>
          <w:p w:rsidR="009F7AC3" w:rsidRPr="00991B8A" w:rsidRDefault="009F7AC3" w:rsidP="006106F6">
            <w:pPr>
              <w:jc w:val="center"/>
            </w:pPr>
            <w:r w:rsidRPr="00991B8A">
              <w:t>0,00</w:t>
            </w:r>
          </w:p>
        </w:tc>
        <w:tc>
          <w:tcPr>
            <w:tcW w:w="2166" w:type="dxa"/>
            <w:vAlign w:val="center"/>
          </w:tcPr>
          <w:p w:rsidR="009F7AC3" w:rsidRPr="00991B8A" w:rsidRDefault="009F7AC3" w:rsidP="00991B8A">
            <w:pPr>
              <w:jc w:val="center"/>
              <w:rPr>
                <w:bCs/>
              </w:rPr>
            </w:pPr>
            <w:r w:rsidRPr="00991B8A">
              <w:t>3 519 142,13</w:t>
            </w:r>
          </w:p>
        </w:tc>
        <w:tc>
          <w:tcPr>
            <w:tcW w:w="2126" w:type="dxa"/>
            <w:vAlign w:val="center"/>
          </w:tcPr>
          <w:p w:rsidR="009F7AC3" w:rsidRPr="00991B8A" w:rsidRDefault="009F7AC3" w:rsidP="00991B8A">
            <w:pPr>
              <w:jc w:val="center"/>
              <w:rPr>
                <w:bCs/>
              </w:rPr>
            </w:pPr>
            <w:r w:rsidRPr="00991B8A">
              <w:t>3 493 341,08</w:t>
            </w:r>
          </w:p>
        </w:tc>
        <w:tc>
          <w:tcPr>
            <w:tcW w:w="2126" w:type="dxa"/>
            <w:vAlign w:val="center"/>
          </w:tcPr>
          <w:p w:rsidR="009F7AC3" w:rsidRPr="00991B8A" w:rsidRDefault="009F7AC3" w:rsidP="00991B8A">
            <w:pPr>
              <w:jc w:val="center"/>
              <w:rPr>
                <w:bCs/>
              </w:rPr>
            </w:pPr>
            <w:r w:rsidRPr="00991B8A">
              <w:t>3 443 029,04</w:t>
            </w:r>
          </w:p>
        </w:tc>
        <w:tc>
          <w:tcPr>
            <w:tcW w:w="2197" w:type="dxa"/>
            <w:noWrap/>
            <w:vAlign w:val="center"/>
          </w:tcPr>
          <w:p w:rsidR="009F7AC3" w:rsidRPr="00991B8A" w:rsidRDefault="009F7AC3" w:rsidP="006106F6">
            <w:r w:rsidRPr="00991B8A">
              <w:t>2)</w:t>
            </w:r>
          </w:p>
        </w:tc>
      </w:tr>
      <w:tr w:rsidR="00991B8A" w:rsidRPr="00991B8A" w:rsidTr="00991B8A">
        <w:trPr>
          <w:trHeight w:val="255"/>
        </w:trPr>
        <w:tc>
          <w:tcPr>
            <w:tcW w:w="4758" w:type="dxa"/>
            <w:vAlign w:val="center"/>
          </w:tcPr>
          <w:p w:rsidR="009F7AC3" w:rsidRPr="00991B8A" w:rsidRDefault="009F7AC3" w:rsidP="00403353">
            <w:r w:rsidRPr="00991B8A">
              <w:t>Zvýšenie príjmov z DPH zo zvýšených súm doplatkov do novej minimálnej mzdy (131)</w:t>
            </w:r>
          </w:p>
          <w:p w:rsidR="009F7AC3" w:rsidRPr="00991B8A" w:rsidRDefault="009F7AC3" w:rsidP="00403353">
            <w:r w:rsidRPr="00991B8A">
              <w:t>(Daňové príjmy - 100)</w:t>
            </w:r>
          </w:p>
        </w:tc>
        <w:tc>
          <w:tcPr>
            <w:tcW w:w="1406" w:type="dxa"/>
            <w:vAlign w:val="center"/>
          </w:tcPr>
          <w:p w:rsidR="009F7AC3" w:rsidRPr="00991B8A" w:rsidRDefault="009F7AC3" w:rsidP="006106F6">
            <w:pPr>
              <w:jc w:val="center"/>
            </w:pPr>
            <w:r w:rsidRPr="00991B8A">
              <w:t>0,00</w:t>
            </w:r>
          </w:p>
        </w:tc>
        <w:tc>
          <w:tcPr>
            <w:tcW w:w="2166" w:type="dxa"/>
            <w:vAlign w:val="center"/>
          </w:tcPr>
          <w:p w:rsidR="009F7AC3" w:rsidRPr="00991B8A" w:rsidRDefault="009F7AC3" w:rsidP="00991B8A">
            <w:pPr>
              <w:jc w:val="center"/>
              <w:rPr>
                <w:bCs/>
              </w:rPr>
            </w:pPr>
            <w:r w:rsidRPr="00991B8A">
              <w:t>7 548 000,70</w:t>
            </w:r>
          </w:p>
        </w:tc>
        <w:tc>
          <w:tcPr>
            <w:tcW w:w="2126" w:type="dxa"/>
            <w:vAlign w:val="center"/>
          </w:tcPr>
          <w:p w:rsidR="009F7AC3" w:rsidRPr="00991B8A" w:rsidRDefault="009F7AC3" w:rsidP="00991B8A">
            <w:pPr>
              <w:jc w:val="center"/>
              <w:rPr>
                <w:bCs/>
              </w:rPr>
            </w:pPr>
            <w:r w:rsidRPr="00991B8A">
              <w:t>7 510 207,92</w:t>
            </w:r>
          </w:p>
        </w:tc>
        <w:tc>
          <w:tcPr>
            <w:tcW w:w="2126" w:type="dxa"/>
            <w:vAlign w:val="center"/>
          </w:tcPr>
          <w:p w:rsidR="009F7AC3" w:rsidRPr="00991B8A" w:rsidRDefault="009F7AC3" w:rsidP="00991B8A">
            <w:pPr>
              <w:jc w:val="center"/>
              <w:rPr>
                <w:bCs/>
              </w:rPr>
            </w:pPr>
            <w:r w:rsidRPr="00991B8A">
              <w:t>7 488 445,16</w:t>
            </w:r>
          </w:p>
        </w:tc>
        <w:tc>
          <w:tcPr>
            <w:tcW w:w="2197" w:type="dxa"/>
            <w:noWrap/>
            <w:vAlign w:val="center"/>
          </w:tcPr>
          <w:p w:rsidR="009F7AC3" w:rsidRPr="00991B8A" w:rsidRDefault="009F7AC3" w:rsidP="006106F6">
            <w:r w:rsidRPr="00991B8A">
              <w:t>3)</w:t>
            </w:r>
          </w:p>
        </w:tc>
      </w:tr>
      <w:tr w:rsidR="00991B8A" w:rsidRPr="00991B8A" w:rsidTr="00991B8A">
        <w:trPr>
          <w:trHeight w:val="325"/>
        </w:trPr>
        <w:tc>
          <w:tcPr>
            <w:tcW w:w="4758" w:type="dxa"/>
            <w:vAlign w:val="center"/>
          </w:tcPr>
          <w:p w:rsidR="009F7AC3" w:rsidRPr="00991B8A" w:rsidRDefault="009F7AC3" w:rsidP="00403353">
            <w:r w:rsidRPr="00991B8A">
              <w:t>Nedaňové príjmy (200)</w:t>
            </w:r>
            <w:r w:rsidRPr="00991B8A">
              <w:rPr>
                <w:vertAlign w:val="superscript"/>
              </w:rPr>
              <w:t>2</w:t>
            </w:r>
          </w:p>
        </w:tc>
        <w:tc>
          <w:tcPr>
            <w:tcW w:w="1406" w:type="dxa"/>
            <w:vAlign w:val="center"/>
          </w:tcPr>
          <w:p w:rsidR="009F7AC3" w:rsidRPr="00991B8A" w:rsidRDefault="009F7AC3" w:rsidP="006106F6">
            <w:pPr>
              <w:jc w:val="center"/>
            </w:pPr>
          </w:p>
        </w:tc>
        <w:tc>
          <w:tcPr>
            <w:tcW w:w="2166" w:type="dxa"/>
            <w:vAlign w:val="center"/>
          </w:tcPr>
          <w:p w:rsidR="009F7AC3" w:rsidRPr="00991B8A" w:rsidRDefault="009F7AC3" w:rsidP="00991B8A">
            <w:pPr>
              <w:jc w:val="center"/>
            </w:pPr>
          </w:p>
        </w:tc>
        <w:tc>
          <w:tcPr>
            <w:tcW w:w="2126" w:type="dxa"/>
            <w:vAlign w:val="center"/>
          </w:tcPr>
          <w:p w:rsidR="009F7AC3" w:rsidRPr="00991B8A" w:rsidRDefault="009F7AC3" w:rsidP="00991B8A">
            <w:pPr>
              <w:jc w:val="center"/>
            </w:pPr>
          </w:p>
        </w:tc>
        <w:tc>
          <w:tcPr>
            <w:tcW w:w="2126" w:type="dxa"/>
            <w:vAlign w:val="center"/>
          </w:tcPr>
          <w:p w:rsidR="009F7AC3" w:rsidRPr="00991B8A" w:rsidRDefault="009F7AC3" w:rsidP="00991B8A">
            <w:pPr>
              <w:jc w:val="center"/>
            </w:pPr>
          </w:p>
        </w:tc>
        <w:tc>
          <w:tcPr>
            <w:tcW w:w="2197" w:type="dxa"/>
            <w:noWrap/>
            <w:vAlign w:val="center"/>
          </w:tcPr>
          <w:p w:rsidR="009F7AC3" w:rsidRPr="00991B8A" w:rsidRDefault="009F7AC3" w:rsidP="006106F6"/>
        </w:tc>
      </w:tr>
      <w:tr w:rsidR="00991B8A" w:rsidRPr="00991B8A" w:rsidTr="00991B8A">
        <w:trPr>
          <w:trHeight w:val="255"/>
        </w:trPr>
        <w:tc>
          <w:tcPr>
            <w:tcW w:w="4758" w:type="dxa"/>
            <w:vAlign w:val="center"/>
          </w:tcPr>
          <w:p w:rsidR="009F7AC3" w:rsidRPr="00991B8A" w:rsidRDefault="009F7AC3" w:rsidP="00403353">
            <w:r w:rsidRPr="00991B8A">
              <w:t>Príjem obcí na údržbu vojnových hrobov (transfer zo ŠR – 312001)</w:t>
            </w:r>
          </w:p>
          <w:p w:rsidR="009F7AC3" w:rsidRPr="00991B8A" w:rsidRDefault="009F7AC3" w:rsidP="00403353">
            <w:r w:rsidRPr="00991B8A">
              <w:t>Granty a transfery (300)</w:t>
            </w:r>
            <w:r w:rsidRPr="00991B8A">
              <w:rPr>
                <w:vertAlign w:val="superscript"/>
              </w:rPr>
              <w:t>3</w:t>
            </w:r>
          </w:p>
        </w:tc>
        <w:tc>
          <w:tcPr>
            <w:tcW w:w="1406" w:type="dxa"/>
            <w:vAlign w:val="center"/>
          </w:tcPr>
          <w:p w:rsidR="009F7AC3" w:rsidRPr="00991B8A" w:rsidRDefault="009F7AC3" w:rsidP="006106F6">
            <w:pPr>
              <w:jc w:val="center"/>
            </w:pPr>
            <w:r w:rsidRPr="00991B8A">
              <w:t>0,00</w:t>
            </w:r>
          </w:p>
        </w:tc>
        <w:tc>
          <w:tcPr>
            <w:tcW w:w="2166" w:type="dxa"/>
            <w:vAlign w:val="center"/>
          </w:tcPr>
          <w:p w:rsidR="009F7AC3" w:rsidRPr="00991B8A" w:rsidRDefault="009F7AC3" w:rsidP="00991B8A">
            <w:pPr>
              <w:jc w:val="center"/>
              <w:rPr>
                <w:bCs/>
              </w:rPr>
            </w:pPr>
            <w:r w:rsidRPr="00991B8A">
              <w:t>21 072,60</w:t>
            </w:r>
          </w:p>
        </w:tc>
        <w:tc>
          <w:tcPr>
            <w:tcW w:w="2126" w:type="dxa"/>
            <w:vAlign w:val="center"/>
          </w:tcPr>
          <w:p w:rsidR="009F7AC3" w:rsidRPr="00991B8A" w:rsidRDefault="009F7AC3" w:rsidP="00991B8A">
            <w:pPr>
              <w:jc w:val="center"/>
              <w:rPr>
                <w:bCs/>
              </w:rPr>
            </w:pPr>
            <w:r w:rsidRPr="00991B8A">
              <w:t>21 072,60</w:t>
            </w:r>
          </w:p>
        </w:tc>
        <w:tc>
          <w:tcPr>
            <w:tcW w:w="2126" w:type="dxa"/>
            <w:vAlign w:val="center"/>
          </w:tcPr>
          <w:p w:rsidR="009F7AC3" w:rsidRPr="00991B8A" w:rsidRDefault="009F7AC3" w:rsidP="00991B8A">
            <w:pPr>
              <w:jc w:val="center"/>
              <w:rPr>
                <w:bCs/>
              </w:rPr>
            </w:pPr>
            <w:r w:rsidRPr="00991B8A">
              <w:t>21 072,60</w:t>
            </w:r>
          </w:p>
        </w:tc>
        <w:tc>
          <w:tcPr>
            <w:tcW w:w="2197" w:type="dxa"/>
            <w:noWrap/>
            <w:vAlign w:val="center"/>
          </w:tcPr>
          <w:p w:rsidR="009F7AC3" w:rsidRPr="00991B8A" w:rsidRDefault="009F7AC3" w:rsidP="006106F6">
            <w:r w:rsidRPr="00991B8A">
              <w:t>4)</w:t>
            </w:r>
          </w:p>
        </w:tc>
      </w:tr>
      <w:tr w:rsidR="00991B8A" w:rsidRPr="00991B8A" w:rsidTr="00991B8A">
        <w:trPr>
          <w:trHeight w:val="255"/>
        </w:trPr>
        <w:tc>
          <w:tcPr>
            <w:tcW w:w="4758" w:type="dxa"/>
            <w:vAlign w:val="center"/>
          </w:tcPr>
          <w:p w:rsidR="006A5B6A" w:rsidRPr="00991B8A" w:rsidRDefault="006A5B6A" w:rsidP="00403353">
            <w:r w:rsidRPr="00991B8A">
              <w:t>Príjmy z transakcií s finančnými aktívami a finančnými pasívami (400)</w:t>
            </w:r>
          </w:p>
        </w:tc>
        <w:tc>
          <w:tcPr>
            <w:tcW w:w="1406" w:type="dxa"/>
            <w:vAlign w:val="center"/>
          </w:tcPr>
          <w:p w:rsidR="006A5B6A" w:rsidRPr="00991B8A" w:rsidRDefault="006A5B6A" w:rsidP="006106F6">
            <w:pPr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vAlign w:val="center"/>
          </w:tcPr>
          <w:p w:rsidR="006A5B6A" w:rsidRPr="00991B8A" w:rsidRDefault="006A5B6A" w:rsidP="00991B8A">
            <w:pPr>
              <w:jc w:val="center"/>
            </w:pPr>
          </w:p>
        </w:tc>
        <w:tc>
          <w:tcPr>
            <w:tcW w:w="2126" w:type="dxa"/>
            <w:vAlign w:val="center"/>
          </w:tcPr>
          <w:p w:rsidR="006A5B6A" w:rsidRPr="00991B8A" w:rsidRDefault="006A5B6A" w:rsidP="00991B8A">
            <w:pPr>
              <w:jc w:val="center"/>
            </w:pPr>
          </w:p>
        </w:tc>
        <w:tc>
          <w:tcPr>
            <w:tcW w:w="2126" w:type="dxa"/>
            <w:vAlign w:val="center"/>
          </w:tcPr>
          <w:p w:rsidR="006A5B6A" w:rsidRPr="00991B8A" w:rsidRDefault="006A5B6A" w:rsidP="00991B8A">
            <w:pPr>
              <w:jc w:val="center"/>
            </w:pPr>
          </w:p>
        </w:tc>
        <w:tc>
          <w:tcPr>
            <w:tcW w:w="2197" w:type="dxa"/>
            <w:noWrap/>
            <w:vAlign w:val="center"/>
          </w:tcPr>
          <w:p w:rsidR="006A5B6A" w:rsidRPr="00991B8A" w:rsidRDefault="006A5B6A" w:rsidP="006106F6"/>
        </w:tc>
      </w:tr>
      <w:tr w:rsidR="00991B8A" w:rsidRPr="00991B8A" w:rsidTr="00991B8A">
        <w:trPr>
          <w:trHeight w:val="255"/>
        </w:trPr>
        <w:tc>
          <w:tcPr>
            <w:tcW w:w="4758" w:type="dxa"/>
            <w:vAlign w:val="center"/>
          </w:tcPr>
          <w:p w:rsidR="006A5B6A" w:rsidRPr="00991B8A" w:rsidRDefault="006A5B6A" w:rsidP="00403353">
            <w:r w:rsidRPr="00991B8A">
              <w:t>Prijaté úvery, pôžičky a návratné finančné výpomoci (500)</w:t>
            </w:r>
          </w:p>
        </w:tc>
        <w:tc>
          <w:tcPr>
            <w:tcW w:w="1406" w:type="dxa"/>
            <w:vAlign w:val="center"/>
          </w:tcPr>
          <w:p w:rsidR="006A5B6A" w:rsidRPr="00991B8A" w:rsidRDefault="006A5B6A" w:rsidP="006106F6">
            <w:pPr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vAlign w:val="center"/>
          </w:tcPr>
          <w:p w:rsidR="006A5B6A" w:rsidRPr="00991B8A" w:rsidRDefault="006A5B6A" w:rsidP="00991B8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6A5B6A" w:rsidRPr="00991B8A" w:rsidRDefault="006A5B6A" w:rsidP="00991B8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6A5B6A" w:rsidRPr="00991B8A" w:rsidRDefault="006A5B6A" w:rsidP="00991B8A">
            <w:pPr>
              <w:jc w:val="center"/>
              <w:rPr>
                <w:b/>
                <w:bCs/>
              </w:rPr>
            </w:pPr>
          </w:p>
        </w:tc>
        <w:tc>
          <w:tcPr>
            <w:tcW w:w="2197" w:type="dxa"/>
            <w:noWrap/>
            <w:vAlign w:val="center"/>
          </w:tcPr>
          <w:p w:rsidR="006A5B6A" w:rsidRPr="00991B8A" w:rsidRDefault="006A5B6A" w:rsidP="006106F6"/>
        </w:tc>
      </w:tr>
      <w:tr w:rsidR="00991B8A" w:rsidRPr="00991B8A" w:rsidTr="00991B8A">
        <w:trPr>
          <w:trHeight w:val="560"/>
        </w:trPr>
        <w:tc>
          <w:tcPr>
            <w:tcW w:w="4758" w:type="dxa"/>
            <w:shd w:val="clear" w:color="auto" w:fill="000000"/>
            <w:vAlign w:val="center"/>
          </w:tcPr>
          <w:p w:rsidR="009F7AC3" w:rsidRPr="00991B8A" w:rsidRDefault="009F7AC3" w:rsidP="00403353">
            <w:pPr>
              <w:rPr>
                <w:b/>
                <w:bCs/>
              </w:rPr>
            </w:pPr>
            <w:r w:rsidRPr="00991B8A">
              <w:rPr>
                <w:b/>
                <w:bCs/>
              </w:rPr>
              <w:t>Dopad na príjmy verejnej správy celkom</w:t>
            </w:r>
          </w:p>
        </w:tc>
        <w:tc>
          <w:tcPr>
            <w:tcW w:w="1406" w:type="dxa"/>
            <w:shd w:val="clear" w:color="auto" w:fill="000000"/>
            <w:vAlign w:val="center"/>
          </w:tcPr>
          <w:p w:rsidR="009F7AC3" w:rsidRPr="00991B8A" w:rsidRDefault="009F7AC3" w:rsidP="006106F6">
            <w:pPr>
              <w:jc w:val="center"/>
              <w:rPr>
                <w:b/>
                <w:bCs/>
              </w:rPr>
            </w:pPr>
            <w:r w:rsidRPr="00991B8A">
              <w:rPr>
                <w:b/>
              </w:rPr>
              <w:t>0,00</w:t>
            </w:r>
          </w:p>
        </w:tc>
        <w:tc>
          <w:tcPr>
            <w:tcW w:w="2166" w:type="dxa"/>
            <w:shd w:val="clear" w:color="auto" w:fill="000000"/>
            <w:vAlign w:val="center"/>
          </w:tcPr>
          <w:p w:rsidR="009F7AC3" w:rsidRPr="00991B8A" w:rsidRDefault="009F7AC3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37 989 215,82</w:t>
            </w:r>
          </w:p>
        </w:tc>
        <w:tc>
          <w:tcPr>
            <w:tcW w:w="2126" w:type="dxa"/>
            <w:shd w:val="clear" w:color="auto" w:fill="000000"/>
            <w:vAlign w:val="center"/>
          </w:tcPr>
          <w:p w:rsidR="009F7AC3" w:rsidRPr="00991B8A" w:rsidRDefault="009F7AC3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37 771 585,66</w:t>
            </w:r>
          </w:p>
        </w:tc>
        <w:tc>
          <w:tcPr>
            <w:tcW w:w="2126" w:type="dxa"/>
            <w:shd w:val="clear" w:color="auto" w:fill="000000"/>
            <w:vAlign w:val="center"/>
          </w:tcPr>
          <w:p w:rsidR="009F7AC3" w:rsidRPr="00991B8A" w:rsidRDefault="009F7AC3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37 545 474,53</w:t>
            </w:r>
          </w:p>
        </w:tc>
        <w:tc>
          <w:tcPr>
            <w:tcW w:w="2197" w:type="dxa"/>
            <w:shd w:val="clear" w:color="auto" w:fill="000000"/>
            <w:noWrap/>
            <w:vAlign w:val="center"/>
          </w:tcPr>
          <w:p w:rsidR="009F7AC3" w:rsidRPr="00991B8A" w:rsidRDefault="009F7AC3" w:rsidP="006106F6">
            <w:pPr>
              <w:rPr>
                <w:b/>
              </w:rPr>
            </w:pPr>
          </w:p>
        </w:tc>
      </w:tr>
    </w:tbl>
    <w:p w:rsidR="00EE7842" w:rsidRPr="00991B8A" w:rsidRDefault="00EE7842" w:rsidP="00A0360F">
      <w:pPr>
        <w:pStyle w:val="Zkladntext"/>
        <w:tabs>
          <w:tab w:val="num" w:pos="1080"/>
        </w:tabs>
        <w:jc w:val="both"/>
        <w:rPr>
          <w:bCs/>
          <w:i/>
          <w:szCs w:val="24"/>
        </w:rPr>
      </w:pPr>
    </w:p>
    <w:p w:rsidR="002A5D7C" w:rsidRPr="00991B8A" w:rsidRDefault="002A5D7C" w:rsidP="00A0360F">
      <w:pPr>
        <w:pStyle w:val="Zkladntext"/>
        <w:tabs>
          <w:tab w:val="num" w:pos="1080"/>
        </w:tabs>
        <w:jc w:val="both"/>
        <w:rPr>
          <w:b w:val="0"/>
          <w:bCs/>
          <w:i/>
          <w:szCs w:val="24"/>
        </w:rPr>
      </w:pPr>
      <w:r w:rsidRPr="00991B8A">
        <w:rPr>
          <w:b w:val="0"/>
          <w:bCs/>
          <w:i/>
          <w:szCs w:val="24"/>
        </w:rPr>
        <w:t xml:space="preserve">1) Postup výpočtu zvýšenia príjmov Sociálnej poisťovne a zdravotných poisťovní je v časti </w:t>
      </w:r>
      <w:r w:rsidR="00156CAB" w:rsidRPr="00991B8A">
        <w:rPr>
          <w:b w:val="0"/>
          <w:bCs/>
          <w:i/>
          <w:szCs w:val="24"/>
        </w:rPr>
        <w:t>2.3.4</w:t>
      </w:r>
      <w:r w:rsidRPr="00991B8A">
        <w:rPr>
          <w:b w:val="0"/>
          <w:bCs/>
          <w:i/>
          <w:szCs w:val="24"/>
        </w:rPr>
        <w:t>, body C.1 a C.2.</w:t>
      </w:r>
    </w:p>
    <w:p w:rsidR="00156CAB" w:rsidRPr="00991B8A" w:rsidRDefault="002A5D7C" w:rsidP="00A0360F">
      <w:pPr>
        <w:pStyle w:val="Zkladntext"/>
        <w:tabs>
          <w:tab w:val="num" w:pos="1080"/>
        </w:tabs>
        <w:jc w:val="both"/>
        <w:rPr>
          <w:b w:val="0"/>
          <w:bCs/>
          <w:i/>
          <w:spacing w:val="-2"/>
          <w:szCs w:val="24"/>
        </w:rPr>
      </w:pPr>
      <w:r w:rsidRPr="00991B8A">
        <w:rPr>
          <w:b w:val="0"/>
          <w:bCs/>
          <w:i/>
          <w:spacing w:val="-2"/>
          <w:szCs w:val="24"/>
        </w:rPr>
        <w:t xml:space="preserve">2) </w:t>
      </w:r>
      <w:r w:rsidR="00156CAB" w:rsidRPr="00991B8A">
        <w:rPr>
          <w:b w:val="0"/>
          <w:bCs/>
          <w:i/>
          <w:spacing w:val="-2"/>
          <w:szCs w:val="24"/>
        </w:rPr>
        <w:t xml:space="preserve">Výpočet </w:t>
      </w:r>
      <w:r w:rsidR="003F79FA" w:rsidRPr="00991B8A">
        <w:rPr>
          <w:b w:val="0"/>
          <w:bCs/>
          <w:i/>
          <w:spacing w:val="-2"/>
          <w:szCs w:val="24"/>
        </w:rPr>
        <w:t xml:space="preserve">zvýšenia </w:t>
      </w:r>
      <w:r w:rsidR="009E2B46" w:rsidRPr="00991B8A">
        <w:rPr>
          <w:b w:val="0"/>
          <w:bCs/>
          <w:i/>
          <w:spacing w:val="-2"/>
          <w:szCs w:val="24"/>
        </w:rPr>
        <w:t xml:space="preserve">príjmov v položke daň z príjmov zo závislej činnosti </w:t>
      </w:r>
      <w:r w:rsidR="00156CAB" w:rsidRPr="00991B8A">
        <w:rPr>
          <w:b w:val="0"/>
          <w:bCs/>
          <w:i/>
          <w:spacing w:val="-2"/>
          <w:szCs w:val="24"/>
        </w:rPr>
        <w:t>je v časti v časti</w:t>
      </w:r>
      <w:r w:rsidR="00156CAB" w:rsidRPr="00991B8A">
        <w:rPr>
          <w:b w:val="0"/>
          <w:bCs/>
          <w:i/>
          <w:szCs w:val="24"/>
        </w:rPr>
        <w:t xml:space="preserve"> 2.3.4, bod </w:t>
      </w:r>
      <w:r w:rsidR="00156CAB" w:rsidRPr="00991B8A">
        <w:rPr>
          <w:b w:val="0"/>
          <w:bCs/>
          <w:i/>
          <w:spacing w:val="-2"/>
          <w:szCs w:val="24"/>
        </w:rPr>
        <w:t>D.1</w:t>
      </w:r>
    </w:p>
    <w:p w:rsidR="002A5D7C" w:rsidRPr="00991B8A" w:rsidRDefault="00156CAB" w:rsidP="00A0360F">
      <w:pPr>
        <w:pStyle w:val="Zkladntext"/>
        <w:tabs>
          <w:tab w:val="num" w:pos="1080"/>
        </w:tabs>
        <w:jc w:val="both"/>
        <w:rPr>
          <w:b w:val="0"/>
          <w:bCs/>
          <w:i/>
          <w:spacing w:val="-2"/>
          <w:szCs w:val="24"/>
        </w:rPr>
      </w:pPr>
      <w:r w:rsidRPr="00991B8A">
        <w:rPr>
          <w:b w:val="0"/>
          <w:bCs/>
          <w:i/>
          <w:spacing w:val="-2"/>
          <w:szCs w:val="24"/>
        </w:rPr>
        <w:t xml:space="preserve">3) Výpočet </w:t>
      </w:r>
      <w:r w:rsidR="003F79FA" w:rsidRPr="00991B8A">
        <w:rPr>
          <w:b w:val="0"/>
          <w:bCs/>
          <w:i/>
          <w:spacing w:val="-2"/>
          <w:szCs w:val="24"/>
        </w:rPr>
        <w:t xml:space="preserve">zvýšenia </w:t>
      </w:r>
      <w:r w:rsidR="002A5D7C" w:rsidRPr="00991B8A">
        <w:rPr>
          <w:b w:val="0"/>
          <w:bCs/>
          <w:i/>
          <w:spacing w:val="-2"/>
          <w:szCs w:val="24"/>
        </w:rPr>
        <w:t xml:space="preserve">príjmov </w:t>
      </w:r>
      <w:r w:rsidRPr="00991B8A">
        <w:rPr>
          <w:b w:val="0"/>
          <w:bCs/>
          <w:i/>
          <w:spacing w:val="-2"/>
          <w:szCs w:val="24"/>
        </w:rPr>
        <w:t xml:space="preserve">v položke daň </w:t>
      </w:r>
      <w:r w:rsidR="002A5D7C" w:rsidRPr="00991B8A">
        <w:rPr>
          <w:b w:val="0"/>
          <w:bCs/>
          <w:i/>
          <w:spacing w:val="-2"/>
          <w:szCs w:val="24"/>
        </w:rPr>
        <w:t>z pridanej hodnoty je v časti</w:t>
      </w:r>
      <w:r w:rsidR="002A5D7C" w:rsidRPr="00991B8A">
        <w:rPr>
          <w:b w:val="0"/>
          <w:bCs/>
          <w:i/>
          <w:szCs w:val="24"/>
        </w:rPr>
        <w:t xml:space="preserve"> </w:t>
      </w:r>
      <w:r w:rsidRPr="00991B8A">
        <w:rPr>
          <w:b w:val="0"/>
          <w:bCs/>
          <w:i/>
          <w:szCs w:val="24"/>
        </w:rPr>
        <w:t>2.3.4.</w:t>
      </w:r>
      <w:r w:rsidR="002A5D7C" w:rsidRPr="00991B8A">
        <w:rPr>
          <w:b w:val="0"/>
          <w:bCs/>
          <w:i/>
          <w:szCs w:val="24"/>
        </w:rPr>
        <w:t>, bod</w:t>
      </w:r>
      <w:r w:rsidR="002A5D7C" w:rsidRPr="00991B8A">
        <w:rPr>
          <w:b w:val="0"/>
          <w:bCs/>
          <w:i/>
          <w:spacing w:val="-2"/>
          <w:szCs w:val="24"/>
        </w:rPr>
        <w:t xml:space="preserve"> D.</w:t>
      </w:r>
      <w:r w:rsidRPr="00991B8A">
        <w:rPr>
          <w:b w:val="0"/>
          <w:bCs/>
          <w:i/>
          <w:spacing w:val="-2"/>
          <w:szCs w:val="24"/>
        </w:rPr>
        <w:t>2.</w:t>
      </w:r>
    </w:p>
    <w:p w:rsidR="002A5D7C" w:rsidRPr="00991B8A" w:rsidRDefault="00156CAB" w:rsidP="00A0360F">
      <w:pPr>
        <w:pStyle w:val="Zkladntext"/>
        <w:tabs>
          <w:tab w:val="num" w:pos="1080"/>
        </w:tabs>
        <w:jc w:val="both"/>
        <w:rPr>
          <w:b w:val="0"/>
          <w:i/>
          <w:szCs w:val="24"/>
        </w:rPr>
      </w:pPr>
      <w:r w:rsidRPr="00991B8A">
        <w:rPr>
          <w:b w:val="0"/>
          <w:i/>
          <w:szCs w:val="24"/>
        </w:rPr>
        <w:t>4</w:t>
      </w:r>
      <w:r w:rsidR="002A5D7C" w:rsidRPr="00991B8A">
        <w:rPr>
          <w:b w:val="0"/>
          <w:i/>
          <w:szCs w:val="24"/>
        </w:rPr>
        <w:t xml:space="preserve">) Obciam sa podľa </w:t>
      </w:r>
      <w:r w:rsidRPr="00991B8A">
        <w:rPr>
          <w:b w:val="0"/>
          <w:i/>
          <w:szCs w:val="24"/>
        </w:rPr>
        <w:t xml:space="preserve">§ 4 ods. 1 </w:t>
      </w:r>
      <w:r w:rsidR="002A5D7C" w:rsidRPr="00991B8A">
        <w:rPr>
          <w:b w:val="0"/>
          <w:i/>
          <w:szCs w:val="24"/>
        </w:rPr>
        <w:t xml:space="preserve">zákona č. 130/2005 Z. z. o vojnových hroboch v znení neskorších predpisov poskytuje príspevok na 1 vojnový hrob zo štátneho rozpočtu (transfer z MV SR) vo výške 5-násobku hodinovej minimálnej mzdy. </w:t>
      </w:r>
      <w:r w:rsidRPr="00991B8A">
        <w:rPr>
          <w:b w:val="0"/>
          <w:i/>
          <w:szCs w:val="24"/>
        </w:rPr>
        <w:t>Výpočet výšk</w:t>
      </w:r>
      <w:r w:rsidR="00EE7842" w:rsidRPr="00991B8A">
        <w:rPr>
          <w:b w:val="0"/>
          <w:i/>
          <w:szCs w:val="24"/>
        </w:rPr>
        <w:t>y</w:t>
      </w:r>
      <w:r w:rsidRPr="00991B8A">
        <w:rPr>
          <w:b w:val="0"/>
          <w:i/>
          <w:szCs w:val="24"/>
        </w:rPr>
        <w:t xml:space="preserve"> transferu obciam je v časti 2.3.4., bod B.</w:t>
      </w:r>
      <w:r w:rsidR="009E2B46" w:rsidRPr="00991B8A">
        <w:rPr>
          <w:b w:val="0"/>
          <w:i/>
          <w:szCs w:val="24"/>
        </w:rPr>
        <w:t>4</w:t>
      </w:r>
    </w:p>
    <w:p w:rsidR="002A5D7C" w:rsidRPr="00991B8A" w:rsidRDefault="002A5D7C" w:rsidP="00A0360F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  <w:r w:rsidRPr="00991B8A">
        <w:rPr>
          <w:b w:val="0"/>
          <w:bCs/>
          <w:szCs w:val="24"/>
        </w:rPr>
        <w:t xml:space="preserve"> </w:t>
      </w:r>
    </w:p>
    <w:p w:rsidR="001C79BB" w:rsidRPr="00991B8A" w:rsidRDefault="001C79BB" w:rsidP="00A0360F">
      <w:pPr>
        <w:pStyle w:val="Zkladntext"/>
        <w:tabs>
          <w:tab w:val="num" w:pos="1080"/>
        </w:tabs>
        <w:ind w:right="-31"/>
        <w:jc w:val="right"/>
        <w:rPr>
          <w:b w:val="0"/>
          <w:bCs/>
          <w:szCs w:val="24"/>
        </w:rPr>
      </w:pPr>
    </w:p>
    <w:p w:rsidR="002A5D7C" w:rsidRPr="00991B8A" w:rsidRDefault="002710CE" w:rsidP="00A0360F">
      <w:pPr>
        <w:pStyle w:val="Zkladntext"/>
        <w:tabs>
          <w:tab w:val="num" w:pos="1080"/>
        </w:tabs>
        <w:ind w:right="-31"/>
        <w:jc w:val="right"/>
        <w:rPr>
          <w:b w:val="0"/>
          <w:bCs/>
          <w:szCs w:val="24"/>
        </w:rPr>
      </w:pPr>
      <w:r w:rsidRPr="00991B8A">
        <w:rPr>
          <w:b w:val="0"/>
          <w:bCs/>
          <w:szCs w:val="24"/>
        </w:rPr>
        <w:lastRenderedPageBreak/>
        <w:t>Tabuľka č. 4</w:t>
      </w:r>
      <w:r w:rsidR="002A5D7C" w:rsidRPr="00991B8A">
        <w:rPr>
          <w:b w:val="0"/>
          <w:bCs/>
          <w:szCs w:val="24"/>
        </w:rPr>
        <w:t xml:space="preserve"> </w:t>
      </w:r>
    </w:p>
    <w:p w:rsidR="002A5D7C" w:rsidRPr="00991B8A" w:rsidRDefault="002A5D7C" w:rsidP="00A0360F">
      <w:pPr>
        <w:pStyle w:val="Zkladntext"/>
        <w:tabs>
          <w:tab w:val="num" w:pos="1080"/>
        </w:tabs>
        <w:jc w:val="both"/>
        <w:rPr>
          <w:b w:val="0"/>
          <w:bCs/>
          <w:szCs w:val="24"/>
        </w:rPr>
      </w:pPr>
    </w:p>
    <w:tbl>
      <w:tblPr>
        <w:tblpPr w:leftFromText="141" w:rightFromText="141" w:vertAnchor="text" w:horzAnchor="page" w:tblpX="1195" w:tblpY="2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992"/>
        <w:gridCol w:w="1843"/>
        <w:gridCol w:w="1843"/>
        <w:gridCol w:w="1984"/>
        <w:gridCol w:w="1275"/>
        <w:tblGridChange w:id="19">
          <w:tblGrid>
            <w:gridCol w:w="7016"/>
            <w:gridCol w:w="992"/>
            <w:gridCol w:w="1843"/>
            <w:gridCol w:w="1843"/>
            <w:gridCol w:w="1984"/>
            <w:gridCol w:w="1275"/>
          </w:tblGrid>
        </w:tblGridChange>
      </w:tblGrid>
      <w:tr w:rsidR="007525C7" w:rsidRPr="00991B8A" w:rsidTr="0031174B">
        <w:trPr>
          <w:cantSplit/>
          <w:trHeight w:val="255"/>
        </w:trPr>
        <w:tc>
          <w:tcPr>
            <w:tcW w:w="7016" w:type="dxa"/>
            <w:vMerge w:val="restart"/>
            <w:shd w:val="clear" w:color="auto" w:fill="000000"/>
            <w:vAlign w:val="center"/>
          </w:tcPr>
          <w:p w:rsidR="002A5D7C" w:rsidRPr="00991B8A" w:rsidRDefault="002A5D7C" w:rsidP="005A3FA4">
            <w:pPr>
              <w:rPr>
                <w:b/>
                <w:bCs/>
              </w:rPr>
            </w:pPr>
            <w:r w:rsidRPr="00991B8A">
              <w:rPr>
                <w:b/>
                <w:bCs/>
              </w:rPr>
              <w:t>Výdavky (v eurách)</w:t>
            </w:r>
          </w:p>
        </w:tc>
        <w:tc>
          <w:tcPr>
            <w:tcW w:w="6662" w:type="dxa"/>
            <w:gridSpan w:val="4"/>
            <w:shd w:val="clear" w:color="auto" w:fill="000000"/>
            <w:vAlign w:val="center"/>
          </w:tcPr>
          <w:p w:rsidR="002A5D7C" w:rsidRPr="00991B8A" w:rsidRDefault="002A5D7C" w:rsidP="006106F6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Vplyv na rozpočet verejnej správy</w:t>
            </w:r>
          </w:p>
        </w:tc>
        <w:tc>
          <w:tcPr>
            <w:tcW w:w="1275" w:type="dxa"/>
            <w:vMerge w:val="restart"/>
            <w:shd w:val="clear" w:color="auto" w:fill="000000"/>
            <w:noWrap/>
            <w:vAlign w:val="center"/>
          </w:tcPr>
          <w:p w:rsidR="002A5D7C" w:rsidRPr="00991B8A" w:rsidRDefault="002A5D7C" w:rsidP="008E076F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poznámka</w:t>
            </w:r>
          </w:p>
        </w:tc>
      </w:tr>
      <w:tr w:rsidR="007525C7" w:rsidRPr="00991B8A" w:rsidTr="0031174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16" w:type="dxa"/>
            <w:vMerge/>
            <w:vAlign w:val="center"/>
          </w:tcPr>
          <w:p w:rsidR="004C047F" w:rsidRPr="00991B8A" w:rsidRDefault="004C047F" w:rsidP="004C047F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000000"/>
            <w:vAlign w:val="center"/>
          </w:tcPr>
          <w:p w:rsidR="004C047F" w:rsidRPr="00991B8A" w:rsidRDefault="00E80E64" w:rsidP="004C047F">
            <w:pPr>
              <w:jc w:val="center"/>
              <w:rPr>
                <w:b/>
                <w:bCs/>
              </w:rPr>
            </w:pPr>
            <w:r w:rsidRPr="00991B8A">
              <w:rPr>
                <w:szCs w:val="22"/>
              </w:rPr>
              <w:t>2018</w:t>
            </w:r>
          </w:p>
        </w:tc>
        <w:tc>
          <w:tcPr>
            <w:tcW w:w="1843" w:type="dxa"/>
            <w:shd w:val="clear" w:color="auto" w:fill="000000"/>
            <w:vAlign w:val="center"/>
          </w:tcPr>
          <w:p w:rsidR="004C047F" w:rsidRPr="00991B8A" w:rsidRDefault="00E80E64" w:rsidP="004C047F">
            <w:pPr>
              <w:jc w:val="center"/>
              <w:rPr>
                <w:b/>
                <w:bCs/>
              </w:rPr>
            </w:pPr>
            <w:r w:rsidRPr="00991B8A">
              <w:rPr>
                <w:szCs w:val="22"/>
              </w:rPr>
              <w:t>2019</w:t>
            </w:r>
          </w:p>
        </w:tc>
        <w:tc>
          <w:tcPr>
            <w:tcW w:w="1843" w:type="dxa"/>
            <w:shd w:val="clear" w:color="auto" w:fill="000000"/>
            <w:vAlign w:val="center"/>
          </w:tcPr>
          <w:p w:rsidR="004C047F" w:rsidRPr="00991B8A" w:rsidRDefault="00E80E64" w:rsidP="004C047F">
            <w:pPr>
              <w:jc w:val="center"/>
              <w:rPr>
                <w:b/>
                <w:bCs/>
              </w:rPr>
            </w:pPr>
            <w:r w:rsidRPr="00991B8A">
              <w:rPr>
                <w:szCs w:val="22"/>
              </w:rPr>
              <w:t>2020</w:t>
            </w:r>
          </w:p>
        </w:tc>
        <w:tc>
          <w:tcPr>
            <w:tcW w:w="1984" w:type="dxa"/>
            <w:shd w:val="clear" w:color="auto" w:fill="000000"/>
            <w:vAlign w:val="center"/>
          </w:tcPr>
          <w:p w:rsidR="004C047F" w:rsidRPr="00991B8A" w:rsidRDefault="00E80E64" w:rsidP="004C047F">
            <w:pPr>
              <w:jc w:val="center"/>
            </w:pPr>
            <w:r w:rsidRPr="00991B8A">
              <w:rPr>
                <w:szCs w:val="22"/>
              </w:rPr>
              <w:t>2021</w:t>
            </w:r>
          </w:p>
        </w:tc>
        <w:tc>
          <w:tcPr>
            <w:tcW w:w="1275" w:type="dxa"/>
            <w:vMerge/>
            <w:vAlign w:val="center"/>
          </w:tcPr>
          <w:p w:rsidR="004C047F" w:rsidRPr="00991B8A" w:rsidRDefault="004C047F" w:rsidP="004C047F">
            <w:pPr>
              <w:jc w:val="center"/>
              <w:rPr>
                <w:b/>
                <w:bCs/>
              </w:rPr>
            </w:pPr>
          </w:p>
        </w:tc>
      </w:tr>
      <w:tr w:rsidR="00991B8A" w:rsidRPr="00991B8A" w:rsidTr="00991B8A">
        <w:trPr>
          <w:trHeight w:val="255"/>
        </w:trPr>
        <w:tc>
          <w:tcPr>
            <w:tcW w:w="7016" w:type="dxa"/>
            <w:vAlign w:val="center"/>
          </w:tcPr>
          <w:p w:rsidR="0048198C" w:rsidRPr="00991B8A" w:rsidRDefault="0048198C" w:rsidP="005A3FA4">
            <w:pPr>
              <w:rPr>
                <w:b/>
                <w:bCs/>
              </w:rPr>
            </w:pPr>
            <w:r w:rsidRPr="00991B8A">
              <w:rPr>
                <w:b/>
                <w:bCs/>
              </w:rPr>
              <w:t>Bežné výdavky (600)</w:t>
            </w:r>
          </w:p>
        </w:tc>
        <w:tc>
          <w:tcPr>
            <w:tcW w:w="992" w:type="dxa"/>
            <w:vAlign w:val="center"/>
          </w:tcPr>
          <w:p w:rsidR="0048198C" w:rsidRPr="00991B8A" w:rsidRDefault="0048198C">
            <w:pPr>
              <w:jc w:val="center"/>
              <w:rPr>
                <w:b/>
              </w:rPr>
            </w:pPr>
            <w:r w:rsidRPr="00991B8A">
              <w:rPr>
                <w:b/>
              </w:rPr>
              <w:t>0,00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  <w:rPr>
                <w:b/>
              </w:rPr>
            </w:pPr>
            <w:r w:rsidRPr="00991B8A">
              <w:rPr>
                <w:b/>
                <w:bCs/>
              </w:rPr>
              <w:t>24 248 967,99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  <w:rPr>
                <w:b/>
              </w:rPr>
            </w:pPr>
            <w:r w:rsidRPr="00991B8A">
              <w:rPr>
                <w:b/>
                <w:bCs/>
              </w:rPr>
              <w:t>23 819 996,18</w:t>
            </w:r>
          </w:p>
        </w:tc>
        <w:tc>
          <w:tcPr>
            <w:tcW w:w="1984" w:type="dxa"/>
            <w:vAlign w:val="center"/>
          </w:tcPr>
          <w:p w:rsidR="0048198C" w:rsidRPr="00991B8A" w:rsidRDefault="0048198C" w:rsidP="00991B8A">
            <w:pPr>
              <w:jc w:val="center"/>
              <w:rPr>
                <w:b/>
              </w:rPr>
            </w:pPr>
            <w:r w:rsidRPr="00991B8A">
              <w:rPr>
                <w:b/>
                <w:bCs/>
              </w:rPr>
              <w:t>23 391 070,73</w:t>
            </w:r>
          </w:p>
        </w:tc>
        <w:tc>
          <w:tcPr>
            <w:tcW w:w="1275" w:type="dxa"/>
            <w:noWrap/>
            <w:vAlign w:val="center"/>
          </w:tcPr>
          <w:p w:rsidR="0048198C" w:rsidRPr="00991B8A" w:rsidRDefault="0048198C" w:rsidP="00614432">
            <w:pPr>
              <w:jc w:val="center"/>
            </w:pPr>
          </w:p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16" w:type="dxa"/>
            <w:vAlign w:val="center"/>
          </w:tcPr>
          <w:p w:rsidR="0048198C" w:rsidRPr="00991B8A" w:rsidRDefault="0048198C" w:rsidP="005A3FA4">
            <w:r w:rsidRPr="00991B8A">
              <w:t xml:space="preserve">Výdavky na doplatky do novej sumy minimálnej mzdy zamestnancov </w:t>
            </w:r>
          </w:p>
          <w:p w:rsidR="0048198C" w:rsidRPr="00991B8A" w:rsidRDefault="0048198C" w:rsidP="005A3FA4">
            <w:r w:rsidRPr="00991B8A">
              <w:t>Mzdy, platy, služobné príjmy a ostatné osobné vyrovnania (610)</w:t>
            </w:r>
          </w:p>
        </w:tc>
        <w:tc>
          <w:tcPr>
            <w:tcW w:w="992" w:type="dxa"/>
            <w:vAlign w:val="center"/>
          </w:tcPr>
          <w:p w:rsidR="0048198C" w:rsidRPr="00991B8A" w:rsidRDefault="0048198C" w:rsidP="006106F6">
            <w:pPr>
              <w:jc w:val="center"/>
              <w:rPr>
                <w:bCs/>
              </w:rPr>
            </w:pPr>
            <w:r w:rsidRPr="00991B8A">
              <w:rPr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10 931 030,52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10 657 737,12</w:t>
            </w:r>
          </w:p>
        </w:tc>
        <w:tc>
          <w:tcPr>
            <w:tcW w:w="1984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10 384 480,80</w:t>
            </w:r>
          </w:p>
        </w:tc>
        <w:tc>
          <w:tcPr>
            <w:tcW w:w="1275" w:type="dxa"/>
            <w:noWrap/>
            <w:vAlign w:val="center"/>
          </w:tcPr>
          <w:p w:rsidR="0048198C" w:rsidRPr="00991B8A" w:rsidRDefault="0048198C" w:rsidP="00614432">
            <w:r w:rsidRPr="00991B8A">
              <w:t>5)</w:t>
            </w:r>
          </w:p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16" w:type="dxa"/>
            <w:vAlign w:val="center"/>
          </w:tcPr>
          <w:p w:rsidR="0048198C" w:rsidRPr="00991B8A" w:rsidRDefault="0048198C" w:rsidP="005A3FA4">
            <w:pPr>
              <w:rPr>
                <w:vertAlign w:val="superscript"/>
              </w:rPr>
            </w:pPr>
            <w:r w:rsidRPr="00991B8A">
              <w:t>Poistné na zdravotné poistenie z doplatkov do sumy minimálnej mzdy (621 + 623) (Poistné a príspevok do poisťovní)</w:t>
            </w:r>
          </w:p>
        </w:tc>
        <w:tc>
          <w:tcPr>
            <w:tcW w:w="992" w:type="dxa"/>
            <w:vAlign w:val="center"/>
          </w:tcPr>
          <w:p w:rsidR="0048198C" w:rsidRPr="00991B8A" w:rsidRDefault="0048198C" w:rsidP="006106F6">
            <w:pPr>
              <w:jc w:val="center"/>
              <w:rPr>
                <w:bCs/>
              </w:rPr>
            </w:pPr>
            <w:r w:rsidRPr="00991B8A">
              <w:rPr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1 093 023,49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1 065 697,90</w:t>
            </w:r>
          </w:p>
        </w:tc>
        <w:tc>
          <w:tcPr>
            <w:tcW w:w="1984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1 038 372,32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48198C" w:rsidRPr="00991B8A" w:rsidRDefault="0048198C" w:rsidP="00614432">
            <w:r w:rsidRPr="00991B8A">
              <w:t>6)</w:t>
            </w:r>
          </w:p>
          <w:p w:rsidR="0048198C" w:rsidRPr="00991B8A" w:rsidRDefault="0048198C" w:rsidP="00614432"/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16" w:type="dxa"/>
            <w:vAlign w:val="center"/>
          </w:tcPr>
          <w:p w:rsidR="0048198C" w:rsidRPr="00991B8A" w:rsidRDefault="0048198C" w:rsidP="005A3FA4">
            <w:r w:rsidRPr="00991B8A">
              <w:t>Poistné do Sociálnej poisťovne (625)</w:t>
            </w:r>
          </w:p>
          <w:p w:rsidR="0048198C" w:rsidRPr="00991B8A" w:rsidRDefault="0048198C" w:rsidP="005A3FA4">
            <w:r w:rsidRPr="00991B8A">
              <w:t>(Poistné a príspevok do poisťovní)</w:t>
            </w:r>
          </w:p>
        </w:tc>
        <w:tc>
          <w:tcPr>
            <w:tcW w:w="992" w:type="dxa"/>
            <w:vAlign w:val="center"/>
          </w:tcPr>
          <w:p w:rsidR="0048198C" w:rsidRPr="00991B8A" w:rsidRDefault="0048198C" w:rsidP="006106F6">
            <w:pPr>
              <w:jc w:val="center"/>
              <w:rPr>
                <w:bCs/>
              </w:rPr>
            </w:pPr>
            <w:r w:rsidRPr="00991B8A">
              <w:rPr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2 727 292,12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2 659 105,41</w:t>
            </w:r>
          </w:p>
        </w:tc>
        <w:tc>
          <w:tcPr>
            <w:tcW w:w="1984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2 590 927,96</w:t>
            </w:r>
          </w:p>
        </w:tc>
        <w:tc>
          <w:tcPr>
            <w:tcW w:w="1275" w:type="dxa"/>
            <w:vMerge/>
            <w:noWrap/>
            <w:vAlign w:val="center"/>
          </w:tcPr>
          <w:p w:rsidR="0048198C" w:rsidRPr="00991B8A" w:rsidRDefault="0048198C" w:rsidP="00614432"/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16" w:type="dxa"/>
            <w:vAlign w:val="center"/>
          </w:tcPr>
          <w:p w:rsidR="0048198C" w:rsidRPr="00991B8A" w:rsidRDefault="0048198C" w:rsidP="005A3FA4">
            <w:pPr>
              <w:rPr>
                <w:vertAlign w:val="superscript"/>
              </w:rPr>
            </w:pPr>
            <w:r w:rsidRPr="00991B8A">
              <w:t>Výdavky zdravotných poisťovní na služby zdravotníckych zariadení (637034) Tovary a služby (630)</w:t>
            </w:r>
          </w:p>
        </w:tc>
        <w:tc>
          <w:tcPr>
            <w:tcW w:w="992" w:type="dxa"/>
            <w:vAlign w:val="center"/>
          </w:tcPr>
          <w:p w:rsidR="0048198C" w:rsidRPr="00991B8A" w:rsidRDefault="0048198C" w:rsidP="006106F6">
            <w:pPr>
              <w:jc w:val="center"/>
            </w:pPr>
            <w:r w:rsidRPr="00991B8A">
              <w:t>0,00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9 476 549,26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9 416 383,15</w:t>
            </w:r>
          </w:p>
        </w:tc>
        <w:tc>
          <w:tcPr>
            <w:tcW w:w="1984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9 356 217,05</w:t>
            </w:r>
          </w:p>
        </w:tc>
        <w:tc>
          <w:tcPr>
            <w:tcW w:w="1275" w:type="dxa"/>
            <w:vMerge/>
            <w:noWrap/>
            <w:vAlign w:val="center"/>
          </w:tcPr>
          <w:p w:rsidR="0048198C" w:rsidRPr="00991B8A" w:rsidRDefault="0048198C" w:rsidP="00614432"/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16" w:type="dxa"/>
            <w:vAlign w:val="center"/>
          </w:tcPr>
          <w:p w:rsidR="0048198C" w:rsidRPr="00991B8A" w:rsidRDefault="0048198C" w:rsidP="005A3FA4">
            <w:r w:rsidRPr="00991B8A">
              <w:t>Výdavky na údržbu vojnových hrobov v prospech obcí – zákon č. 130/2005 Z. z.</w:t>
            </w:r>
          </w:p>
          <w:p w:rsidR="0048198C" w:rsidRPr="00991B8A" w:rsidRDefault="0048198C" w:rsidP="005A3FA4">
            <w:r w:rsidRPr="00991B8A">
              <w:t>(Bežné transfery v rámci verejnej správy v prospech obce - 641009)</w:t>
            </w:r>
          </w:p>
        </w:tc>
        <w:tc>
          <w:tcPr>
            <w:tcW w:w="992" w:type="dxa"/>
            <w:vAlign w:val="center"/>
          </w:tcPr>
          <w:p w:rsidR="0048198C" w:rsidRPr="00991B8A" w:rsidRDefault="0048198C" w:rsidP="006106F6">
            <w:pPr>
              <w:jc w:val="center"/>
              <w:rPr>
                <w:bCs/>
              </w:rPr>
            </w:pPr>
            <w:r w:rsidRPr="00991B8A">
              <w:rPr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21 072,60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21 072,60</w:t>
            </w:r>
          </w:p>
        </w:tc>
        <w:tc>
          <w:tcPr>
            <w:tcW w:w="1984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21 072,60</w:t>
            </w:r>
          </w:p>
        </w:tc>
        <w:tc>
          <w:tcPr>
            <w:tcW w:w="1275" w:type="dxa"/>
            <w:noWrap/>
            <w:vAlign w:val="center"/>
          </w:tcPr>
          <w:p w:rsidR="0048198C" w:rsidRPr="00991B8A" w:rsidRDefault="0048198C" w:rsidP="00614432">
            <w:r w:rsidRPr="00991B8A">
              <w:t>4)</w:t>
            </w:r>
          </w:p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16" w:type="dxa"/>
            <w:vAlign w:val="center"/>
          </w:tcPr>
          <w:p w:rsidR="00451315" w:rsidRPr="00991B8A" w:rsidRDefault="00451315" w:rsidP="005A3FA4">
            <w:r w:rsidRPr="00991B8A">
              <w:t>Splácanie úrokov a ostatné platby súvisiace s úvermi, pôžičkami a NFV (650)</w:t>
            </w:r>
          </w:p>
        </w:tc>
        <w:tc>
          <w:tcPr>
            <w:tcW w:w="992" w:type="dxa"/>
            <w:vAlign w:val="center"/>
          </w:tcPr>
          <w:p w:rsidR="00451315" w:rsidRPr="00991B8A" w:rsidRDefault="00451315" w:rsidP="006106F6">
            <w:pPr>
              <w:jc w:val="center"/>
            </w:pPr>
          </w:p>
        </w:tc>
        <w:tc>
          <w:tcPr>
            <w:tcW w:w="1843" w:type="dxa"/>
            <w:vAlign w:val="center"/>
          </w:tcPr>
          <w:p w:rsidR="00451315" w:rsidRPr="00991B8A" w:rsidRDefault="00451315" w:rsidP="00991B8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51315" w:rsidRPr="00991B8A" w:rsidRDefault="00451315" w:rsidP="00991B8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51315" w:rsidRPr="00991B8A" w:rsidRDefault="00451315" w:rsidP="00991B8A">
            <w:pPr>
              <w:jc w:val="center"/>
            </w:pPr>
          </w:p>
        </w:tc>
        <w:tc>
          <w:tcPr>
            <w:tcW w:w="1275" w:type="dxa"/>
            <w:noWrap/>
            <w:vAlign w:val="center"/>
          </w:tcPr>
          <w:p w:rsidR="00451315" w:rsidRPr="00991B8A" w:rsidRDefault="00451315" w:rsidP="00614432"/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16" w:type="dxa"/>
            <w:vAlign w:val="center"/>
          </w:tcPr>
          <w:p w:rsidR="00451315" w:rsidRPr="00991B8A" w:rsidRDefault="00451315" w:rsidP="005A3FA4">
            <w:pPr>
              <w:rPr>
                <w:b/>
                <w:bCs/>
              </w:rPr>
            </w:pPr>
            <w:r w:rsidRPr="00991B8A">
              <w:rPr>
                <w:b/>
                <w:bCs/>
              </w:rPr>
              <w:t>Kapitálové výdavky (700)</w:t>
            </w:r>
          </w:p>
        </w:tc>
        <w:tc>
          <w:tcPr>
            <w:tcW w:w="992" w:type="dxa"/>
            <w:vAlign w:val="center"/>
          </w:tcPr>
          <w:p w:rsidR="00451315" w:rsidRPr="00991B8A" w:rsidRDefault="00451315" w:rsidP="006106F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451315" w:rsidRPr="00991B8A" w:rsidRDefault="00451315" w:rsidP="00991B8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451315" w:rsidRPr="00991B8A" w:rsidRDefault="00451315" w:rsidP="00991B8A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451315" w:rsidRPr="00991B8A" w:rsidRDefault="00451315" w:rsidP="00991B8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vAlign w:val="center"/>
          </w:tcPr>
          <w:p w:rsidR="00451315" w:rsidRPr="00991B8A" w:rsidRDefault="00451315" w:rsidP="00614432"/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16" w:type="dxa"/>
            <w:vAlign w:val="center"/>
          </w:tcPr>
          <w:p w:rsidR="00451315" w:rsidRPr="00991B8A" w:rsidRDefault="00614432" w:rsidP="005A3FA4">
            <w:r w:rsidRPr="00991B8A">
              <w:t xml:space="preserve"> </w:t>
            </w:r>
            <w:r w:rsidR="00451315" w:rsidRPr="00991B8A">
              <w:t>Obstarávanie kapitálových aktív (710)</w:t>
            </w:r>
          </w:p>
        </w:tc>
        <w:tc>
          <w:tcPr>
            <w:tcW w:w="992" w:type="dxa"/>
            <w:vAlign w:val="center"/>
          </w:tcPr>
          <w:p w:rsidR="00451315" w:rsidRPr="00991B8A" w:rsidRDefault="00451315" w:rsidP="006106F6">
            <w:pPr>
              <w:jc w:val="center"/>
            </w:pPr>
          </w:p>
        </w:tc>
        <w:tc>
          <w:tcPr>
            <w:tcW w:w="1843" w:type="dxa"/>
            <w:vAlign w:val="center"/>
          </w:tcPr>
          <w:p w:rsidR="00451315" w:rsidRPr="00991B8A" w:rsidRDefault="00451315" w:rsidP="00991B8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51315" w:rsidRPr="00991B8A" w:rsidRDefault="00451315" w:rsidP="00991B8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51315" w:rsidRPr="00991B8A" w:rsidRDefault="00451315" w:rsidP="00991B8A">
            <w:pPr>
              <w:jc w:val="center"/>
            </w:pPr>
          </w:p>
        </w:tc>
        <w:tc>
          <w:tcPr>
            <w:tcW w:w="1275" w:type="dxa"/>
            <w:noWrap/>
            <w:vAlign w:val="center"/>
          </w:tcPr>
          <w:p w:rsidR="00451315" w:rsidRPr="00991B8A" w:rsidRDefault="00451315" w:rsidP="00614432"/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16" w:type="dxa"/>
            <w:vAlign w:val="center"/>
          </w:tcPr>
          <w:p w:rsidR="00451315" w:rsidRPr="00991B8A" w:rsidRDefault="00614432" w:rsidP="005A3FA4">
            <w:r w:rsidRPr="00991B8A">
              <w:t xml:space="preserve"> </w:t>
            </w:r>
            <w:r w:rsidR="00451315" w:rsidRPr="00991B8A">
              <w:t>Kapitálové transfery (720)</w:t>
            </w:r>
          </w:p>
        </w:tc>
        <w:tc>
          <w:tcPr>
            <w:tcW w:w="992" w:type="dxa"/>
            <w:vAlign w:val="center"/>
          </w:tcPr>
          <w:p w:rsidR="00451315" w:rsidRPr="00991B8A" w:rsidRDefault="00451315" w:rsidP="006106F6">
            <w:pPr>
              <w:jc w:val="center"/>
            </w:pPr>
          </w:p>
        </w:tc>
        <w:tc>
          <w:tcPr>
            <w:tcW w:w="1843" w:type="dxa"/>
            <w:vAlign w:val="center"/>
          </w:tcPr>
          <w:p w:rsidR="00451315" w:rsidRPr="00991B8A" w:rsidRDefault="00451315" w:rsidP="00991B8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51315" w:rsidRPr="00991B8A" w:rsidRDefault="00451315" w:rsidP="00991B8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51315" w:rsidRPr="00991B8A" w:rsidRDefault="00451315" w:rsidP="00991B8A">
            <w:pPr>
              <w:jc w:val="center"/>
            </w:pPr>
          </w:p>
        </w:tc>
        <w:tc>
          <w:tcPr>
            <w:tcW w:w="1275" w:type="dxa"/>
            <w:noWrap/>
            <w:vAlign w:val="center"/>
          </w:tcPr>
          <w:p w:rsidR="00451315" w:rsidRPr="00991B8A" w:rsidRDefault="00451315" w:rsidP="00614432"/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16" w:type="dxa"/>
            <w:vAlign w:val="center"/>
          </w:tcPr>
          <w:p w:rsidR="00451315" w:rsidRPr="00991B8A" w:rsidRDefault="00451315" w:rsidP="005A3FA4">
            <w:pPr>
              <w:rPr>
                <w:b/>
                <w:bCs/>
              </w:rPr>
            </w:pPr>
            <w:r w:rsidRPr="00991B8A">
              <w:rPr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992" w:type="dxa"/>
            <w:vAlign w:val="center"/>
          </w:tcPr>
          <w:p w:rsidR="00451315" w:rsidRPr="00991B8A" w:rsidRDefault="00451315" w:rsidP="006106F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451315" w:rsidRPr="00991B8A" w:rsidRDefault="00451315" w:rsidP="00991B8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451315" w:rsidRPr="00991B8A" w:rsidRDefault="00451315" w:rsidP="00991B8A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451315" w:rsidRPr="00991B8A" w:rsidRDefault="00451315" w:rsidP="00991B8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vAlign w:val="center"/>
          </w:tcPr>
          <w:p w:rsidR="00451315" w:rsidRPr="00991B8A" w:rsidRDefault="00451315" w:rsidP="00614432"/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7016" w:type="dxa"/>
            <w:shd w:val="clear" w:color="auto" w:fill="000000"/>
            <w:vAlign w:val="center"/>
          </w:tcPr>
          <w:p w:rsidR="0048198C" w:rsidRPr="00991B8A" w:rsidRDefault="0048198C" w:rsidP="005A3FA4">
            <w:pPr>
              <w:rPr>
                <w:b/>
                <w:bCs/>
              </w:rPr>
            </w:pPr>
            <w:r w:rsidRPr="00991B8A">
              <w:rPr>
                <w:b/>
                <w:bCs/>
              </w:rPr>
              <w:t>Dopad na výdavky verejnej správy celkom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48198C" w:rsidRPr="00991B8A" w:rsidRDefault="0048198C" w:rsidP="006106F6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000000"/>
            <w:vAlign w:val="center"/>
          </w:tcPr>
          <w:p w:rsidR="0048198C" w:rsidRPr="00991B8A" w:rsidRDefault="0048198C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24 248 967,99</w:t>
            </w:r>
          </w:p>
        </w:tc>
        <w:tc>
          <w:tcPr>
            <w:tcW w:w="1843" w:type="dxa"/>
            <w:shd w:val="clear" w:color="auto" w:fill="000000"/>
            <w:vAlign w:val="center"/>
          </w:tcPr>
          <w:p w:rsidR="0048198C" w:rsidRPr="00991B8A" w:rsidRDefault="0048198C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23 819 996,18</w:t>
            </w:r>
          </w:p>
        </w:tc>
        <w:tc>
          <w:tcPr>
            <w:tcW w:w="1984" w:type="dxa"/>
            <w:shd w:val="clear" w:color="auto" w:fill="000000"/>
            <w:vAlign w:val="center"/>
          </w:tcPr>
          <w:p w:rsidR="0048198C" w:rsidRPr="00991B8A" w:rsidRDefault="0048198C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23 391 070,73</w:t>
            </w:r>
          </w:p>
        </w:tc>
        <w:tc>
          <w:tcPr>
            <w:tcW w:w="1275" w:type="dxa"/>
            <w:shd w:val="clear" w:color="auto" w:fill="000000"/>
            <w:noWrap/>
            <w:vAlign w:val="center"/>
          </w:tcPr>
          <w:p w:rsidR="0048198C" w:rsidRPr="00991B8A" w:rsidRDefault="0048198C" w:rsidP="00614432">
            <w:pPr>
              <w:rPr>
                <w:b/>
                <w:bCs/>
              </w:rPr>
            </w:pPr>
          </w:p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16" w:type="dxa"/>
            <w:vAlign w:val="center"/>
          </w:tcPr>
          <w:p w:rsidR="0048198C" w:rsidRPr="00991B8A" w:rsidRDefault="0048198C" w:rsidP="005A3FA4">
            <w:pPr>
              <w:rPr>
                <w:b/>
                <w:bCs/>
              </w:rPr>
            </w:pPr>
            <w:r w:rsidRPr="00991B8A">
              <w:rPr>
                <w:b/>
                <w:bCs/>
              </w:rPr>
              <w:t xml:space="preserve"> z toho výdavky na ŠR</w:t>
            </w:r>
          </w:p>
        </w:tc>
        <w:tc>
          <w:tcPr>
            <w:tcW w:w="992" w:type="dxa"/>
            <w:vAlign w:val="center"/>
          </w:tcPr>
          <w:p w:rsidR="0048198C" w:rsidRPr="00991B8A" w:rsidRDefault="0048198C" w:rsidP="006106F6">
            <w:pPr>
              <w:jc w:val="center"/>
              <w:rPr>
                <w:b/>
                <w:bCs/>
                <w:iCs/>
              </w:rPr>
            </w:pPr>
            <w:r w:rsidRPr="00991B8A">
              <w:rPr>
                <w:b/>
                <w:bCs/>
                <w:iCs/>
              </w:rPr>
              <w:t>0,00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7 408 499,89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7 223 778,97</w:t>
            </w:r>
          </w:p>
        </w:tc>
        <w:tc>
          <w:tcPr>
            <w:tcW w:w="1984" w:type="dxa"/>
            <w:vAlign w:val="center"/>
          </w:tcPr>
          <w:p w:rsidR="0048198C" w:rsidRPr="00991B8A" w:rsidRDefault="0048198C" w:rsidP="00991B8A">
            <w:pPr>
              <w:jc w:val="center"/>
              <w:rPr>
                <w:b/>
                <w:bCs/>
              </w:rPr>
            </w:pPr>
            <w:r w:rsidRPr="00991B8A">
              <w:rPr>
                <w:b/>
                <w:bCs/>
              </w:rPr>
              <w:t>7 039 152,37</w:t>
            </w:r>
          </w:p>
        </w:tc>
        <w:tc>
          <w:tcPr>
            <w:tcW w:w="1275" w:type="dxa"/>
            <w:noWrap/>
            <w:vAlign w:val="center"/>
          </w:tcPr>
          <w:p w:rsidR="0048198C" w:rsidRPr="00991B8A" w:rsidRDefault="0048198C" w:rsidP="00614432">
            <w:r w:rsidRPr="00991B8A">
              <w:t>7)</w:t>
            </w:r>
          </w:p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16" w:type="dxa"/>
            <w:vAlign w:val="center"/>
          </w:tcPr>
          <w:p w:rsidR="0048198C" w:rsidRPr="00991B8A" w:rsidRDefault="0048198C" w:rsidP="005A3FA4">
            <w:pPr>
              <w:rPr>
                <w:b/>
                <w:bCs/>
              </w:rPr>
            </w:pPr>
            <w:r w:rsidRPr="00991B8A">
              <w:rPr>
                <w:bCs/>
              </w:rPr>
              <w:t xml:space="preserve"> Bežné výdavky</w:t>
            </w:r>
            <w:r w:rsidRPr="00991B8A">
              <w:rPr>
                <w:b/>
                <w:bCs/>
              </w:rPr>
              <w:t xml:space="preserve"> </w:t>
            </w:r>
            <w:r w:rsidRPr="00991B8A">
              <w:rPr>
                <w:bCs/>
              </w:rPr>
              <w:t>(600)</w:t>
            </w:r>
            <w:r w:rsidRPr="00991B8A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8198C" w:rsidRPr="00991B8A" w:rsidRDefault="0048198C" w:rsidP="006106F6">
            <w:pPr>
              <w:jc w:val="center"/>
              <w:rPr>
                <w:bCs/>
              </w:rPr>
            </w:pPr>
            <w:r w:rsidRPr="00991B8A">
              <w:rPr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7 408 499,89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7 223 778,97</w:t>
            </w:r>
          </w:p>
        </w:tc>
        <w:tc>
          <w:tcPr>
            <w:tcW w:w="1984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7 039 152,37</w:t>
            </w:r>
          </w:p>
        </w:tc>
        <w:tc>
          <w:tcPr>
            <w:tcW w:w="1275" w:type="dxa"/>
            <w:noWrap/>
            <w:vAlign w:val="center"/>
          </w:tcPr>
          <w:p w:rsidR="0048198C" w:rsidRPr="00991B8A" w:rsidRDefault="0048198C" w:rsidP="00614432">
            <w:r w:rsidRPr="00991B8A">
              <w:t>7)</w:t>
            </w:r>
          </w:p>
        </w:tc>
      </w:tr>
      <w:tr w:rsidR="00991B8A" w:rsidRPr="00991B8A" w:rsidTr="00991B8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16" w:type="dxa"/>
            <w:vAlign w:val="center"/>
          </w:tcPr>
          <w:p w:rsidR="0048198C" w:rsidRPr="00991B8A" w:rsidRDefault="0048198C" w:rsidP="005A3FA4">
            <w:pPr>
              <w:rPr>
                <w:b/>
                <w:bCs/>
              </w:rPr>
            </w:pPr>
            <w:r w:rsidRPr="00991B8A">
              <w:rPr>
                <w:b/>
                <w:bCs/>
              </w:rPr>
              <w:t xml:space="preserve"> </w:t>
            </w:r>
            <w:r w:rsidRPr="00991B8A">
              <w:t>Mzdy, platy, služobné príjmy a ostatné osobné vyrovnania (610)</w:t>
            </w:r>
          </w:p>
        </w:tc>
        <w:tc>
          <w:tcPr>
            <w:tcW w:w="992" w:type="dxa"/>
            <w:vAlign w:val="center"/>
          </w:tcPr>
          <w:p w:rsidR="0048198C" w:rsidRPr="00991B8A" w:rsidRDefault="0048198C" w:rsidP="006106F6">
            <w:pPr>
              <w:jc w:val="center"/>
              <w:rPr>
                <w:bCs/>
              </w:rPr>
            </w:pPr>
            <w:r w:rsidRPr="00991B8A">
              <w:rPr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5 474 195,84</w:t>
            </w:r>
          </w:p>
        </w:tc>
        <w:tc>
          <w:tcPr>
            <w:tcW w:w="1843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5 337 314,84</w:t>
            </w:r>
          </w:p>
        </w:tc>
        <w:tc>
          <w:tcPr>
            <w:tcW w:w="1984" w:type="dxa"/>
            <w:vAlign w:val="center"/>
          </w:tcPr>
          <w:p w:rsidR="0048198C" w:rsidRPr="00991B8A" w:rsidRDefault="0048198C" w:rsidP="00991B8A">
            <w:pPr>
              <w:jc w:val="center"/>
            </w:pPr>
            <w:r w:rsidRPr="00991B8A">
              <w:t>5 200 503,72</w:t>
            </w:r>
          </w:p>
        </w:tc>
        <w:tc>
          <w:tcPr>
            <w:tcW w:w="1275" w:type="dxa"/>
            <w:noWrap/>
            <w:vAlign w:val="center"/>
          </w:tcPr>
          <w:p w:rsidR="0048198C" w:rsidRPr="00991B8A" w:rsidRDefault="0048198C" w:rsidP="00614432">
            <w:r w:rsidRPr="00991B8A">
              <w:t>7)</w:t>
            </w:r>
          </w:p>
        </w:tc>
      </w:tr>
      <w:tr w:rsidR="007525C7" w:rsidRPr="00991B8A" w:rsidTr="0031174B">
        <w:trPr>
          <w:trHeight w:val="255"/>
        </w:trPr>
        <w:tc>
          <w:tcPr>
            <w:tcW w:w="7016" w:type="dxa"/>
            <w:vAlign w:val="center"/>
          </w:tcPr>
          <w:p w:rsidR="00C5091D" w:rsidRPr="00991B8A" w:rsidRDefault="00614432" w:rsidP="005A3FA4">
            <w:pPr>
              <w:rPr>
                <w:b/>
                <w:bCs/>
              </w:rPr>
            </w:pPr>
            <w:r w:rsidRPr="00991B8A">
              <w:rPr>
                <w:bCs/>
              </w:rPr>
              <w:t xml:space="preserve"> </w:t>
            </w:r>
            <w:r w:rsidR="00C5091D" w:rsidRPr="00991B8A">
              <w:rPr>
                <w:bCs/>
              </w:rPr>
              <w:t>Kapitálové výdavky (700)</w:t>
            </w:r>
          </w:p>
        </w:tc>
        <w:tc>
          <w:tcPr>
            <w:tcW w:w="992" w:type="dxa"/>
            <w:vAlign w:val="center"/>
          </w:tcPr>
          <w:p w:rsidR="00C5091D" w:rsidRPr="00991B8A" w:rsidRDefault="00C5091D" w:rsidP="006106F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C5091D" w:rsidRPr="00991B8A" w:rsidRDefault="00C5091D" w:rsidP="008E07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C5091D" w:rsidRPr="00991B8A" w:rsidRDefault="00C5091D" w:rsidP="002861A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5091D" w:rsidRPr="00991B8A" w:rsidRDefault="00C5091D" w:rsidP="0061443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vAlign w:val="center"/>
          </w:tcPr>
          <w:p w:rsidR="00C5091D" w:rsidRPr="00991B8A" w:rsidRDefault="00C5091D" w:rsidP="00614432">
            <w:pPr>
              <w:jc w:val="center"/>
            </w:pPr>
          </w:p>
        </w:tc>
      </w:tr>
      <w:tr w:rsidR="007525C7" w:rsidRPr="00991B8A" w:rsidTr="0031174B">
        <w:trPr>
          <w:trHeight w:val="255"/>
        </w:trPr>
        <w:tc>
          <w:tcPr>
            <w:tcW w:w="7016" w:type="dxa"/>
            <w:vAlign w:val="center"/>
          </w:tcPr>
          <w:p w:rsidR="00C5091D" w:rsidRPr="00991B8A" w:rsidRDefault="00614432" w:rsidP="005A3FA4">
            <w:pPr>
              <w:ind w:left="142" w:hanging="142"/>
              <w:rPr>
                <w:bCs/>
              </w:rPr>
            </w:pPr>
            <w:r w:rsidRPr="00991B8A">
              <w:rPr>
                <w:bCs/>
              </w:rPr>
              <w:t xml:space="preserve"> </w:t>
            </w:r>
            <w:r w:rsidR="00C5091D" w:rsidRPr="00991B8A">
              <w:rPr>
                <w:bCs/>
              </w:rPr>
              <w:t>Výdavky z transakcií s finančnými aktívami a finančnými pasívami</w:t>
            </w:r>
            <w:r w:rsidRPr="00991B8A">
              <w:rPr>
                <w:bCs/>
              </w:rPr>
              <w:t xml:space="preserve">   </w:t>
            </w:r>
            <w:r w:rsidR="00C5091D" w:rsidRPr="00991B8A">
              <w:rPr>
                <w:bCs/>
              </w:rPr>
              <w:t>(800)</w:t>
            </w:r>
          </w:p>
        </w:tc>
        <w:tc>
          <w:tcPr>
            <w:tcW w:w="992" w:type="dxa"/>
            <w:vAlign w:val="center"/>
          </w:tcPr>
          <w:p w:rsidR="00C5091D" w:rsidRPr="00991B8A" w:rsidRDefault="00C5091D" w:rsidP="006106F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C5091D" w:rsidRPr="00991B8A" w:rsidRDefault="00C5091D" w:rsidP="008E07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C5091D" w:rsidRPr="00991B8A" w:rsidRDefault="00C5091D" w:rsidP="002861A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5091D" w:rsidRPr="00991B8A" w:rsidRDefault="00C5091D" w:rsidP="0061443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vAlign w:val="center"/>
          </w:tcPr>
          <w:p w:rsidR="00C5091D" w:rsidRPr="00991B8A" w:rsidRDefault="00C5091D" w:rsidP="00614432">
            <w:pPr>
              <w:jc w:val="center"/>
            </w:pPr>
          </w:p>
        </w:tc>
      </w:tr>
    </w:tbl>
    <w:p w:rsidR="002A5D7C" w:rsidRPr="00991B8A" w:rsidRDefault="002A5D7C" w:rsidP="00A0360F">
      <w:pPr>
        <w:pStyle w:val="Zkladntext"/>
        <w:tabs>
          <w:tab w:val="num" w:pos="1080"/>
        </w:tabs>
        <w:ind w:left="-900"/>
        <w:jc w:val="both"/>
        <w:rPr>
          <w:b w:val="0"/>
          <w:i/>
          <w:szCs w:val="24"/>
        </w:rPr>
      </w:pPr>
    </w:p>
    <w:p w:rsidR="002A5D7C" w:rsidRPr="00991B8A" w:rsidRDefault="00156CAB" w:rsidP="00A0360F">
      <w:pPr>
        <w:pStyle w:val="Zkladntext"/>
        <w:tabs>
          <w:tab w:val="num" w:pos="1080"/>
        </w:tabs>
        <w:jc w:val="both"/>
        <w:rPr>
          <w:b w:val="0"/>
          <w:i/>
          <w:szCs w:val="24"/>
        </w:rPr>
      </w:pPr>
      <w:r w:rsidRPr="00991B8A">
        <w:rPr>
          <w:b w:val="0"/>
          <w:i/>
          <w:szCs w:val="24"/>
        </w:rPr>
        <w:lastRenderedPageBreak/>
        <w:t>5</w:t>
      </w:r>
      <w:r w:rsidR="002A5D7C" w:rsidRPr="00991B8A">
        <w:rPr>
          <w:b w:val="0"/>
          <w:i/>
          <w:szCs w:val="24"/>
        </w:rPr>
        <w:t xml:space="preserve">) Údaje sú kvalifikovane odhadnuté na základe výberového štatistického zisťovania o cene práce ISCP (MPSVR SR) 1-04 za </w:t>
      </w:r>
      <w:r w:rsidR="00BF5E1B" w:rsidRPr="00991B8A">
        <w:rPr>
          <w:b w:val="0"/>
          <w:i/>
          <w:szCs w:val="24"/>
        </w:rPr>
        <w:t xml:space="preserve">I. </w:t>
      </w:r>
      <w:r w:rsidR="00101CBE" w:rsidRPr="00991B8A">
        <w:rPr>
          <w:b w:val="0"/>
          <w:i/>
          <w:szCs w:val="24"/>
        </w:rPr>
        <w:t xml:space="preserve">štvrťrok </w:t>
      </w:r>
      <w:r w:rsidR="00E80E64" w:rsidRPr="00991B8A">
        <w:rPr>
          <w:b w:val="0"/>
          <w:i/>
          <w:szCs w:val="24"/>
        </w:rPr>
        <w:t>2018</w:t>
      </w:r>
      <w:r w:rsidR="002A5D7C" w:rsidRPr="00991B8A">
        <w:rPr>
          <w:b w:val="0"/>
          <w:i/>
          <w:szCs w:val="24"/>
        </w:rPr>
        <w:t xml:space="preserve">. </w:t>
      </w:r>
      <w:r w:rsidR="002A5D7C" w:rsidRPr="00991B8A">
        <w:rPr>
          <w:b w:val="0"/>
          <w:i/>
          <w:spacing w:val="-2"/>
          <w:szCs w:val="24"/>
        </w:rPr>
        <w:t>Bližšie podklady sú v</w:t>
      </w:r>
      <w:r w:rsidRPr="00991B8A">
        <w:rPr>
          <w:b w:val="0"/>
          <w:bCs/>
          <w:i/>
          <w:szCs w:val="24"/>
        </w:rPr>
        <w:t> časti 2.3.4</w:t>
      </w:r>
      <w:r w:rsidR="002A5D7C" w:rsidRPr="00991B8A">
        <w:rPr>
          <w:b w:val="0"/>
          <w:bCs/>
          <w:i/>
          <w:szCs w:val="24"/>
        </w:rPr>
        <w:t>, body</w:t>
      </w:r>
      <w:r w:rsidR="002A5D7C" w:rsidRPr="00991B8A">
        <w:rPr>
          <w:b w:val="0"/>
          <w:i/>
          <w:spacing w:val="-2"/>
          <w:szCs w:val="24"/>
        </w:rPr>
        <w:t xml:space="preserve"> </w:t>
      </w:r>
      <w:r w:rsidR="002A5D7C" w:rsidRPr="00991B8A">
        <w:rPr>
          <w:b w:val="0"/>
          <w:i/>
          <w:szCs w:val="24"/>
        </w:rPr>
        <w:t>A a B</w:t>
      </w:r>
    </w:p>
    <w:p w:rsidR="002A5D7C" w:rsidRPr="00991B8A" w:rsidRDefault="00156CAB" w:rsidP="00A0360F">
      <w:pPr>
        <w:pStyle w:val="Zkladntext"/>
        <w:tabs>
          <w:tab w:val="num" w:pos="1080"/>
        </w:tabs>
        <w:jc w:val="both"/>
        <w:rPr>
          <w:b w:val="0"/>
          <w:i/>
          <w:szCs w:val="24"/>
        </w:rPr>
      </w:pPr>
      <w:r w:rsidRPr="00991B8A">
        <w:rPr>
          <w:b w:val="0"/>
          <w:i/>
          <w:szCs w:val="24"/>
        </w:rPr>
        <w:t>6</w:t>
      </w:r>
      <w:r w:rsidR="002A5D7C" w:rsidRPr="00991B8A">
        <w:rPr>
          <w:b w:val="0"/>
          <w:i/>
          <w:szCs w:val="24"/>
        </w:rPr>
        <w:t>) Výpočet odvodov do poistných fondov je v časti</w:t>
      </w:r>
      <w:r w:rsidR="002A5D7C" w:rsidRPr="00991B8A">
        <w:rPr>
          <w:b w:val="0"/>
          <w:bCs/>
          <w:i/>
          <w:szCs w:val="24"/>
        </w:rPr>
        <w:t xml:space="preserve"> </w:t>
      </w:r>
      <w:r w:rsidRPr="00991B8A">
        <w:rPr>
          <w:b w:val="0"/>
          <w:bCs/>
          <w:i/>
          <w:szCs w:val="24"/>
        </w:rPr>
        <w:t>2.3.4</w:t>
      </w:r>
      <w:r w:rsidR="002A5D7C" w:rsidRPr="00991B8A">
        <w:rPr>
          <w:b w:val="0"/>
          <w:bCs/>
          <w:i/>
          <w:szCs w:val="24"/>
        </w:rPr>
        <w:t>, bod</w:t>
      </w:r>
      <w:r w:rsidR="002A5D7C" w:rsidRPr="00991B8A">
        <w:rPr>
          <w:b w:val="0"/>
          <w:i/>
          <w:szCs w:val="24"/>
        </w:rPr>
        <w:t xml:space="preserve"> A</w:t>
      </w:r>
    </w:p>
    <w:p w:rsidR="00B613C0" w:rsidRPr="00991B8A" w:rsidRDefault="00156CAB" w:rsidP="00614432">
      <w:pPr>
        <w:pStyle w:val="Zkladntext"/>
        <w:tabs>
          <w:tab w:val="num" w:pos="1080"/>
        </w:tabs>
        <w:jc w:val="both"/>
        <w:rPr>
          <w:b w:val="0"/>
          <w:bCs/>
          <w:szCs w:val="24"/>
        </w:rPr>
      </w:pPr>
      <w:r w:rsidRPr="00991B8A">
        <w:rPr>
          <w:b w:val="0"/>
          <w:i/>
          <w:szCs w:val="24"/>
        </w:rPr>
        <w:t>7</w:t>
      </w:r>
      <w:r w:rsidR="002A5D7C" w:rsidRPr="00991B8A">
        <w:rPr>
          <w:b w:val="0"/>
          <w:i/>
          <w:szCs w:val="24"/>
        </w:rPr>
        <w:t>) Kvalifikovaný odhad rozdelenia zvýšenia výdavkov verejného rozpočtu, priemerného mzdového výdavku, počtov dotknutých zamestnancov a osobných výdavkov na štátny rozpočet a na rozpočty územných samospráv v členení na obce a VÚC je v</w:t>
      </w:r>
      <w:r w:rsidR="00F9572C" w:rsidRPr="00991B8A">
        <w:rPr>
          <w:b w:val="0"/>
          <w:bCs/>
          <w:i/>
          <w:szCs w:val="24"/>
        </w:rPr>
        <w:t xml:space="preserve"> časti </w:t>
      </w:r>
      <w:r w:rsidRPr="00991B8A">
        <w:rPr>
          <w:b w:val="0"/>
          <w:bCs/>
          <w:i/>
          <w:szCs w:val="24"/>
        </w:rPr>
        <w:t>2.3.4</w:t>
      </w:r>
      <w:r w:rsidR="002A5D7C" w:rsidRPr="00991B8A">
        <w:rPr>
          <w:b w:val="0"/>
          <w:bCs/>
          <w:i/>
          <w:szCs w:val="24"/>
        </w:rPr>
        <w:t>, bod</w:t>
      </w:r>
      <w:r w:rsidR="002A5D7C" w:rsidRPr="00991B8A">
        <w:rPr>
          <w:b w:val="0"/>
          <w:i/>
          <w:szCs w:val="24"/>
        </w:rPr>
        <w:t> B.</w:t>
      </w:r>
      <w:r w:rsidR="00715FD8" w:rsidRPr="00991B8A">
        <w:rPr>
          <w:b w:val="0"/>
          <w:i/>
          <w:szCs w:val="24"/>
        </w:rPr>
        <w:t>1 až B.</w:t>
      </w:r>
      <w:r w:rsidR="002A5D7C" w:rsidRPr="00991B8A">
        <w:rPr>
          <w:b w:val="0"/>
          <w:i/>
          <w:szCs w:val="24"/>
        </w:rPr>
        <w:t>3</w:t>
      </w:r>
    </w:p>
    <w:p w:rsidR="00F87631" w:rsidRPr="00991B8A" w:rsidRDefault="00F87631" w:rsidP="00C67942">
      <w:pPr>
        <w:outlineLvl w:val="0"/>
        <w:rPr>
          <w:b/>
          <w:u w:val="single"/>
        </w:rPr>
      </w:pPr>
    </w:p>
    <w:sectPr w:rsidR="00F87631" w:rsidRPr="00991B8A" w:rsidSect="00991B8A">
      <w:pgSz w:w="16838" w:h="11906" w:orient="landscape"/>
      <w:pgMar w:top="1134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79" w:rsidRDefault="00385B79">
      <w:r>
        <w:separator/>
      </w:r>
    </w:p>
  </w:endnote>
  <w:endnote w:type="continuationSeparator" w:id="0">
    <w:p w:rsidR="00385B79" w:rsidRDefault="0038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79" w:rsidRDefault="00385B79">
      <w:r>
        <w:separator/>
      </w:r>
    </w:p>
  </w:footnote>
  <w:footnote w:type="continuationSeparator" w:id="0">
    <w:p w:rsidR="00385B79" w:rsidRDefault="0038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8A" w:rsidRDefault="00991B8A" w:rsidP="006731B5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91B8A" w:rsidRDefault="00991B8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8A" w:rsidRDefault="00991B8A" w:rsidP="006731B5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62D48">
      <w:rPr>
        <w:rStyle w:val="slostrany"/>
        <w:noProof/>
      </w:rPr>
      <w:t>15</w:t>
    </w:r>
    <w:r>
      <w:rPr>
        <w:rStyle w:val="slostrany"/>
      </w:rPr>
      <w:fldChar w:fldCharType="end"/>
    </w:r>
  </w:p>
  <w:p w:rsidR="00991B8A" w:rsidRDefault="00991B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1A2"/>
    <w:multiLevelType w:val="hybridMultilevel"/>
    <w:tmpl w:val="8D603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19AD"/>
    <w:multiLevelType w:val="hybridMultilevel"/>
    <w:tmpl w:val="1ECE0F3A"/>
    <w:lvl w:ilvl="0" w:tplc="0A223C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A04EC"/>
    <w:multiLevelType w:val="hybridMultilevel"/>
    <w:tmpl w:val="09963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96BF3"/>
    <w:multiLevelType w:val="hybridMultilevel"/>
    <w:tmpl w:val="3DAEB15E"/>
    <w:lvl w:ilvl="0" w:tplc="90E04AF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C7624"/>
    <w:multiLevelType w:val="hybridMultilevel"/>
    <w:tmpl w:val="461E7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A4952"/>
    <w:multiLevelType w:val="hybridMultilevel"/>
    <w:tmpl w:val="A50400BA"/>
    <w:lvl w:ilvl="0" w:tplc="A53EA8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E0255B"/>
    <w:multiLevelType w:val="hybridMultilevel"/>
    <w:tmpl w:val="161A203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0C7ED4"/>
    <w:multiLevelType w:val="hybridMultilevel"/>
    <w:tmpl w:val="7F88049A"/>
    <w:lvl w:ilvl="0" w:tplc="528E8478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4CEB2547"/>
    <w:multiLevelType w:val="hybridMultilevel"/>
    <w:tmpl w:val="B13E2770"/>
    <w:lvl w:ilvl="0" w:tplc="0636958A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F200E"/>
    <w:multiLevelType w:val="hybridMultilevel"/>
    <w:tmpl w:val="CF466F8E"/>
    <w:lvl w:ilvl="0" w:tplc="0636958A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52FC4CCE"/>
    <w:multiLevelType w:val="hybridMultilevel"/>
    <w:tmpl w:val="C7965C4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36134A"/>
    <w:multiLevelType w:val="hybridMultilevel"/>
    <w:tmpl w:val="40D00126"/>
    <w:lvl w:ilvl="0" w:tplc="0636958A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826198"/>
    <w:multiLevelType w:val="hybridMultilevel"/>
    <w:tmpl w:val="2182C16E"/>
    <w:lvl w:ilvl="0" w:tplc="CC5EAAFA">
      <w:start w:val="13"/>
      <w:numFmt w:val="bullet"/>
      <w:lvlText w:val="-"/>
      <w:lvlJc w:val="left"/>
      <w:pPr>
        <w:tabs>
          <w:tab w:val="num" w:pos="1953"/>
        </w:tabs>
        <w:ind w:left="1953" w:hanging="1245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F647E4"/>
    <w:multiLevelType w:val="hybridMultilevel"/>
    <w:tmpl w:val="413E6F64"/>
    <w:lvl w:ilvl="0" w:tplc="85F8E8E6">
      <w:start w:val="27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791AEE"/>
    <w:multiLevelType w:val="hybridMultilevel"/>
    <w:tmpl w:val="C2BC1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B63DD"/>
    <w:multiLevelType w:val="hybridMultilevel"/>
    <w:tmpl w:val="FC74A1DE"/>
    <w:lvl w:ilvl="0" w:tplc="F7AC199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C47083D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7"/>
  </w:num>
  <w:num w:numId="13">
    <w:abstractNumId w:val="18"/>
  </w:num>
  <w:num w:numId="14">
    <w:abstractNumId w:val="14"/>
  </w:num>
  <w:num w:numId="15">
    <w:abstractNumId w:val="16"/>
  </w:num>
  <w:num w:numId="16">
    <w:abstractNumId w:val="11"/>
  </w:num>
  <w:num w:numId="17">
    <w:abstractNumId w:val="5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6E"/>
    <w:rsid w:val="00000698"/>
    <w:rsid w:val="000011AE"/>
    <w:rsid w:val="000015B3"/>
    <w:rsid w:val="00001C9F"/>
    <w:rsid w:val="0000297F"/>
    <w:rsid w:val="00002C6A"/>
    <w:rsid w:val="00002D17"/>
    <w:rsid w:val="00003726"/>
    <w:rsid w:val="000064A3"/>
    <w:rsid w:val="00006778"/>
    <w:rsid w:val="00006F28"/>
    <w:rsid w:val="0000722C"/>
    <w:rsid w:val="00007F9A"/>
    <w:rsid w:val="000100E0"/>
    <w:rsid w:val="00011958"/>
    <w:rsid w:val="0001328A"/>
    <w:rsid w:val="000156C2"/>
    <w:rsid w:val="00025450"/>
    <w:rsid w:val="00025B7F"/>
    <w:rsid w:val="0002644B"/>
    <w:rsid w:val="000277CE"/>
    <w:rsid w:val="00030BEB"/>
    <w:rsid w:val="00031101"/>
    <w:rsid w:val="00031AEB"/>
    <w:rsid w:val="00032EF3"/>
    <w:rsid w:val="00033CC1"/>
    <w:rsid w:val="00040387"/>
    <w:rsid w:val="00040395"/>
    <w:rsid w:val="00042D28"/>
    <w:rsid w:val="00042FAA"/>
    <w:rsid w:val="00043F81"/>
    <w:rsid w:val="0004522D"/>
    <w:rsid w:val="0004583B"/>
    <w:rsid w:val="000470A3"/>
    <w:rsid w:val="00052534"/>
    <w:rsid w:val="00052C64"/>
    <w:rsid w:val="00063DEF"/>
    <w:rsid w:val="00065CC4"/>
    <w:rsid w:val="00067CB3"/>
    <w:rsid w:val="000711D1"/>
    <w:rsid w:val="000718D2"/>
    <w:rsid w:val="000729B3"/>
    <w:rsid w:val="00074852"/>
    <w:rsid w:val="00076AAC"/>
    <w:rsid w:val="0008037D"/>
    <w:rsid w:val="00080F69"/>
    <w:rsid w:val="00081345"/>
    <w:rsid w:val="000814A7"/>
    <w:rsid w:val="00082386"/>
    <w:rsid w:val="000837DB"/>
    <w:rsid w:val="00084C5A"/>
    <w:rsid w:val="000850F4"/>
    <w:rsid w:val="00087F8E"/>
    <w:rsid w:val="00090286"/>
    <w:rsid w:val="00090B0D"/>
    <w:rsid w:val="00090E41"/>
    <w:rsid w:val="000910DD"/>
    <w:rsid w:val="00091460"/>
    <w:rsid w:val="000927F3"/>
    <w:rsid w:val="00095135"/>
    <w:rsid w:val="00097D42"/>
    <w:rsid w:val="000A0C3B"/>
    <w:rsid w:val="000A292D"/>
    <w:rsid w:val="000A77ED"/>
    <w:rsid w:val="000B0815"/>
    <w:rsid w:val="000B1BE6"/>
    <w:rsid w:val="000B544E"/>
    <w:rsid w:val="000B5D64"/>
    <w:rsid w:val="000C0A13"/>
    <w:rsid w:val="000C0E42"/>
    <w:rsid w:val="000C15F7"/>
    <w:rsid w:val="000C2508"/>
    <w:rsid w:val="000C3BD2"/>
    <w:rsid w:val="000C3E58"/>
    <w:rsid w:val="000C4E93"/>
    <w:rsid w:val="000C4F36"/>
    <w:rsid w:val="000C5E4C"/>
    <w:rsid w:val="000C7E57"/>
    <w:rsid w:val="000D022E"/>
    <w:rsid w:val="000D0C0F"/>
    <w:rsid w:val="000D0F30"/>
    <w:rsid w:val="000D2353"/>
    <w:rsid w:val="000D263F"/>
    <w:rsid w:val="000D2F47"/>
    <w:rsid w:val="000D4832"/>
    <w:rsid w:val="000D503C"/>
    <w:rsid w:val="000D52E4"/>
    <w:rsid w:val="000D55C2"/>
    <w:rsid w:val="000D5879"/>
    <w:rsid w:val="000D648F"/>
    <w:rsid w:val="000D7040"/>
    <w:rsid w:val="000E12B3"/>
    <w:rsid w:val="000E5414"/>
    <w:rsid w:val="000E5669"/>
    <w:rsid w:val="000E60AB"/>
    <w:rsid w:val="000E615A"/>
    <w:rsid w:val="000E6B1D"/>
    <w:rsid w:val="000F0033"/>
    <w:rsid w:val="000F1FAE"/>
    <w:rsid w:val="000F600F"/>
    <w:rsid w:val="000F63F6"/>
    <w:rsid w:val="000F6B3E"/>
    <w:rsid w:val="000F6BE7"/>
    <w:rsid w:val="001009F0"/>
    <w:rsid w:val="00100F4E"/>
    <w:rsid w:val="001010F1"/>
    <w:rsid w:val="00101CBE"/>
    <w:rsid w:val="00110AB9"/>
    <w:rsid w:val="00113B21"/>
    <w:rsid w:val="001140D5"/>
    <w:rsid w:val="0011460A"/>
    <w:rsid w:val="00115B8D"/>
    <w:rsid w:val="0011669C"/>
    <w:rsid w:val="0011757E"/>
    <w:rsid w:val="00120414"/>
    <w:rsid w:val="001204D6"/>
    <w:rsid w:val="001223E5"/>
    <w:rsid w:val="0013004C"/>
    <w:rsid w:val="00130887"/>
    <w:rsid w:val="0013203F"/>
    <w:rsid w:val="00132B0D"/>
    <w:rsid w:val="00133312"/>
    <w:rsid w:val="00135BB4"/>
    <w:rsid w:val="00142DB7"/>
    <w:rsid w:val="00143EEB"/>
    <w:rsid w:val="00150140"/>
    <w:rsid w:val="00152AE5"/>
    <w:rsid w:val="00153418"/>
    <w:rsid w:val="00156CAB"/>
    <w:rsid w:val="00160162"/>
    <w:rsid w:val="00161323"/>
    <w:rsid w:val="00161387"/>
    <w:rsid w:val="00163EA7"/>
    <w:rsid w:val="0016566E"/>
    <w:rsid w:val="00166DFB"/>
    <w:rsid w:val="0017006A"/>
    <w:rsid w:val="00170E27"/>
    <w:rsid w:val="0017112D"/>
    <w:rsid w:val="00171662"/>
    <w:rsid w:val="0017426A"/>
    <w:rsid w:val="00174A2F"/>
    <w:rsid w:val="00174A44"/>
    <w:rsid w:val="00175FA4"/>
    <w:rsid w:val="00176F32"/>
    <w:rsid w:val="001777F0"/>
    <w:rsid w:val="00181B28"/>
    <w:rsid w:val="00182FA5"/>
    <w:rsid w:val="00183D52"/>
    <w:rsid w:val="00183F85"/>
    <w:rsid w:val="001856DA"/>
    <w:rsid w:val="00185EBB"/>
    <w:rsid w:val="0018693C"/>
    <w:rsid w:val="0019179F"/>
    <w:rsid w:val="00191A68"/>
    <w:rsid w:val="001934BA"/>
    <w:rsid w:val="00194752"/>
    <w:rsid w:val="00195089"/>
    <w:rsid w:val="001955F8"/>
    <w:rsid w:val="00195B05"/>
    <w:rsid w:val="001A0985"/>
    <w:rsid w:val="001A29AD"/>
    <w:rsid w:val="001A2DC1"/>
    <w:rsid w:val="001A3E09"/>
    <w:rsid w:val="001A3F39"/>
    <w:rsid w:val="001A70FF"/>
    <w:rsid w:val="001B1C35"/>
    <w:rsid w:val="001B260A"/>
    <w:rsid w:val="001B2638"/>
    <w:rsid w:val="001B28B9"/>
    <w:rsid w:val="001B57C4"/>
    <w:rsid w:val="001B699C"/>
    <w:rsid w:val="001B788C"/>
    <w:rsid w:val="001B7E56"/>
    <w:rsid w:val="001C0BE7"/>
    <w:rsid w:val="001C29C0"/>
    <w:rsid w:val="001C3158"/>
    <w:rsid w:val="001C430C"/>
    <w:rsid w:val="001C7540"/>
    <w:rsid w:val="001C79BB"/>
    <w:rsid w:val="001D0F9E"/>
    <w:rsid w:val="001D0FF9"/>
    <w:rsid w:val="001E612D"/>
    <w:rsid w:val="001E6363"/>
    <w:rsid w:val="001E732E"/>
    <w:rsid w:val="001E761C"/>
    <w:rsid w:val="001F1085"/>
    <w:rsid w:val="001F4327"/>
    <w:rsid w:val="001F5846"/>
    <w:rsid w:val="001F5DB7"/>
    <w:rsid w:val="001F6FF0"/>
    <w:rsid w:val="001F7170"/>
    <w:rsid w:val="001F7A9E"/>
    <w:rsid w:val="001F7C4B"/>
    <w:rsid w:val="001F7C69"/>
    <w:rsid w:val="00200578"/>
    <w:rsid w:val="00200FC6"/>
    <w:rsid w:val="00202814"/>
    <w:rsid w:val="00203ABB"/>
    <w:rsid w:val="00203F78"/>
    <w:rsid w:val="00204E34"/>
    <w:rsid w:val="00206C7F"/>
    <w:rsid w:val="00210957"/>
    <w:rsid w:val="0021205A"/>
    <w:rsid w:val="002122C6"/>
    <w:rsid w:val="00213581"/>
    <w:rsid w:val="002205DF"/>
    <w:rsid w:val="00220BD7"/>
    <w:rsid w:val="00220EBE"/>
    <w:rsid w:val="002217B7"/>
    <w:rsid w:val="00222F8B"/>
    <w:rsid w:val="0022457D"/>
    <w:rsid w:val="002257A9"/>
    <w:rsid w:val="00226459"/>
    <w:rsid w:val="002268FF"/>
    <w:rsid w:val="00226F47"/>
    <w:rsid w:val="00227072"/>
    <w:rsid w:val="002300F1"/>
    <w:rsid w:val="00233D71"/>
    <w:rsid w:val="002346BC"/>
    <w:rsid w:val="002348DA"/>
    <w:rsid w:val="00234AB6"/>
    <w:rsid w:val="0023761E"/>
    <w:rsid w:val="00237C8D"/>
    <w:rsid w:val="00242F78"/>
    <w:rsid w:val="002438A7"/>
    <w:rsid w:val="00244203"/>
    <w:rsid w:val="00244DAA"/>
    <w:rsid w:val="00247A00"/>
    <w:rsid w:val="00251C25"/>
    <w:rsid w:val="00252AE3"/>
    <w:rsid w:val="00253FB2"/>
    <w:rsid w:val="00254BDC"/>
    <w:rsid w:val="00254BE8"/>
    <w:rsid w:val="002567DD"/>
    <w:rsid w:val="00261253"/>
    <w:rsid w:val="0026406D"/>
    <w:rsid w:val="002666A3"/>
    <w:rsid w:val="002667BD"/>
    <w:rsid w:val="002674C6"/>
    <w:rsid w:val="00270940"/>
    <w:rsid w:val="002710CE"/>
    <w:rsid w:val="002723EA"/>
    <w:rsid w:val="002739CB"/>
    <w:rsid w:val="0027406C"/>
    <w:rsid w:val="00274280"/>
    <w:rsid w:val="00274CCC"/>
    <w:rsid w:val="002775F6"/>
    <w:rsid w:val="0027766F"/>
    <w:rsid w:val="00280E26"/>
    <w:rsid w:val="00281C19"/>
    <w:rsid w:val="0028407A"/>
    <w:rsid w:val="00284EE0"/>
    <w:rsid w:val="002861AD"/>
    <w:rsid w:val="0028779B"/>
    <w:rsid w:val="00287D30"/>
    <w:rsid w:val="002903BC"/>
    <w:rsid w:val="0029043F"/>
    <w:rsid w:val="00290803"/>
    <w:rsid w:val="00290B1C"/>
    <w:rsid w:val="002950A8"/>
    <w:rsid w:val="00296274"/>
    <w:rsid w:val="00296DCE"/>
    <w:rsid w:val="002A11EE"/>
    <w:rsid w:val="002A1E31"/>
    <w:rsid w:val="002A5D7C"/>
    <w:rsid w:val="002A5E43"/>
    <w:rsid w:val="002A5ED8"/>
    <w:rsid w:val="002A5F81"/>
    <w:rsid w:val="002A68CA"/>
    <w:rsid w:val="002A6D73"/>
    <w:rsid w:val="002A7A7E"/>
    <w:rsid w:val="002B13BD"/>
    <w:rsid w:val="002B1483"/>
    <w:rsid w:val="002B5E97"/>
    <w:rsid w:val="002B7F1E"/>
    <w:rsid w:val="002C1284"/>
    <w:rsid w:val="002C2F40"/>
    <w:rsid w:val="002C32CD"/>
    <w:rsid w:val="002C772E"/>
    <w:rsid w:val="002C77EF"/>
    <w:rsid w:val="002C7A36"/>
    <w:rsid w:val="002D3869"/>
    <w:rsid w:val="002D3D13"/>
    <w:rsid w:val="002D4443"/>
    <w:rsid w:val="002E06BC"/>
    <w:rsid w:val="002E14CD"/>
    <w:rsid w:val="002E360C"/>
    <w:rsid w:val="002E5309"/>
    <w:rsid w:val="002E795B"/>
    <w:rsid w:val="002F0B27"/>
    <w:rsid w:val="002F4440"/>
    <w:rsid w:val="002F444E"/>
    <w:rsid w:val="002F5D2A"/>
    <w:rsid w:val="002F7608"/>
    <w:rsid w:val="00301885"/>
    <w:rsid w:val="00302847"/>
    <w:rsid w:val="00306C2E"/>
    <w:rsid w:val="003071C8"/>
    <w:rsid w:val="00307B9E"/>
    <w:rsid w:val="0031174B"/>
    <w:rsid w:val="00311D0D"/>
    <w:rsid w:val="0031309B"/>
    <w:rsid w:val="003131A9"/>
    <w:rsid w:val="0031571C"/>
    <w:rsid w:val="00322AEF"/>
    <w:rsid w:val="00325607"/>
    <w:rsid w:val="003261C8"/>
    <w:rsid w:val="0033158C"/>
    <w:rsid w:val="0033306E"/>
    <w:rsid w:val="003333A5"/>
    <w:rsid w:val="003336C7"/>
    <w:rsid w:val="0033407F"/>
    <w:rsid w:val="00335C33"/>
    <w:rsid w:val="00340311"/>
    <w:rsid w:val="003414A4"/>
    <w:rsid w:val="0034154C"/>
    <w:rsid w:val="003426D9"/>
    <w:rsid w:val="00342FD4"/>
    <w:rsid w:val="00347172"/>
    <w:rsid w:val="00347B5B"/>
    <w:rsid w:val="00351230"/>
    <w:rsid w:val="00351809"/>
    <w:rsid w:val="00351903"/>
    <w:rsid w:val="00357846"/>
    <w:rsid w:val="003600DB"/>
    <w:rsid w:val="0036045E"/>
    <w:rsid w:val="00360FE1"/>
    <w:rsid w:val="00362743"/>
    <w:rsid w:val="003634D5"/>
    <w:rsid w:val="00363994"/>
    <w:rsid w:val="003672D6"/>
    <w:rsid w:val="00372B12"/>
    <w:rsid w:val="00373958"/>
    <w:rsid w:val="00377318"/>
    <w:rsid w:val="00380B31"/>
    <w:rsid w:val="00380DB4"/>
    <w:rsid w:val="00382123"/>
    <w:rsid w:val="0038274D"/>
    <w:rsid w:val="00382CEE"/>
    <w:rsid w:val="00382E3A"/>
    <w:rsid w:val="00385B79"/>
    <w:rsid w:val="00387380"/>
    <w:rsid w:val="003879C0"/>
    <w:rsid w:val="00387F29"/>
    <w:rsid w:val="00390916"/>
    <w:rsid w:val="00390F74"/>
    <w:rsid w:val="00391207"/>
    <w:rsid w:val="00391F3A"/>
    <w:rsid w:val="0039339C"/>
    <w:rsid w:val="003962A5"/>
    <w:rsid w:val="003A0271"/>
    <w:rsid w:val="003A0EFA"/>
    <w:rsid w:val="003A10D4"/>
    <w:rsid w:val="003A26B5"/>
    <w:rsid w:val="003A38FF"/>
    <w:rsid w:val="003A3AB2"/>
    <w:rsid w:val="003A46D5"/>
    <w:rsid w:val="003A76D7"/>
    <w:rsid w:val="003B0454"/>
    <w:rsid w:val="003B3B9B"/>
    <w:rsid w:val="003C0D99"/>
    <w:rsid w:val="003C14E8"/>
    <w:rsid w:val="003C227F"/>
    <w:rsid w:val="003C22AA"/>
    <w:rsid w:val="003C2D97"/>
    <w:rsid w:val="003C7866"/>
    <w:rsid w:val="003D073A"/>
    <w:rsid w:val="003D3FB1"/>
    <w:rsid w:val="003D6462"/>
    <w:rsid w:val="003D6A23"/>
    <w:rsid w:val="003D73FF"/>
    <w:rsid w:val="003D7C31"/>
    <w:rsid w:val="003E0467"/>
    <w:rsid w:val="003E05CF"/>
    <w:rsid w:val="003E0CFF"/>
    <w:rsid w:val="003E2011"/>
    <w:rsid w:val="003E3252"/>
    <w:rsid w:val="003E3E68"/>
    <w:rsid w:val="003E4C30"/>
    <w:rsid w:val="003F0090"/>
    <w:rsid w:val="003F53DB"/>
    <w:rsid w:val="003F58AE"/>
    <w:rsid w:val="003F63E7"/>
    <w:rsid w:val="003F79FA"/>
    <w:rsid w:val="00402AAA"/>
    <w:rsid w:val="00403353"/>
    <w:rsid w:val="00403387"/>
    <w:rsid w:val="00403716"/>
    <w:rsid w:val="00403D9B"/>
    <w:rsid w:val="00404690"/>
    <w:rsid w:val="00407130"/>
    <w:rsid w:val="0040793B"/>
    <w:rsid w:val="004106F7"/>
    <w:rsid w:val="0041089F"/>
    <w:rsid w:val="0041137B"/>
    <w:rsid w:val="004120E4"/>
    <w:rsid w:val="0041270F"/>
    <w:rsid w:val="00414AB4"/>
    <w:rsid w:val="0041549C"/>
    <w:rsid w:val="00415529"/>
    <w:rsid w:val="004170EE"/>
    <w:rsid w:val="00420A60"/>
    <w:rsid w:val="00423CE6"/>
    <w:rsid w:val="00424C9F"/>
    <w:rsid w:val="00425438"/>
    <w:rsid w:val="004255F6"/>
    <w:rsid w:val="00425765"/>
    <w:rsid w:val="004354C8"/>
    <w:rsid w:val="004369D5"/>
    <w:rsid w:val="00436E27"/>
    <w:rsid w:val="00437B25"/>
    <w:rsid w:val="00437CDD"/>
    <w:rsid w:val="00442F5D"/>
    <w:rsid w:val="0044352E"/>
    <w:rsid w:val="00444AFF"/>
    <w:rsid w:val="00445D5D"/>
    <w:rsid w:val="004504FE"/>
    <w:rsid w:val="00451182"/>
    <w:rsid w:val="00451315"/>
    <w:rsid w:val="004523D2"/>
    <w:rsid w:val="00452942"/>
    <w:rsid w:val="004553B0"/>
    <w:rsid w:val="00455FBF"/>
    <w:rsid w:val="004601BD"/>
    <w:rsid w:val="0046057B"/>
    <w:rsid w:val="0046329E"/>
    <w:rsid w:val="00464053"/>
    <w:rsid w:val="00464942"/>
    <w:rsid w:val="00465FD9"/>
    <w:rsid w:val="00466450"/>
    <w:rsid w:val="00467403"/>
    <w:rsid w:val="00470F8C"/>
    <w:rsid w:val="004723FA"/>
    <w:rsid w:val="00472852"/>
    <w:rsid w:val="00473AFF"/>
    <w:rsid w:val="004760A7"/>
    <w:rsid w:val="00476E87"/>
    <w:rsid w:val="00477B71"/>
    <w:rsid w:val="0048002A"/>
    <w:rsid w:val="00480944"/>
    <w:rsid w:val="0048198C"/>
    <w:rsid w:val="0048244B"/>
    <w:rsid w:val="004848BA"/>
    <w:rsid w:val="004850E3"/>
    <w:rsid w:val="004853D7"/>
    <w:rsid w:val="004857D8"/>
    <w:rsid w:val="004858B2"/>
    <w:rsid w:val="004861F8"/>
    <w:rsid w:val="004867D9"/>
    <w:rsid w:val="00486D55"/>
    <w:rsid w:val="0049035C"/>
    <w:rsid w:val="00493F71"/>
    <w:rsid w:val="004947D8"/>
    <w:rsid w:val="00495721"/>
    <w:rsid w:val="004A4253"/>
    <w:rsid w:val="004A5E39"/>
    <w:rsid w:val="004A6D4B"/>
    <w:rsid w:val="004B469B"/>
    <w:rsid w:val="004B647B"/>
    <w:rsid w:val="004C047F"/>
    <w:rsid w:val="004C10AB"/>
    <w:rsid w:val="004C11F2"/>
    <w:rsid w:val="004C2655"/>
    <w:rsid w:val="004C37C1"/>
    <w:rsid w:val="004C3B54"/>
    <w:rsid w:val="004C3BB4"/>
    <w:rsid w:val="004C6D1B"/>
    <w:rsid w:val="004D2653"/>
    <w:rsid w:val="004D2DF4"/>
    <w:rsid w:val="004D5A1E"/>
    <w:rsid w:val="004D7B62"/>
    <w:rsid w:val="004D7C0F"/>
    <w:rsid w:val="004D7E12"/>
    <w:rsid w:val="004E0217"/>
    <w:rsid w:val="004E0EB7"/>
    <w:rsid w:val="004E13F3"/>
    <w:rsid w:val="004E3889"/>
    <w:rsid w:val="004E5F50"/>
    <w:rsid w:val="004E7D94"/>
    <w:rsid w:val="004F0BB0"/>
    <w:rsid w:val="004F3EC2"/>
    <w:rsid w:val="004F4CDF"/>
    <w:rsid w:val="00503B28"/>
    <w:rsid w:val="00505D53"/>
    <w:rsid w:val="00506742"/>
    <w:rsid w:val="00511A9C"/>
    <w:rsid w:val="00512136"/>
    <w:rsid w:val="005127AD"/>
    <w:rsid w:val="00514394"/>
    <w:rsid w:val="005149E5"/>
    <w:rsid w:val="00514A88"/>
    <w:rsid w:val="00516641"/>
    <w:rsid w:val="0051757B"/>
    <w:rsid w:val="00520188"/>
    <w:rsid w:val="00520249"/>
    <w:rsid w:val="00520C5E"/>
    <w:rsid w:val="0052296A"/>
    <w:rsid w:val="00523B7F"/>
    <w:rsid w:val="00523D00"/>
    <w:rsid w:val="0052442F"/>
    <w:rsid w:val="00524BDD"/>
    <w:rsid w:val="005252BC"/>
    <w:rsid w:val="00525437"/>
    <w:rsid w:val="00526661"/>
    <w:rsid w:val="00530A5D"/>
    <w:rsid w:val="00536B25"/>
    <w:rsid w:val="0053776F"/>
    <w:rsid w:val="00537C05"/>
    <w:rsid w:val="0054018D"/>
    <w:rsid w:val="0054224F"/>
    <w:rsid w:val="005424DE"/>
    <w:rsid w:val="00543DE6"/>
    <w:rsid w:val="005456BB"/>
    <w:rsid w:val="00545766"/>
    <w:rsid w:val="00547749"/>
    <w:rsid w:val="0055177A"/>
    <w:rsid w:val="0055219B"/>
    <w:rsid w:val="005537D0"/>
    <w:rsid w:val="00555755"/>
    <w:rsid w:val="00555DA1"/>
    <w:rsid w:val="00560873"/>
    <w:rsid w:val="00560B10"/>
    <w:rsid w:val="00564F9F"/>
    <w:rsid w:val="0056526F"/>
    <w:rsid w:val="005653E5"/>
    <w:rsid w:val="00566684"/>
    <w:rsid w:val="00570365"/>
    <w:rsid w:val="00572940"/>
    <w:rsid w:val="00573B9C"/>
    <w:rsid w:val="0057709E"/>
    <w:rsid w:val="00577E9E"/>
    <w:rsid w:val="00580F90"/>
    <w:rsid w:val="00582399"/>
    <w:rsid w:val="005824A0"/>
    <w:rsid w:val="0058263D"/>
    <w:rsid w:val="00582E07"/>
    <w:rsid w:val="00583F6D"/>
    <w:rsid w:val="005856E2"/>
    <w:rsid w:val="005911A0"/>
    <w:rsid w:val="00592884"/>
    <w:rsid w:val="005962FE"/>
    <w:rsid w:val="00596918"/>
    <w:rsid w:val="005A0356"/>
    <w:rsid w:val="005A14E4"/>
    <w:rsid w:val="005A1706"/>
    <w:rsid w:val="005A2149"/>
    <w:rsid w:val="005A24F5"/>
    <w:rsid w:val="005A2F72"/>
    <w:rsid w:val="005A3FA4"/>
    <w:rsid w:val="005A4282"/>
    <w:rsid w:val="005A688D"/>
    <w:rsid w:val="005B108E"/>
    <w:rsid w:val="005B3198"/>
    <w:rsid w:val="005B3F88"/>
    <w:rsid w:val="005B412B"/>
    <w:rsid w:val="005B69D6"/>
    <w:rsid w:val="005B7DF1"/>
    <w:rsid w:val="005C1100"/>
    <w:rsid w:val="005C1330"/>
    <w:rsid w:val="005C4F95"/>
    <w:rsid w:val="005C74DA"/>
    <w:rsid w:val="005C78F3"/>
    <w:rsid w:val="005D1978"/>
    <w:rsid w:val="005D3AC1"/>
    <w:rsid w:val="005D4928"/>
    <w:rsid w:val="005D550C"/>
    <w:rsid w:val="005D629F"/>
    <w:rsid w:val="005E1ABC"/>
    <w:rsid w:val="005E3354"/>
    <w:rsid w:val="005E5167"/>
    <w:rsid w:val="005F2F9A"/>
    <w:rsid w:val="005F3135"/>
    <w:rsid w:val="005F35C7"/>
    <w:rsid w:val="005F37A2"/>
    <w:rsid w:val="005F4111"/>
    <w:rsid w:val="005F4A95"/>
    <w:rsid w:val="005F7424"/>
    <w:rsid w:val="005F77FA"/>
    <w:rsid w:val="005F799E"/>
    <w:rsid w:val="0060160D"/>
    <w:rsid w:val="00603E81"/>
    <w:rsid w:val="00604743"/>
    <w:rsid w:val="0060630E"/>
    <w:rsid w:val="0060715D"/>
    <w:rsid w:val="006106F6"/>
    <w:rsid w:val="00610A6C"/>
    <w:rsid w:val="006113DC"/>
    <w:rsid w:val="00613B0B"/>
    <w:rsid w:val="00613C42"/>
    <w:rsid w:val="00614432"/>
    <w:rsid w:val="006158F0"/>
    <w:rsid w:val="006222C2"/>
    <w:rsid w:val="00623151"/>
    <w:rsid w:val="00626212"/>
    <w:rsid w:val="00626255"/>
    <w:rsid w:val="00626E2B"/>
    <w:rsid w:val="006334B8"/>
    <w:rsid w:val="006346F8"/>
    <w:rsid w:val="00634C7A"/>
    <w:rsid w:val="0063665B"/>
    <w:rsid w:val="0063670E"/>
    <w:rsid w:val="00637B95"/>
    <w:rsid w:val="0064100B"/>
    <w:rsid w:val="0064277A"/>
    <w:rsid w:val="00643179"/>
    <w:rsid w:val="0064438D"/>
    <w:rsid w:val="00644BE6"/>
    <w:rsid w:val="006454DA"/>
    <w:rsid w:val="00650E04"/>
    <w:rsid w:val="00652D28"/>
    <w:rsid w:val="00654170"/>
    <w:rsid w:val="006552BB"/>
    <w:rsid w:val="00655EB1"/>
    <w:rsid w:val="006561A4"/>
    <w:rsid w:val="00656E20"/>
    <w:rsid w:val="00662B1F"/>
    <w:rsid w:val="006631AD"/>
    <w:rsid w:val="00664595"/>
    <w:rsid w:val="006645FE"/>
    <w:rsid w:val="006650D0"/>
    <w:rsid w:val="006660D3"/>
    <w:rsid w:val="006720EC"/>
    <w:rsid w:val="006731B5"/>
    <w:rsid w:val="006762AE"/>
    <w:rsid w:val="00682870"/>
    <w:rsid w:val="00682ADC"/>
    <w:rsid w:val="006869F0"/>
    <w:rsid w:val="0068714C"/>
    <w:rsid w:val="00691974"/>
    <w:rsid w:val="006927F5"/>
    <w:rsid w:val="00693CFF"/>
    <w:rsid w:val="006976B7"/>
    <w:rsid w:val="00697AA5"/>
    <w:rsid w:val="006A048B"/>
    <w:rsid w:val="006A1B80"/>
    <w:rsid w:val="006A2A8C"/>
    <w:rsid w:val="006A3151"/>
    <w:rsid w:val="006A3288"/>
    <w:rsid w:val="006A39B7"/>
    <w:rsid w:val="006A4667"/>
    <w:rsid w:val="006A5504"/>
    <w:rsid w:val="006A5B6A"/>
    <w:rsid w:val="006B0040"/>
    <w:rsid w:val="006B3601"/>
    <w:rsid w:val="006B5069"/>
    <w:rsid w:val="006B58A5"/>
    <w:rsid w:val="006B5D7C"/>
    <w:rsid w:val="006C1F99"/>
    <w:rsid w:val="006C3902"/>
    <w:rsid w:val="006C3C74"/>
    <w:rsid w:val="006C5179"/>
    <w:rsid w:val="006C6A6B"/>
    <w:rsid w:val="006D043B"/>
    <w:rsid w:val="006D1E02"/>
    <w:rsid w:val="006D2782"/>
    <w:rsid w:val="006D2C1A"/>
    <w:rsid w:val="006D3C1A"/>
    <w:rsid w:val="006E2761"/>
    <w:rsid w:val="006E4BCE"/>
    <w:rsid w:val="006F0257"/>
    <w:rsid w:val="006F05A2"/>
    <w:rsid w:val="006F28DB"/>
    <w:rsid w:val="006F310A"/>
    <w:rsid w:val="006F62ED"/>
    <w:rsid w:val="006F6BE8"/>
    <w:rsid w:val="00701509"/>
    <w:rsid w:val="00702214"/>
    <w:rsid w:val="00705163"/>
    <w:rsid w:val="00706B9B"/>
    <w:rsid w:val="00707AAA"/>
    <w:rsid w:val="00710BBA"/>
    <w:rsid w:val="00711F95"/>
    <w:rsid w:val="00714B96"/>
    <w:rsid w:val="00715FD8"/>
    <w:rsid w:val="007212FD"/>
    <w:rsid w:val="00723A9D"/>
    <w:rsid w:val="00724098"/>
    <w:rsid w:val="00727D57"/>
    <w:rsid w:val="00727E3F"/>
    <w:rsid w:val="00730DF8"/>
    <w:rsid w:val="00731402"/>
    <w:rsid w:val="007331FE"/>
    <w:rsid w:val="00735612"/>
    <w:rsid w:val="0073629B"/>
    <w:rsid w:val="0073699C"/>
    <w:rsid w:val="00736F05"/>
    <w:rsid w:val="00740CC4"/>
    <w:rsid w:val="0074178E"/>
    <w:rsid w:val="00741A6F"/>
    <w:rsid w:val="00741C75"/>
    <w:rsid w:val="00742D2D"/>
    <w:rsid w:val="00744BD6"/>
    <w:rsid w:val="007477C2"/>
    <w:rsid w:val="00747DC0"/>
    <w:rsid w:val="00751871"/>
    <w:rsid w:val="007521A9"/>
    <w:rsid w:val="007523D0"/>
    <w:rsid w:val="007525C7"/>
    <w:rsid w:val="00752E3E"/>
    <w:rsid w:val="00753962"/>
    <w:rsid w:val="00753A30"/>
    <w:rsid w:val="00755DF8"/>
    <w:rsid w:val="00756344"/>
    <w:rsid w:val="0075634F"/>
    <w:rsid w:val="007575C7"/>
    <w:rsid w:val="00757AC7"/>
    <w:rsid w:val="007611BA"/>
    <w:rsid w:val="00762723"/>
    <w:rsid w:val="00762EA8"/>
    <w:rsid w:val="00764176"/>
    <w:rsid w:val="0076483E"/>
    <w:rsid w:val="0077022A"/>
    <w:rsid w:val="0077055E"/>
    <w:rsid w:val="0077169D"/>
    <w:rsid w:val="007718C6"/>
    <w:rsid w:val="00771992"/>
    <w:rsid w:val="00772878"/>
    <w:rsid w:val="00774004"/>
    <w:rsid w:val="0077781B"/>
    <w:rsid w:val="00783781"/>
    <w:rsid w:val="0078525B"/>
    <w:rsid w:val="00786851"/>
    <w:rsid w:val="007869EE"/>
    <w:rsid w:val="00790163"/>
    <w:rsid w:val="007938A4"/>
    <w:rsid w:val="00796920"/>
    <w:rsid w:val="007A1822"/>
    <w:rsid w:val="007A6261"/>
    <w:rsid w:val="007A7676"/>
    <w:rsid w:val="007A77E8"/>
    <w:rsid w:val="007B1087"/>
    <w:rsid w:val="007B2E84"/>
    <w:rsid w:val="007B3A15"/>
    <w:rsid w:val="007B74F4"/>
    <w:rsid w:val="007B75C4"/>
    <w:rsid w:val="007C0309"/>
    <w:rsid w:val="007C17A4"/>
    <w:rsid w:val="007C4F45"/>
    <w:rsid w:val="007C741E"/>
    <w:rsid w:val="007D1E5F"/>
    <w:rsid w:val="007D2D55"/>
    <w:rsid w:val="007D34B2"/>
    <w:rsid w:val="007D4007"/>
    <w:rsid w:val="007D4C54"/>
    <w:rsid w:val="007D52AF"/>
    <w:rsid w:val="007D5F1F"/>
    <w:rsid w:val="007D74C9"/>
    <w:rsid w:val="007E0089"/>
    <w:rsid w:val="007E3380"/>
    <w:rsid w:val="007E63C7"/>
    <w:rsid w:val="007E6BF6"/>
    <w:rsid w:val="007E751D"/>
    <w:rsid w:val="007F1DD7"/>
    <w:rsid w:val="007F229B"/>
    <w:rsid w:val="007F23A4"/>
    <w:rsid w:val="007F2EFD"/>
    <w:rsid w:val="007F44E5"/>
    <w:rsid w:val="007F5601"/>
    <w:rsid w:val="00800D76"/>
    <w:rsid w:val="00804A8A"/>
    <w:rsid w:val="0080580E"/>
    <w:rsid w:val="00805E0E"/>
    <w:rsid w:val="0080747E"/>
    <w:rsid w:val="00810DFF"/>
    <w:rsid w:val="00810E84"/>
    <w:rsid w:val="00813747"/>
    <w:rsid w:val="008144EB"/>
    <w:rsid w:val="0081507C"/>
    <w:rsid w:val="00815BCC"/>
    <w:rsid w:val="00816666"/>
    <w:rsid w:val="00816DC2"/>
    <w:rsid w:val="00817E68"/>
    <w:rsid w:val="00825387"/>
    <w:rsid w:val="008322DA"/>
    <w:rsid w:val="00833056"/>
    <w:rsid w:val="0083407A"/>
    <w:rsid w:val="0083419A"/>
    <w:rsid w:val="008378D4"/>
    <w:rsid w:val="0084147D"/>
    <w:rsid w:val="008444BA"/>
    <w:rsid w:val="00845B60"/>
    <w:rsid w:val="00845DD1"/>
    <w:rsid w:val="008505F3"/>
    <w:rsid w:val="0085316B"/>
    <w:rsid w:val="008538A1"/>
    <w:rsid w:val="00854131"/>
    <w:rsid w:val="0085453C"/>
    <w:rsid w:val="00854CAA"/>
    <w:rsid w:val="00866353"/>
    <w:rsid w:val="0086690B"/>
    <w:rsid w:val="00867018"/>
    <w:rsid w:val="008701E3"/>
    <w:rsid w:val="008722FE"/>
    <w:rsid w:val="00872E5E"/>
    <w:rsid w:val="0087355A"/>
    <w:rsid w:val="00873E6D"/>
    <w:rsid w:val="00873E8C"/>
    <w:rsid w:val="00875E73"/>
    <w:rsid w:val="008778DE"/>
    <w:rsid w:val="00877D06"/>
    <w:rsid w:val="00881122"/>
    <w:rsid w:val="0088178A"/>
    <w:rsid w:val="00881948"/>
    <w:rsid w:val="00886D67"/>
    <w:rsid w:val="0088749E"/>
    <w:rsid w:val="0088788F"/>
    <w:rsid w:val="00894D76"/>
    <w:rsid w:val="00897331"/>
    <w:rsid w:val="00897478"/>
    <w:rsid w:val="008A14D6"/>
    <w:rsid w:val="008A215A"/>
    <w:rsid w:val="008A46D6"/>
    <w:rsid w:val="008A660E"/>
    <w:rsid w:val="008A7E1F"/>
    <w:rsid w:val="008A7FC8"/>
    <w:rsid w:val="008B0857"/>
    <w:rsid w:val="008B0A6B"/>
    <w:rsid w:val="008B1D5B"/>
    <w:rsid w:val="008B2CAB"/>
    <w:rsid w:val="008B5784"/>
    <w:rsid w:val="008B74C6"/>
    <w:rsid w:val="008B7B54"/>
    <w:rsid w:val="008C3CDC"/>
    <w:rsid w:val="008C4509"/>
    <w:rsid w:val="008C4CB2"/>
    <w:rsid w:val="008D1E3D"/>
    <w:rsid w:val="008D2B9C"/>
    <w:rsid w:val="008D39A9"/>
    <w:rsid w:val="008D492D"/>
    <w:rsid w:val="008D4DEF"/>
    <w:rsid w:val="008D5D7D"/>
    <w:rsid w:val="008E05B1"/>
    <w:rsid w:val="008E076F"/>
    <w:rsid w:val="008E0F76"/>
    <w:rsid w:val="008E3DF3"/>
    <w:rsid w:val="008E5B4D"/>
    <w:rsid w:val="008E7410"/>
    <w:rsid w:val="008F2484"/>
    <w:rsid w:val="008F2792"/>
    <w:rsid w:val="008F3C29"/>
    <w:rsid w:val="008F4351"/>
    <w:rsid w:val="008F54CA"/>
    <w:rsid w:val="008F5E6D"/>
    <w:rsid w:val="008F659E"/>
    <w:rsid w:val="008F6937"/>
    <w:rsid w:val="008F78D0"/>
    <w:rsid w:val="0090186B"/>
    <w:rsid w:val="0090340A"/>
    <w:rsid w:val="00903F47"/>
    <w:rsid w:val="00904062"/>
    <w:rsid w:val="00905C2E"/>
    <w:rsid w:val="009066D0"/>
    <w:rsid w:val="0090783C"/>
    <w:rsid w:val="00911650"/>
    <w:rsid w:val="00912F78"/>
    <w:rsid w:val="00912FC8"/>
    <w:rsid w:val="00914762"/>
    <w:rsid w:val="00917241"/>
    <w:rsid w:val="00917C8A"/>
    <w:rsid w:val="00921855"/>
    <w:rsid w:val="009219A5"/>
    <w:rsid w:val="009230F7"/>
    <w:rsid w:val="00924F3D"/>
    <w:rsid w:val="009252F0"/>
    <w:rsid w:val="00925656"/>
    <w:rsid w:val="0093020C"/>
    <w:rsid w:val="00931295"/>
    <w:rsid w:val="00931C8E"/>
    <w:rsid w:val="00932A96"/>
    <w:rsid w:val="00933B68"/>
    <w:rsid w:val="00934057"/>
    <w:rsid w:val="00934CF1"/>
    <w:rsid w:val="00936CC4"/>
    <w:rsid w:val="009372E6"/>
    <w:rsid w:val="009402C4"/>
    <w:rsid w:val="009438B2"/>
    <w:rsid w:val="00944217"/>
    <w:rsid w:val="0094501A"/>
    <w:rsid w:val="009454D6"/>
    <w:rsid w:val="00946F56"/>
    <w:rsid w:val="009514EE"/>
    <w:rsid w:val="00951F43"/>
    <w:rsid w:val="0095542F"/>
    <w:rsid w:val="0095596C"/>
    <w:rsid w:val="00956763"/>
    <w:rsid w:val="00956A25"/>
    <w:rsid w:val="00956D8D"/>
    <w:rsid w:val="009572B6"/>
    <w:rsid w:val="009573DE"/>
    <w:rsid w:val="009573FE"/>
    <w:rsid w:val="00961904"/>
    <w:rsid w:val="00962848"/>
    <w:rsid w:val="00962958"/>
    <w:rsid w:val="0096451B"/>
    <w:rsid w:val="00965D95"/>
    <w:rsid w:val="00967A6F"/>
    <w:rsid w:val="0097014B"/>
    <w:rsid w:val="00970756"/>
    <w:rsid w:val="009746E6"/>
    <w:rsid w:val="009748C9"/>
    <w:rsid w:val="0097706B"/>
    <w:rsid w:val="009802A8"/>
    <w:rsid w:val="009813BF"/>
    <w:rsid w:val="00983E83"/>
    <w:rsid w:val="00985904"/>
    <w:rsid w:val="00990B03"/>
    <w:rsid w:val="009910DC"/>
    <w:rsid w:val="00991B8A"/>
    <w:rsid w:val="00992018"/>
    <w:rsid w:val="00992121"/>
    <w:rsid w:val="00993813"/>
    <w:rsid w:val="00993B88"/>
    <w:rsid w:val="00995570"/>
    <w:rsid w:val="00995E7F"/>
    <w:rsid w:val="009A194F"/>
    <w:rsid w:val="009A290E"/>
    <w:rsid w:val="009A2C0F"/>
    <w:rsid w:val="009A4CA4"/>
    <w:rsid w:val="009A4EF6"/>
    <w:rsid w:val="009B148E"/>
    <w:rsid w:val="009B2615"/>
    <w:rsid w:val="009B37E4"/>
    <w:rsid w:val="009B55F8"/>
    <w:rsid w:val="009B6FB3"/>
    <w:rsid w:val="009B731D"/>
    <w:rsid w:val="009B78C0"/>
    <w:rsid w:val="009B7C4E"/>
    <w:rsid w:val="009C4646"/>
    <w:rsid w:val="009C6A60"/>
    <w:rsid w:val="009C7359"/>
    <w:rsid w:val="009D13B8"/>
    <w:rsid w:val="009D326B"/>
    <w:rsid w:val="009D356D"/>
    <w:rsid w:val="009D44A4"/>
    <w:rsid w:val="009D4735"/>
    <w:rsid w:val="009D52D2"/>
    <w:rsid w:val="009D7A24"/>
    <w:rsid w:val="009D7E14"/>
    <w:rsid w:val="009E0F8F"/>
    <w:rsid w:val="009E2499"/>
    <w:rsid w:val="009E2B46"/>
    <w:rsid w:val="009E327B"/>
    <w:rsid w:val="009E3484"/>
    <w:rsid w:val="009E482E"/>
    <w:rsid w:val="009E7F54"/>
    <w:rsid w:val="009F1A7B"/>
    <w:rsid w:val="009F40B9"/>
    <w:rsid w:val="009F4258"/>
    <w:rsid w:val="009F5288"/>
    <w:rsid w:val="009F5B0B"/>
    <w:rsid w:val="009F5E2C"/>
    <w:rsid w:val="009F5E5C"/>
    <w:rsid w:val="009F75C3"/>
    <w:rsid w:val="009F7AC3"/>
    <w:rsid w:val="00A02254"/>
    <w:rsid w:val="00A0360F"/>
    <w:rsid w:val="00A040BB"/>
    <w:rsid w:val="00A056D8"/>
    <w:rsid w:val="00A072F6"/>
    <w:rsid w:val="00A10F47"/>
    <w:rsid w:val="00A114F1"/>
    <w:rsid w:val="00A12672"/>
    <w:rsid w:val="00A1443A"/>
    <w:rsid w:val="00A173CD"/>
    <w:rsid w:val="00A20B03"/>
    <w:rsid w:val="00A215F6"/>
    <w:rsid w:val="00A23DD1"/>
    <w:rsid w:val="00A24D8E"/>
    <w:rsid w:val="00A254D2"/>
    <w:rsid w:val="00A25998"/>
    <w:rsid w:val="00A25E3F"/>
    <w:rsid w:val="00A25FDF"/>
    <w:rsid w:val="00A2737A"/>
    <w:rsid w:val="00A329E6"/>
    <w:rsid w:val="00A351ED"/>
    <w:rsid w:val="00A36498"/>
    <w:rsid w:val="00A367EE"/>
    <w:rsid w:val="00A367F2"/>
    <w:rsid w:val="00A3763F"/>
    <w:rsid w:val="00A37A61"/>
    <w:rsid w:val="00A438EB"/>
    <w:rsid w:val="00A43B30"/>
    <w:rsid w:val="00A51D1A"/>
    <w:rsid w:val="00A51E00"/>
    <w:rsid w:val="00A528BB"/>
    <w:rsid w:val="00A551FB"/>
    <w:rsid w:val="00A57B7D"/>
    <w:rsid w:val="00A60808"/>
    <w:rsid w:val="00A61413"/>
    <w:rsid w:val="00A6335F"/>
    <w:rsid w:val="00A642BF"/>
    <w:rsid w:val="00A64AF2"/>
    <w:rsid w:val="00A659AC"/>
    <w:rsid w:val="00A66F6D"/>
    <w:rsid w:val="00A71F3C"/>
    <w:rsid w:val="00A72BBA"/>
    <w:rsid w:val="00A72DB6"/>
    <w:rsid w:val="00A73F47"/>
    <w:rsid w:val="00A75074"/>
    <w:rsid w:val="00A76C93"/>
    <w:rsid w:val="00A8016A"/>
    <w:rsid w:val="00A80220"/>
    <w:rsid w:val="00A8185D"/>
    <w:rsid w:val="00A81ECB"/>
    <w:rsid w:val="00A81FB4"/>
    <w:rsid w:val="00A8224E"/>
    <w:rsid w:val="00A8533F"/>
    <w:rsid w:val="00A87724"/>
    <w:rsid w:val="00A90F9D"/>
    <w:rsid w:val="00A93F82"/>
    <w:rsid w:val="00A940A6"/>
    <w:rsid w:val="00A968A2"/>
    <w:rsid w:val="00A96D0C"/>
    <w:rsid w:val="00A97236"/>
    <w:rsid w:val="00A973FC"/>
    <w:rsid w:val="00AA17BE"/>
    <w:rsid w:val="00AA223D"/>
    <w:rsid w:val="00AA295E"/>
    <w:rsid w:val="00AA2C90"/>
    <w:rsid w:val="00AA4A71"/>
    <w:rsid w:val="00AA7759"/>
    <w:rsid w:val="00AB12C8"/>
    <w:rsid w:val="00AB2F99"/>
    <w:rsid w:val="00AB498A"/>
    <w:rsid w:val="00AB4EBB"/>
    <w:rsid w:val="00AB72C2"/>
    <w:rsid w:val="00AC032C"/>
    <w:rsid w:val="00AC1B1D"/>
    <w:rsid w:val="00AC2B5F"/>
    <w:rsid w:val="00AC3539"/>
    <w:rsid w:val="00AC583C"/>
    <w:rsid w:val="00AC5A4E"/>
    <w:rsid w:val="00AC681A"/>
    <w:rsid w:val="00AC7980"/>
    <w:rsid w:val="00AC7FFE"/>
    <w:rsid w:val="00AD017B"/>
    <w:rsid w:val="00AD01CB"/>
    <w:rsid w:val="00AD061B"/>
    <w:rsid w:val="00AD0929"/>
    <w:rsid w:val="00AD23A2"/>
    <w:rsid w:val="00AD2BDF"/>
    <w:rsid w:val="00AD612B"/>
    <w:rsid w:val="00AD6575"/>
    <w:rsid w:val="00AD727A"/>
    <w:rsid w:val="00AD7D94"/>
    <w:rsid w:val="00AE2682"/>
    <w:rsid w:val="00AE5417"/>
    <w:rsid w:val="00AE5A38"/>
    <w:rsid w:val="00AF009E"/>
    <w:rsid w:val="00AF1FE0"/>
    <w:rsid w:val="00AF31A6"/>
    <w:rsid w:val="00AF391B"/>
    <w:rsid w:val="00AF4052"/>
    <w:rsid w:val="00AF5D38"/>
    <w:rsid w:val="00B01598"/>
    <w:rsid w:val="00B06314"/>
    <w:rsid w:val="00B06F26"/>
    <w:rsid w:val="00B07091"/>
    <w:rsid w:val="00B11DF4"/>
    <w:rsid w:val="00B13302"/>
    <w:rsid w:val="00B1496D"/>
    <w:rsid w:val="00B210CE"/>
    <w:rsid w:val="00B216C6"/>
    <w:rsid w:val="00B2230B"/>
    <w:rsid w:val="00B22A23"/>
    <w:rsid w:val="00B242F1"/>
    <w:rsid w:val="00B25A6F"/>
    <w:rsid w:val="00B30762"/>
    <w:rsid w:val="00B31BE5"/>
    <w:rsid w:val="00B32D97"/>
    <w:rsid w:val="00B3604B"/>
    <w:rsid w:val="00B37E1D"/>
    <w:rsid w:val="00B41D6A"/>
    <w:rsid w:val="00B439F3"/>
    <w:rsid w:val="00B461DD"/>
    <w:rsid w:val="00B50A48"/>
    <w:rsid w:val="00B521C1"/>
    <w:rsid w:val="00B53EA9"/>
    <w:rsid w:val="00B5462E"/>
    <w:rsid w:val="00B54D09"/>
    <w:rsid w:val="00B564A8"/>
    <w:rsid w:val="00B6045F"/>
    <w:rsid w:val="00B613C0"/>
    <w:rsid w:val="00B61FC7"/>
    <w:rsid w:val="00B62D48"/>
    <w:rsid w:val="00B65184"/>
    <w:rsid w:val="00B65B56"/>
    <w:rsid w:val="00B723BB"/>
    <w:rsid w:val="00B728DF"/>
    <w:rsid w:val="00B80626"/>
    <w:rsid w:val="00B83E6A"/>
    <w:rsid w:val="00B85922"/>
    <w:rsid w:val="00B85AF6"/>
    <w:rsid w:val="00B9093D"/>
    <w:rsid w:val="00B91703"/>
    <w:rsid w:val="00B91A3A"/>
    <w:rsid w:val="00B94072"/>
    <w:rsid w:val="00B94476"/>
    <w:rsid w:val="00B96209"/>
    <w:rsid w:val="00B96899"/>
    <w:rsid w:val="00B9738B"/>
    <w:rsid w:val="00BA0897"/>
    <w:rsid w:val="00BA1F80"/>
    <w:rsid w:val="00BA3C0C"/>
    <w:rsid w:val="00BA57A2"/>
    <w:rsid w:val="00BB0377"/>
    <w:rsid w:val="00BB037A"/>
    <w:rsid w:val="00BB0876"/>
    <w:rsid w:val="00BB1D1F"/>
    <w:rsid w:val="00BB2A34"/>
    <w:rsid w:val="00BB3E8E"/>
    <w:rsid w:val="00BB4A58"/>
    <w:rsid w:val="00BB54AA"/>
    <w:rsid w:val="00BB6249"/>
    <w:rsid w:val="00BB685C"/>
    <w:rsid w:val="00BB6DF2"/>
    <w:rsid w:val="00BC1C28"/>
    <w:rsid w:val="00BC4DCD"/>
    <w:rsid w:val="00BC57AB"/>
    <w:rsid w:val="00BC5DA3"/>
    <w:rsid w:val="00BC6486"/>
    <w:rsid w:val="00BD0763"/>
    <w:rsid w:val="00BD4532"/>
    <w:rsid w:val="00BD469B"/>
    <w:rsid w:val="00BD7203"/>
    <w:rsid w:val="00BE07C4"/>
    <w:rsid w:val="00BE1729"/>
    <w:rsid w:val="00BE2F9B"/>
    <w:rsid w:val="00BE4102"/>
    <w:rsid w:val="00BE5D88"/>
    <w:rsid w:val="00BF237A"/>
    <w:rsid w:val="00BF5ADC"/>
    <w:rsid w:val="00BF5E1B"/>
    <w:rsid w:val="00C02FC9"/>
    <w:rsid w:val="00C0466E"/>
    <w:rsid w:val="00C0509F"/>
    <w:rsid w:val="00C06FB1"/>
    <w:rsid w:val="00C10894"/>
    <w:rsid w:val="00C10E18"/>
    <w:rsid w:val="00C1241A"/>
    <w:rsid w:val="00C1287D"/>
    <w:rsid w:val="00C1728D"/>
    <w:rsid w:val="00C17366"/>
    <w:rsid w:val="00C176D0"/>
    <w:rsid w:val="00C201B8"/>
    <w:rsid w:val="00C22375"/>
    <w:rsid w:val="00C2381E"/>
    <w:rsid w:val="00C248FE"/>
    <w:rsid w:val="00C24C68"/>
    <w:rsid w:val="00C25685"/>
    <w:rsid w:val="00C31741"/>
    <w:rsid w:val="00C31C1C"/>
    <w:rsid w:val="00C32E8E"/>
    <w:rsid w:val="00C3360E"/>
    <w:rsid w:val="00C33D3F"/>
    <w:rsid w:val="00C33EF2"/>
    <w:rsid w:val="00C340F2"/>
    <w:rsid w:val="00C343E5"/>
    <w:rsid w:val="00C352A5"/>
    <w:rsid w:val="00C35629"/>
    <w:rsid w:val="00C3657C"/>
    <w:rsid w:val="00C366DD"/>
    <w:rsid w:val="00C36F8A"/>
    <w:rsid w:val="00C376B8"/>
    <w:rsid w:val="00C42CD8"/>
    <w:rsid w:val="00C45679"/>
    <w:rsid w:val="00C46BF5"/>
    <w:rsid w:val="00C5066D"/>
    <w:rsid w:val="00C5091D"/>
    <w:rsid w:val="00C50E3E"/>
    <w:rsid w:val="00C52B8A"/>
    <w:rsid w:val="00C54701"/>
    <w:rsid w:val="00C572AF"/>
    <w:rsid w:val="00C60691"/>
    <w:rsid w:val="00C61E2B"/>
    <w:rsid w:val="00C6246E"/>
    <w:rsid w:val="00C62A78"/>
    <w:rsid w:val="00C63570"/>
    <w:rsid w:val="00C66346"/>
    <w:rsid w:val="00C66915"/>
    <w:rsid w:val="00C6735C"/>
    <w:rsid w:val="00C677A8"/>
    <w:rsid w:val="00C67942"/>
    <w:rsid w:val="00C714FF"/>
    <w:rsid w:val="00C71820"/>
    <w:rsid w:val="00C71DBC"/>
    <w:rsid w:val="00C73D98"/>
    <w:rsid w:val="00C74B2D"/>
    <w:rsid w:val="00C75AFC"/>
    <w:rsid w:val="00C769CD"/>
    <w:rsid w:val="00C77EC0"/>
    <w:rsid w:val="00C77F01"/>
    <w:rsid w:val="00C828DC"/>
    <w:rsid w:val="00C82D83"/>
    <w:rsid w:val="00C868B0"/>
    <w:rsid w:val="00C87208"/>
    <w:rsid w:val="00C87F06"/>
    <w:rsid w:val="00C9099A"/>
    <w:rsid w:val="00C92596"/>
    <w:rsid w:val="00C9264B"/>
    <w:rsid w:val="00C94396"/>
    <w:rsid w:val="00C94E50"/>
    <w:rsid w:val="00C950EC"/>
    <w:rsid w:val="00C96105"/>
    <w:rsid w:val="00C96C4A"/>
    <w:rsid w:val="00CA09C3"/>
    <w:rsid w:val="00CA1310"/>
    <w:rsid w:val="00CA19E4"/>
    <w:rsid w:val="00CA25DD"/>
    <w:rsid w:val="00CA3364"/>
    <w:rsid w:val="00CA33AE"/>
    <w:rsid w:val="00CA74FD"/>
    <w:rsid w:val="00CB0D14"/>
    <w:rsid w:val="00CB27E7"/>
    <w:rsid w:val="00CB2838"/>
    <w:rsid w:val="00CB28AC"/>
    <w:rsid w:val="00CB3E21"/>
    <w:rsid w:val="00CB724A"/>
    <w:rsid w:val="00CB752A"/>
    <w:rsid w:val="00CC0010"/>
    <w:rsid w:val="00CC1E4A"/>
    <w:rsid w:val="00CC340E"/>
    <w:rsid w:val="00CC5301"/>
    <w:rsid w:val="00CD000D"/>
    <w:rsid w:val="00CD0486"/>
    <w:rsid w:val="00CD1900"/>
    <w:rsid w:val="00CD2466"/>
    <w:rsid w:val="00CD2C76"/>
    <w:rsid w:val="00CD3184"/>
    <w:rsid w:val="00CD3E6B"/>
    <w:rsid w:val="00CD4CD6"/>
    <w:rsid w:val="00CD64CC"/>
    <w:rsid w:val="00CE04B2"/>
    <w:rsid w:val="00CE2B61"/>
    <w:rsid w:val="00CE2B80"/>
    <w:rsid w:val="00CE5B25"/>
    <w:rsid w:val="00CF0144"/>
    <w:rsid w:val="00CF60B9"/>
    <w:rsid w:val="00CF68F0"/>
    <w:rsid w:val="00CF7131"/>
    <w:rsid w:val="00D013EF"/>
    <w:rsid w:val="00D01B51"/>
    <w:rsid w:val="00D02A30"/>
    <w:rsid w:val="00D0326B"/>
    <w:rsid w:val="00D03352"/>
    <w:rsid w:val="00D05D89"/>
    <w:rsid w:val="00D10E5D"/>
    <w:rsid w:val="00D11111"/>
    <w:rsid w:val="00D11C88"/>
    <w:rsid w:val="00D11EE7"/>
    <w:rsid w:val="00D133E4"/>
    <w:rsid w:val="00D1382A"/>
    <w:rsid w:val="00D14E8A"/>
    <w:rsid w:val="00D1587D"/>
    <w:rsid w:val="00D168FF"/>
    <w:rsid w:val="00D17009"/>
    <w:rsid w:val="00D20BCA"/>
    <w:rsid w:val="00D244B9"/>
    <w:rsid w:val="00D24994"/>
    <w:rsid w:val="00D2502A"/>
    <w:rsid w:val="00D267E0"/>
    <w:rsid w:val="00D30290"/>
    <w:rsid w:val="00D3241A"/>
    <w:rsid w:val="00D33B69"/>
    <w:rsid w:val="00D3605D"/>
    <w:rsid w:val="00D36D26"/>
    <w:rsid w:val="00D40E45"/>
    <w:rsid w:val="00D41778"/>
    <w:rsid w:val="00D41A86"/>
    <w:rsid w:val="00D430AD"/>
    <w:rsid w:val="00D4526A"/>
    <w:rsid w:val="00D46B0A"/>
    <w:rsid w:val="00D46CF5"/>
    <w:rsid w:val="00D47445"/>
    <w:rsid w:val="00D514F9"/>
    <w:rsid w:val="00D51FCB"/>
    <w:rsid w:val="00D528D1"/>
    <w:rsid w:val="00D53A54"/>
    <w:rsid w:val="00D57C45"/>
    <w:rsid w:val="00D6590C"/>
    <w:rsid w:val="00D65C34"/>
    <w:rsid w:val="00D66D5E"/>
    <w:rsid w:val="00D71298"/>
    <w:rsid w:val="00D71A3A"/>
    <w:rsid w:val="00D71B88"/>
    <w:rsid w:val="00D71DCF"/>
    <w:rsid w:val="00D7363D"/>
    <w:rsid w:val="00D7422C"/>
    <w:rsid w:val="00D769F0"/>
    <w:rsid w:val="00D77113"/>
    <w:rsid w:val="00D81B44"/>
    <w:rsid w:val="00D82C87"/>
    <w:rsid w:val="00D84C31"/>
    <w:rsid w:val="00D84DDF"/>
    <w:rsid w:val="00D853BE"/>
    <w:rsid w:val="00D86EA9"/>
    <w:rsid w:val="00D86FA0"/>
    <w:rsid w:val="00D874B7"/>
    <w:rsid w:val="00D917FA"/>
    <w:rsid w:val="00D91EFC"/>
    <w:rsid w:val="00D925AD"/>
    <w:rsid w:val="00D94024"/>
    <w:rsid w:val="00D9611B"/>
    <w:rsid w:val="00D96E3B"/>
    <w:rsid w:val="00DA038B"/>
    <w:rsid w:val="00DA1194"/>
    <w:rsid w:val="00DA1315"/>
    <w:rsid w:val="00DA19DB"/>
    <w:rsid w:val="00DA1E75"/>
    <w:rsid w:val="00DA4D24"/>
    <w:rsid w:val="00DA53FB"/>
    <w:rsid w:val="00DA6574"/>
    <w:rsid w:val="00DA6599"/>
    <w:rsid w:val="00DA7379"/>
    <w:rsid w:val="00DA7527"/>
    <w:rsid w:val="00DB0C2F"/>
    <w:rsid w:val="00DB1C9B"/>
    <w:rsid w:val="00DB1DF4"/>
    <w:rsid w:val="00DB21B3"/>
    <w:rsid w:val="00DB3C6F"/>
    <w:rsid w:val="00DB4E11"/>
    <w:rsid w:val="00DB602B"/>
    <w:rsid w:val="00DB69F5"/>
    <w:rsid w:val="00DB7CDF"/>
    <w:rsid w:val="00DC00AC"/>
    <w:rsid w:val="00DC0C92"/>
    <w:rsid w:val="00DC240C"/>
    <w:rsid w:val="00DC492F"/>
    <w:rsid w:val="00DC6745"/>
    <w:rsid w:val="00DD020E"/>
    <w:rsid w:val="00DD093D"/>
    <w:rsid w:val="00DE06B6"/>
    <w:rsid w:val="00DE361C"/>
    <w:rsid w:val="00DF06A3"/>
    <w:rsid w:val="00DF5D2B"/>
    <w:rsid w:val="00E01446"/>
    <w:rsid w:val="00E02249"/>
    <w:rsid w:val="00E02AC4"/>
    <w:rsid w:val="00E04203"/>
    <w:rsid w:val="00E04585"/>
    <w:rsid w:val="00E073E5"/>
    <w:rsid w:val="00E078D6"/>
    <w:rsid w:val="00E10374"/>
    <w:rsid w:val="00E110A6"/>
    <w:rsid w:val="00E1158A"/>
    <w:rsid w:val="00E13C41"/>
    <w:rsid w:val="00E15C1C"/>
    <w:rsid w:val="00E174CE"/>
    <w:rsid w:val="00E213BD"/>
    <w:rsid w:val="00E2223D"/>
    <w:rsid w:val="00E242D3"/>
    <w:rsid w:val="00E30BBC"/>
    <w:rsid w:val="00E3381D"/>
    <w:rsid w:val="00E33BEE"/>
    <w:rsid w:val="00E3532B"/>
    <w:rsid w:val="00E35BC2"/>
    <w:rsid w:val="00E3784C"/>
    <w:rsid w:val="00E40D8C"/>
    <w:rsid w:val="00E41CE2"/>
    <w:rsid w:val="00E44F77"/>
    <w:rsid w:val="00E478D3"/>
    <w:rsid w:val="00E479FB"/>
    <w:rsid w:val="00E508E8"/>
    <w:rsid w:val="00E514FA"/>
    <w:rsid w:val="00E52580"/>
    <w:rsid w:val="00E5264F"/>
    <w:rsid w:val="00E5299E"/>
    <w:rsid w:val="00E54305"/>
    <w:rsid w:val="00E5476F"/>
    <w:rsid w:val="00E555BD"/>
    <w:rsid w:val="00E555D1"/>
    <w:rsid w:val="00E57C12"/>
    <w:rsid w:val="00E60CF3"/>
    <w:rsid w:val="00E63191"/>
    <w:rsid w:val="00E660F7"/>
    <w:rsid w:val="00E72DC5"/>
    <w:rsid w:val="00E73AB0"/>
    <w:rsid w:val="00E74C5D"/>
    <w:rsid w:val="00E75DD5"/>
    <w:rsid w:val="00E76F08"/>
    <w:rsid w:val="00E80E64"/>
    <w:rsid w:val="00E858EE"/>
    <w:rsid w:val="00E86676"/>
    <w:rsid w:val="00E8769B"/>
    <w:rsid w:val="00E87CAF"/>
    <w:rsid w:val="00E90044"/>
    <w:rsid w:val="00E92F60"/>
    <w:rsid w:val="00E94B85"/>
    <w:rsid w:val="00E94D5E"/>
    <w:rsid w:val="00E969CA"/>
    <w:rsid w:val="00EA284F"/>
    <w:rsid w:val="00EA36B2"/>
    <w:rsid w:val="00EA4DC1"/>
    <w:rsid w:val="00EA5585"/>
    <w:rsid w:val="00EA5700"/>
    <w:rsid w:val="00EA66C9"/>
    <w:rsid w:val="00EB0F97"/>
    <w:rsid w:val="00EB24A2"/>
    <w:rsid w:val="00EB24BE"/>
    <w:rsid w:val="00EB2CE3"/>
    <w:rsid w:val="00EB34C9"/>
    <w:rsid w:val="00EB3581"/>
    <w:rsid w:val="00EB407F"/>
    <w:rsid w:val="00EB4BCC"/>
    <w:rsid w:val="00EB5186"/>
    <w:rsid w:val="00EB7C4E"/>
    <w:rsid w:val="00EB7CD3"/>
    <w:rsid w:val="00EC32FB"/>
    <w:rsid w:val="00EC368F"/>
    <w:rsid w:val="00EC4637"/>
    <w:rsid w:val="00EC5769"/>
    <w:rsid w:val="00EC6182"/>
    <w:rsid w:val="00EC6610"/>
    <w:rsid w:val="00ED06E4"/>
    <w:rsid w:val="00ED0C9B"/>
    <w:rsid w:val="00ED306F"/>
    <w:rsid w:val="00ED4656"/>
    <w:rsid w:val="00ED631E"/>
    <w:rsid w:val="00EE18DF"/>
    <w:rsid w:val="00EE57B5"/>
    <w:rsid w:val="00EE7020"/>
    <w:rsid w:val="00EE7842"/>
    <w:rsid w:val="00EF049F"/>
    <w:rsid w:val="00EF65C3"/>
    <w:rsid w:val="00EF6A9A"/>
    <w:rsid w:val="00EF710A"/>
    <w:rsid w:val="00EF78B5"/>
    <w:rsid w:val="00F0066A"/>
    <w:rsid w:val="00F01D31"/>
    <w:rsid w:val="00F05663"/>
    <w:rsid w:val="00F05DD6"/>
    <w:rsid w:val="00F061B3"/>
    <w:rsid w:val="00F064F5"/>
    <w:rsid w:val="00F065BF"/>
    <w:rsid w:val="00F06B6C"/>
    <w:rsid w:val="00F07855"/>
    <w:rsid w:val="00F0790C"/>
    <w:rsid w:val="00F14F10"/>
    <w:rsid w:val="00F154F1"/>
    <w:rsid w:val="00F158B9"/>
    <w:rsid w:val="00F21087"/>
    <w:rsid w:val="00F256BE"/>
    <w:rsid w:val="00F3013D"/>
    <w:rsid w:val="00F314AA"/>
    <w:rsid w:val="00F32BFE"/>
    <w:rsid w:val="00F332C9"/>
    <w:rsid w:val="00F34890"/>
    <w:rsid w:val="00F3613B"/>
    <w:rsid w:val="00F366E1"/>
    <w:rsid w:val="00F4247F"/>
    <w:rsid w:val="00F43533"/>
    <w:rsid w:val="00F44B09"/>
    <w:rsid w:val="00F44F6E"/>
    <w:rsid w:val="00F45DE2"/>
    <w:rsid w:val="00F45F01"/>
    <w:rsid w:val="00F51351"/>
    <w:rsid w:val="00F55558"/>
    <w:rsid w:val="00F61278"/>
    <w:rsid w:val="00F61524"/>
    <w:rsid w:val="00F6203A"/>
    <w:rsid w:val="00F63213"/>
    <w:rsid w:val="00F6342E"/>
    <w:rsid w:val="00F640C1"/>
    <w:rsid w:val="00F663AB"/>
    <w:rsid w:val="00F6751B"/>
    <w:rsid w:val="00F70A8A"/>
    <w:rsid w:val="00F7191C"/>
    <w:rsid w:val="00F72774"/>
    <w:rsid w:val="00F76334"/>
    <w:rsid w:val="00F802CD"/>
    <w:rsid w:val="00F8226A"/>
    <w:rsid w:val="00F833F9"/>
    <w:rsid w:val="00F87631"/>
    <w:rsid w:val="00F87641"/>
    <w:rsid w:val="00F879F2"/>
    <w:rsid w:val="00F87B9D"/>
    <w:rsid w:val="00F9241F"/>
    <w:rsid w:val="00F9377C"/>
    <w:rsid w:val="00F93D53"/>
    <w:rsid w:val="00F94AE1"/>
    <w:rsid w:val="00F9572C"/>
    <w:rsid w:val="00F969EB"/>
    <w:rsid w:val="00F97563"/>
    <w:rsid w:val="00F97E40"/>
    <w:rsid w:val="00F97EEE"/>
    <w:rsid w:val="00FA2EFB"/>
    <w:rsid w:val="00FA335D"/>
    <w:rsid w:val="00FA54B9"/>
    <w:rsid w:val="00FB0AC8"/>
    <w:rsid w:val="00FB33E7"/>
    <w:rsid w:val="00FB406F"/>
    <w:rsid w:val="00FB5792"/>
    <w:rsid w:val="00FB5EA1"/>
    <w:rsid w:val="00FB668E"/>
    <w:rsid w:val="00FB7440"/>
    <w:rsid w:val="00FC10ED"/>
    <w:rsid w:val="00FC2989"/>
    <w:rsid w:val="00FC2D54"/>
    <w:rsid w:val="00FC456C"/>
    <w:rsid w:val="00FC539A"/>
    <w:rsid w:val="00FC62A9"/>
    <w:rsid w:val="00FC7AE2"/>
    <w:rsid w:val="00FD04DF"/>
    <w:rsid w:val="00FD0970"/>
    <w:rsid w:val="00FD23CB"/>
    <w:rsid w:val="00FD30CC"/>
    <w:rsid w:val="00FD3116"/>
    <w:rsid w:val="00FD3AE0"/>
    <w:rsid w:val="00FD4BE7"/>
    <w:rsid w:val="00FD620E"/>
    <w:rsid w:val="00FD7F88"/>
    <w:rsid w:val="00FE01A0"/>
    <w:rsid w:val="00FE41EE"/>
    <w:rsid w:val="00FE45DE"/>
    <w:rsid w:val="00FE6060"/>
    <w:rsid w:val="00FE6392"/>
    <w:rsid w:val="00FF2086"/>
    <w:rsid w:val="00FF3161"/>
    <w:rsid w:val="00FF381C"/>
    <w:rsid w:val="00FF461A"/>
    <w:rsid w:val="00FF6285"/>
    <w:rsid w:val="00FF6C58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6246E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2A5D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2A5D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locked/>
    <w:rsid w:val="002A5D7C"/>
    <w:rPr>
      <w:rFonts w:ascii="Arial" w:hAnsi="Arial" w:cs="Times New Roman"/>
      <w:b/>
      <w:i/>
      <w:sz w:val="28"/>
    </w:rPr>
  </w:style>
  <w:style w:type="character" w:customStyle="1" w:styleId="Nadpis4Char">
    <w:name w:val="Nadpis 4 Char"/>
    <w:link w:val="Nadpis4"/>
    <w:uiPriority w:val="9"/>
    <w:locked/>
    <w:rsid w:val="002A5D7C"/>
    <w:rPr>
      <w:rFonts w:cs="Times New Roman"/>
      <w:b/>
      <w:sz w:val="28"/>
    </w:rPr>
  </w:style>
  <w:style w:type="paragraph" w:styleId="Zkladntext">
    <w:name w:val="Body Text"/>
    <w:basedOn w:val="Normlny"/>
    <w:link w:val="ZkladntextChar"/>
    <w:uiPriority w:val="99"/>
    <w:rsid w:val="00C6246E"/>
    <w:rPr>
      <w:b/>
      <w:szCs w:val="20"/>
    </w:rPr>
  </w:style>
  <w:style w:type="character" w:customStyle="1" w:styleId="ZkladntextChar">
    <w:name w:val="Základný text Char"/>
    <w:link w:val="Zkladntext"/>
    <w:uiPriority w:val="99"/>
    <w:locked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C6246E"/>
    <w:rPr>
      <w:szCs w:val="20"/>
    </w:rPr>
  </w:style>
  <w:style w:type="character" w:customStyle="1" w:styleId="Zkladntext2Char">
    <w:name w:val="Základný text 2 Char"/>
    <w:link w:val="Zkladntext2"/>
    <w:uiPriority w:val="99"/>
    <w:locked/>
    <w:rPr>
      <w:rFonts w:cs="Times New Roman"/>
      <w:sz w:val="24"/>
    </w:rPr>
  </w:style>
  <w:style w:type="paragraph" w:styleId="Hlavika">
    <w:name w:val="header"/>
    <w:basedOn w:val="Normlny"/>
    <w:link w:val="HlavikaChar"/>
    <w:uiPriority w:val="99"/>
    <w:rsid w:val="00C624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3336C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</w:rPr>
  </w:style>
  <w:style w:type="character" w:styleId="slostrany">
    <w:name w:val="page number"/>
    <w:uiPriority w:val="99"/>
    <w:rsid w:val="00EB24A2"/>
    <w:rPr>
      <w:rFonts w:cs="Times New Roman"/>
    </w:rPr>
  </w:style>
  <w:style w:type="character" w:styleId="Zvraznenie">
    <w:name w:val="Emphasis"/>
    <w:uiPriority w:val="20"/>
    <w:qFormat/>
    <w:rsid w:val="00BB0377"/>
    <w:rPr>
      <w:rFonts w:cs="Times New Roman"/>
      <w:i/>
    </w:rPr>
  </w:style>
  <w:style w:type="paragraph" w:styleId="Obyajntext">
    <w:name w:val="Plain Text"/>
    <w:basedOn w:val="Normlny"/>
    <w:link w:val="ObyajntextChar"/>
    <w:uiPriority w:val="99"/>
    <w:rsid w:val="00FB5792"/>
    <w:rPr>
      <w:rFonts w:ascii="Consolas" w:hAnsi="Consolas"/>
      <w:noProof/>
      <w:sz w:val="20"/>
      <w:szCs w:val="20"/>
      <w:lang w:val="sk-SK" w:eastAsia="sk-SK"/>
    </w:rPr>
  </w:style>
  <w:style w:type="character" w:customStyle="1" w:styleId="ObyajntextChar">
    <w:name w:val="Obyčajný text Char"/>
    <w:link w:val="Obyajntext"/>
    <w:uiPriority w:val="99"/>
    <w:semiHidden/>
    <w:locked/>
    <w:rPr>
      <w:rFonts w:ascii="Courier New" w:hAnsi="Courier New" w:cs="Times New Roman"/>
    </w:rPr>
  </w:style>
  <w:style w:type="paragraph" w:customStyle="1" w:styleId="BodyText21">
    <w:name w:val="Body Text 21"/>
    <w:basedOn w:val="Normlny"/>
    <w:rsid w:val="002A5D7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2A5D7C"/>
    <w:pPr>
      <w:spacing w:after="120"/>
      <w:ind w:left="540"/>
    </w:pPr>
    <w:rPr>
      <w:rFonts w:ascii="Verdana" w:hAnsi="Verdana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2A5D7C"/>
    <w:rPr>
      <w:rFonts w:ascii="Verdana" w:hAnsi="Verdana" w:cs="Times New Roman"/>
      <w:sz w:val="24"/>
      <w:lang w:val="x-none" w:eastAsia="en-US"/>
    </w:rPr>
  </w:style>
  <w:style w:type="paragraph" w:styleId="Nzov">
    <w:name w:val="Title"/>
    <w:basedOn w:val="Normlny"/>
    <w:link w:val="NzovChar"/>
    <w:uiPriority w:val="10"/>
    <w:qFormat/>
    <w:rsid w:val="002A5D7C"/>
    <w:pPr>
      <w:jc w:val="center"/>
    </w:pPr>
    <w:rPr>
      <w:sz w:val="28"/>
      <w:szCs w:val="20"/>
    </w:rPr>
  </w:style>
  <w:style w:type="character" w:customStyle="1" w:styleId="NzovChar">
    <w:name w:val="Názov Char"/>
    <w:link w:val="Nzov"/>
    <w:uiPriority w:val="10"/>
    <w:locked/>
    <w:rsid w:val="002A5D7C"/>
    <w:rPr>
      <w:rFonts w:cs="Times New Roman"/>
      <w:sz w:val="28"/>
    </w:rPr>
  </w:style>
  <w:style w:type="paragraph" w:customStyle="1" w:styleId="Action">
    <w:name w:val="Action"/>
    <w:basedOn w:val="Zkladntext"/>
    <w:rsid w:val="002A5D7C"/>
    <w:pPr>
      <w:numPr>
        <w:numId w:val="7"/>
      </w:numPr>
      <w:spacing w:after="120" w:line="240" w:lineRule="atLeast"/>
      <w:ind w:left="1208" w:hanging="357"/>
      <w:jc w:val="both"/>
    </w:pPr>
    <w:rPr>
      <w:rFonts w:ascii="Verdana" w:hAnsi="Verdana" w:cs="Verdana"/>
      <w:b w:val="0"/>
      <w:i/>
      <w:iCs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2A5D7C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2A5D7C"/>
    <w:rPr>
      <w:rFonts w:cs="Times New Roman"/>
      <w:sz w:val="16"/>
    </w:rPr>
  </w:style>
  <w:style w:type="character" w:customStyle="1" w:styleId="StyleHeading4UnderlineChar">
    <w:name w:val="Style Heading 4 + Underline Char"/>
    <w:rsid w:val="002A5D7C"/>
    <w:rPr>
      <w:rFonts w:ascii="Verdana" w:hAnsi="Verdana"/>
      <w:kern w:val="20"/>
      <w:sz w:val="22"/>
      <w:u w:val="single"/>
      <w:lang w:val="en-US" w:eastAsia="en-US"/>
    </w:rPr>
  </w:style>
  <w:style w:type="table" w:styleId="Mriekatabuky">
    <w:name w:val="Table Grid"/>
    <w:basedOn w:val="Normlnatabuka"/>
    <w:uiPriority w:val="59"/>
    <w:rsid w:val="002A5D7C"/>
    <w:rPr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2A5D7C"/>
    <w:rPr>
      <w:rFonts w:cs="Times New Roman"/>
      <w:color w:val="000060"/>
      <w:u w:val="single"/>
    </w:rPr>
  </w:style>
  <w:style w:type="paragraph" w:customStyle="1" w:styleId="Nosite">
    <w:name w:val="Nositeľ"/>
    <w:basedOn w:val="Normlny"/>
    <w:next w:val="Nadpis2"/>
    <w:rsid w:val="002A5D7C"/>
    <w:pPr>
      <w:spacing w:before="240" w:after="120"/>
      <w:ind w:left="567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2A5D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2A5D7C"/>
    <w:rPr>
      <w:rFonts w:ascii="Tahoma" w:hAnsi="Tahoma" w:cs="Times New Roman"/>
      <w:sz w:val="16"/>
    </w:rPr>
  </w:style>
  <w:style w:type="character" w:styleId="Odkaznakomentr">
    <w:name w:val="annotation reference"/>
    <w:uiPriority w:val="99"/>
    <w:rsid w:val="0068714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8714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68714C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8714C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68714C"/>
    <w:rPr>
      <w:rFonts w:cs="Times New Roman"/>
      <w:b/>
    </w:rPr>
  </w:style>
  <w:style w:type="paragraph" w:styleId="Textpoznmkypodiarou">
    <w:name w:val="footnote text"/>
    <w:basedOn w:val="Normlny"/>
    <w:link w:val="TextpoznmkypodiarouChar"/>
    <w:uiPriority w:val="99"/>
    <w:rsid w:val="009514E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9514EE"/>
    <w:rPr>
      <w:rFonts w:cs="Times New Roman"/>
    </w:rPr>
  </w:style>
  <w:style w:type="character" w:styleId="Odkaznapoznmkupodiarou">
    <w:name w:val="footnote reference"/>
    <w:uiPriority w:val="99"/>
    <w:rsid w:val="009514EE"/>
    <w:rPr>
      <w:rFonts w:cs="Times New Roman"/>
      <w:vertAlign w:val="superscript"/>
    </w:rPr>
  </w:style>
  <w:style w:type="character" w:customStyle="1" w:styleId="ppp-input-value1">
    <w:name w:val="ppp-input-value1"/>
    <w:rsid w:val="001E761C"/>
    <w:rPr>
      <w:rFonts w:ascii="Tahoma" w:hAnsi="Tahoma" w:cs="Tahoma"/>
      <w:color w:val="837A7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6246E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2A5D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2A5D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locked/>
    <w:rsid w:val="002A5D7C"/>
    <w:rPr>
      <w:rFonts w:ascii="Arial" w:hAnsi="Arial" w:cs="Times New Roman"/>
      <w:b/>
      <w:i/>
      <w:sz w:val="28"/>
    </w:rPr>
  </w:style>
  <w:style w:type="character" w:customStyle="1" w:styleId="Nadpis4Char">
    <w:name w:val="Nadpis 4 Char"/>
    <w:link w:val="Nadpis4"/>
    <w:uiPriority w:val="9"/>
    <w:locked/>
    <w:rsid w:val="002A5D7C"/>
    <w:rPr>
      <w:rFonts w:cs="Times New Roman"/>
      <w:b/>
      <w:sz w:val="28"/>
    </w:rPr>
  </w:style>
  <w:style w:type="paragraph" w:styleId="Zkladntext">
    <w:name w:val="Body Text"/>
    <w:basedOn w:val="Normlny"/>
    <w:link w:val="ZkladntextChar"/>
    <w:uiPriority w:val="99"/>
    <w:rsid w:val="00C6246E"/>
    <w:rPr>
      <w:b/>
      <w:szCs w:val="20"/>
    </w:rPr>
  </w:style>
  <w:style w:type="character" w:customStyle="1" w:styleId="ZkladntextChar">
    <w:name w:val="Základný text Char"/>
    <w:link w:val="Zkladntext"/>
    <w:uiPriority w:val="99"/>
    <w:locked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C6246E"/>
    <w:rPr>
      <w:szCs w:val="20"/>
    </w:rPr>
  </w:style>
  <w:style w:type="character" w:customStyle="1" w:styleId="Zkladntext2Char">
    <w:name w:val="Základný text 2 Char"/>
    <w:link w:val="Zkladntext2"/>
    <w:uiPriority w:val="99"/>
    <w:locked/>
    <w:rPr>
      <w:rFonts w:cs="Times New Roman"/>
      <w:sz w:val="24"/>
    </w:rPr>
  </w:style>
  <w:style w:type="paragraph" w:styleId="Hlavika">
    <w:name w:val="header"/>
    <w:basedOn w:val="Normlny"/>
    <w:link w:val="HlavikaChar"/>
    <w:uiPriority w:val="99"/>
    <w:rsid w:val="00C624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3336C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</w:rPr>
  </w:style>
  <w:style w:type="character" w:styleId="slostrany">
    <w:name w:val="page number"/>
    <w:uiPriority w:val="99"/>
    <w:rsid w:val="00EB24A2"/>
    <w:rPr>
      <w:rFonts w:cs="Times New Roman"/>
    </w:rPr>
  </w:style>
  <w:style w:type="character" w:styleId="Zvraznenie">
    <w:name w:val="Emphasis"/>
    <w:uiPriority w:val="20"/>
    <w:qFormat/>
    <w:rsid w:val="00BB0377"/>
    <w:rPr>
      <w:rFonts w:cs="Times New Roman"/>
      <w:i/>
    </w:rPr>
  </w:style>
  <w:style w:type="paragraph" w:styleId="Obyajntext">
    <w:name w:val="Plain Text"/>
    <w:basedOn w:val="Normlny"/>
    <w:link w:val="ObyajntextChar"/>
    <w:uiPriority w:val="99"/>
    <w:rsid w:val="00FB5792"/>
    <w:rPr>
      <w:rFonts w:ascii="Consolas" w:hAnsi="Consolas"/>
      <w:noProof/>
      <w:sz w:val="20"/>
      <w:szCs w:val="20"/>
      <w:lang w:val="sk-SK" w:eastAsia="sk-SK"/>
    </w:rPr>
  </w:style>
  <w:style w:type="character" w:customStyle="1" w:styleId="ObyajntextChar">
    <w:name w:val="Obyčajný text Char"/>
    <w:link w:val="Obyajntext"/>
    <w:uiPriority w:val="99"/>
    <w:semiHidden/>
    <w:locked/>
    <w:rPr>
      <w:rFonts w:ascii="Courier New" w:hAnsi="Courier New" w:cs="Times New Roman"/>
    </w:rPr>
  </w:style>
  <w:style w:type="paragraph" w:customStyle="1" w:styleId="BodyText21">
    <w:name w:val="Body Text 21"/>
    <w:basedOn w:val="Normlny"/>
    <w:rsid w:val="002A5D7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2A5D7C"/>
    <w:pPr>
      <w:spacing w:after="120"/>
      <w:ind w:left="540"/>
    </w:pPr>
    <w:rPr>
      <w:rFonts w:ascii="Verdana" w:hAnsi="Verdana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2A5D7C"/>
    <w:rPr>
      <w:rFonts w:ascii="Verdana" w:hAnsi="Verdana" w:cs="Times New Roman"/>
      <w:sz w:val="24"/>
      <w:lang w:val="x-none" w:eastAsia="en-US"/>
    </w:rPr>
  </w:style>
  <w:style w:type="paragraph" w:styleId="Nzov">
    <w:name w:val="Title"/>
    <w:basedOn w:val="Normlny"/>
    <w:link w:val="NzovChar"/>
    <w:uiPriority w:val="10"/>
    <w:qFormat/>
    <w:rsid w:val="002A5D7C"/>
    <w:pPr>
      <w:jc w:val="center"/>
    </w:pPr>
    <w:rPr>
      <w:sz w:val="28"/>
      <w:szCs w:val="20"/>
    </w:rPr>
  </w:style>
  <w:style w:type="character" w:customStyle="1" w:styleId="NzovChar">
    <w:name w:val="Názov Char"/>
    <w:link w:val="Nzov"/>
    <w:uiPriority w:val="10"/>
    <w:locked/>
    <w:rsid w:val="002A5D7C"/>
    <w:rPr>
      <w:rFonts w:cs="Times New Roman"/>
      <w:sz w:val="28"/>
    </w:rPr>
  </w:style>
  <w:style w:type="paragraph" w:customStyle="1" w:styleId="Action">
    <w:name w:val="Action"/>
    <w:basedOn w:val="Zkladntext"/>
    <w:rsid w:val="002A5D7C"/>
    <w:pPr>
      <w:numPr>
        <w:numId w:val="7"/>
      </w:numPr>
      <w:spacing w:after="120" w:line="240" w:lineRule="atLeast"/>
      <w:ind w:left="1208" w:hanging="357"/>
      <w:jc w:val="both"/>
    </w:pPr>
    <w:rPr>
      <w:rFonts w:ascii="Verdana" w:hAnsi="Verdana" w:cs="Verdana"/>
      <w:b w:val="0"/>
      <w:i/>
      <w:iCs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2A5D7C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2A5D7C"/>
    <w:rPr>
      <w:rFonts w:cs="Times New Roman"/>
      <w:sz w:val="16"/>
    </w:rPr>
  </w:style>
  <w:style w:type="character" w:customStyle="1" w:styleId="StyleHeading4UnderlineChar">
    <w:name w:val="Style Heading 4 + Underline Char"/>
    <w:rsid w:val="002A5D7C"/>
    <w:rPr>
      <w:rFonts w:ascii="Verdana" w:hAnsi="Verdana"/>
      <w:kern w:val="20"/>
      <w:sz w:val="22"/>
      <w:u w:val="single"/>
      <w:lang w:val="en-US" w:eastAsia="en-US"/>
    </w:rPr>
  </w:style>
  <w:style w:type="table" w:styleId="Mriekatabuky">
    <w:name w:val="Table Grid"/>
    <w:basedOn w:val="Normlnatabuka"/>
    <w:uiPriority w:val="59"/>
    <w:rsid w:val="002A5D7C"/>
    <w:rPr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2A5D7C"/>
    <w:rPr>
      <w:rFonts w:cs="Times New Roman"/>
      <w:color w:val="000060"/>
      <w:u w:val="single"/>
    </w:rPr>
  </w:style>
  <w:style w:type="paragraph" w:customStyle="1" w:styleId="Nosite">
    <w:name w:val="Nositeľ"/>
    <w:basedOn w:val="Normlny"/>
    <w:next w:val="Nadpis2"/>
    <w:rsid w:val="002A5D7C"/>
    <w:pPr>
      <w:spacing w:before="240" w:after="120"/>
      <w:ind w:left="567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2A5D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2A5D7C"/>
    <w:rPr>
      <w:rFonts w:ascii="Tahoma" w:hAnsi="Tahoma" w:cs="Times New Roman"/>
      <w:sz w:val="16"/>
    </w:rPr>
  </w:style>
  <w:style w:type="character" w:styleId="Odkaznakomentr">
    <w:name w:val="annotation reference"/>
    <w:uiPriority w:val="99"/>
    <w:rsid w:val="0068714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8714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68714C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8714C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68714C"/>
    <w:rPr>
      <w:rFonts w:cs="Times New Roman"/>
      <w:b/>
    </w:rPr>
  </w:style>
  <w:style w:type="paragraph" w:styleId="Textpoznmkypodiarou">
    <w:name w:val="footnote text"/>
    <w:basedOn w:val="Normlny"/>
    <w:link w:val="TextpoznmkypodiarouChar"/>
    <w:uiPriority w:val="99"/>
    <w:rsid w:val="009514E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9514EE"/>
    <w:rPr>
      <w:rFonts w:cs="Times New Roman"/>
    </w:rPr>
  </w:style>
  <w:style w:type="character" w:styleId="Odkaznapoznmkupodiarou">
    <w:name w:val="footnote reference"/>
    <w:uiPriority w:val="99"/>
    <w:rsid w:val="009514EE"/>
    <w:rPr>
      <w:rFonts w:cs="Times New Roman"/>
      <w:vertAlign w:val="superscript"/>
    </w:rPr>
  </w:style>
  <w:style w:type="character" w:customStyle="1" w:styleId="ppp-input-value1">
    <w:name w:val="ppp-input-value1"/>
    <w:rsid w:val="001E761C"/>
    <w:rPr>
      <w:rFonts w:ascii="Tahoma" w:hAnsi="Tahoma" w:cs="Tahoma"/>
      <w:color w:val="837A7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910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5227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77051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single" w:sz="6" w:space="0" w:color="696969"/>
                                        <w:left w:val="single" w:sz="6" w:space="0" w:color="696969"/>
                                        <w:bottom w:val="single" w:sz="6" w:space="0" w:color="696969"/>
                                        <w:right w:val="single" w:sz="6" w:space="0" w:color="696969"/>
                                      </w:divBdr>
                                      <w:divsChild>
                                        <w:div w:id="25810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0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new_http_browser_jscript('?MOD=html&amp;FIR=demo&amp;JEL=n&amp;AGE=zak&amp;TNU=n&amp;IDC=79%2F2008%20Z.z.'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04/222/201606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nv.sk/swift_data/source/verejna_sprava/vh_ziadosti_4_ods1/hroby_odsek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7A95-F122-455C-80AD-73486FAF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mhsr</Company>
  <LinksUpToDate>false</LinksUpToDate>
  <CharactersWithSpaces>34552</CharactersWithSpaces>
  <SharedDoc>false</SharedDoc>
  <HLinks>
    <vt:vector size="18" baseType="variant">
      <vt:variant>
        <vt:i4>7733331</vt:i4>
      </vt:variant>
      <vt:variant>
        <vt:i4>9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javascript:new_http_browser_jscript('?MOD=html&amp;FIR=demo&amp;JEL=n&amp;AGE=zak&amp;TNU=n&amp;IDC=79%2F2008%20Z.z.')</vt:lpwstr>
      </vt:variant>
      <vt:variant>
        <vt:lpwstr/>
      </vt:variant>
      <vt:variant>
        <vt:i4>8126490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https://www.slov-lex.sk/pravne-predpisy/SK/ZZ/2004/222/20160601</vt:lpwstr>
      </vt:variant>
      <vt:variant>
        <vt:lpwstr>prilohy.priloha-priloha_c_7_k_zakonu_c_222_2004_z_z_v_zneni_zakona_c_656_2006_z_z.oznacenie</vt:lpwstr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https://www.minv.sk/swift_data/source/verejna_sprava/vh_ziadosti_4_ods1/hroby_odsek1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Duricova Elena</cp:lastModifiedBy>
  <cp:revision>2</cp:revision>
  <cp:lastPrinted>2018-08-09T08:58:00Z</cp:lastPrinted>
  <dcterms:created xsi:type="dcterms:W3CDTF">2018-09-27T13:04:00Z</dcterms:created>
  <dcterms:modified xsi:type="dcterms:W3CDTF">2018-09-27T13:04:00Z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justify;"&gt;Predbežná informácia týkajúca sa návrhu nariadenia vlády Slovenskej republiky, ktorým sa ustanovuje suma minimálnej mzdy na rok 2019 (ďalej len „návrh nariadenia“) bola zverejnená na portáli Slov-Lex dňa 8. júna 2018 s možn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Mikuláš Hamuľák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ustanovuje suma minimálnej mzdy na rok 2019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 ods. 5  zákona č. 663/2007 Z. z. o minimálnej mzde v znení zákona_x000d_
č. 354/2008 Z. z. a úloha č. 3 v mesiaci október 2018 z Plánu legislatívnych úloh vlády Slovenskej republiky na rok 2018</vt:lpwstr>
  </property>
  <property fmtid="{D5CDD505-2E9C-101B-9397-08002B2CF9AE}" pid="23" name="FSC#SKEDITIONSLOVLEX@103.510:plnynazovpredpis">
    <vt:lpwstr> Nariadenie vlády  Slovenskej republiky, ktorým sa ustanovuje suma minimálnej mzdy na rok 2019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18094/2018-M_OPVA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LP/2018/619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Nové smernice sa nepreberajú, nariadenia alebo rozhodnutia sa neimplementujú.</vt:lpwstr>
  </property>
  <property fmtid="{D5CDD505-2E9C-101B-9397-08002B2CF9AE}" pid="53" name="FSC#SKEDITIONSLOVLEX@103.510:AttrStrListDocPropLehotaNaPredlozenie">
    <vt:lpwstr>Nové smernice sa nepreberajú.</vt:lpwstr>
  </property>
  <property fmtid="{D5CDD505-2E9C-101B-9397-08002B2CF9AE}" pid="5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>21. 8. 2018</vt:lpwstr>
  </property>
  <property fmtid="{D5CDD505-2E9C-101B-9397-08002B2CF9AE}" pid="59" name="FSC#SKEDITIONSLOVLEX@103.510:AttrDateDocPropUkonceniePKK">
    <vt:lpwstr>24. 8. 2018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66" name="FSC#SKEDITIONSLOVLEX@103.510:AttrStrListDocPropAltRiesenia">
    <vt:lpwstr>Úprava sumy minimálnej mzdy nariadením vlády vyplýva zo zákona č. 663/2007 Z. z. o minimálnej mzde v znení neskorších predpisov. Ako alternatívne riešenie bolo zvažované zvýšenie sumy minimálnej mzdy na sumu vyplývajúcu z valorizačného mechanizmu upravené</vt:lpwstr>
  </property>
  <property fmtid="{D5CDD505-2E9C-101B-9397-08002B2CF9AE}" pid="67" name="FSC#SKEDITIONSLOVLEX@103.510:AttrStrListDocPropStanoviskoGest">
    <vt:lpwstr>STANOVISKO KOMISIE (PREDBEŽNÉ PRIPOMIENKOVÉ KONANIE)K NÁVRHUNARIADENIA VLÁDY SLOVENSKEJ REPUBLIKY, KTORÝM SA USTANOVUJE SUMA MINIMÁLNEJ MZDY NA ROK 2019 I. Úvod: Ministerstvo práce, sociálnych vecí a rodiny Slovenskej republiky dňa 20.augusta 2018 predlož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ustanovuje suma minimálnej mzdy na rok 2019 (ďalej len „návrh nariadenia vlády“) sa predkladá na základe § 2 ods. 1 zákona č.&amp;nbsp;663/2007 Z. z. o minimálnej mzde v&amp;nb</vt:lpwstr>
  </property>
  <property fmtid="{D5CDD505-2E9C-101B-9397-08002B2CF9AE}" pid="150" name="FSC#SKEDITIONSLOVLEX@103.510:vytvorenedna">
    <vt:lpwstr>28. 8. 2018</vt:lpwstr>
  </property>
  <property fmtid="{D5CDD505-2E9C-101B-9397-08002B2CF9AE}" pid="151" name="FSC#COOSYSTEM@1.1:Container">
    <vt:lpwstr>COO.2145.1000.3.2937244</vt:lpwstr>
  </property>
  <property fmtid="{D5CDD505-2E9C-101B-9397-08002B2CF9AE}" pid="152" name="FSC#FSCFOLIO@1.1001:docpropproject">
    <vt:lpwstr/>
  </property>
</Properties>
</file>