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70" w:rsidRPr="000032C8" w:rsidRDefault="00007D70" w:rsidP="00007D70">
      <w:pPr>
        <w:adjustRightInd w:val="0"/>
        <w:jc w:val="center"/>
        <w:rPr>
          <w:rFonts w:cs="Calibri"/>
          <w:b/>
          <w:caps/>
          <w:sz w:val="28"/>
          <w:szCs w:val="28"/>
        </w:rPr>
      </w:pPr>
      <w:bookmarkStart w:id="0" w:name="_GoBack"/>
      <w:bookmarkEnd w:id="0"/>
      <w:r w:rsidRPr="000032C8">
        <w:rPr>
          <w:rFonts w:cs="Calibri"/>
          <w:b/>
          <w:caps/>
          <w:sz w:val="28"/>
          <w:szCs w:val="28"/>
        </w:rPr>
        <w:t>Vyhodnotenie medzirezortného pripomienkového konania</w:t>
      </w:r>
    </w:p>
    <w:p w:rsidR="00007D70" w:rsidRPr="00024402" w:rsidRDefault="00007D70" w:rsidP="00007D70">
      <w:pPr>
        <w:jc w:val="center"/>
      </w:pPr>
    </w:p>
    <w:p w:rsidR="00007D70" w:rsidRDefault="00007D70" w:rsidP="00007D70">
      <w:pPr>
        <w:jc w:val="center"/>
        <w:rPr>
          <w:rFonts w:ascii="Times" w:hAnsi="Times" w:cs="Times"/>
          <w:sz w:val="25"/>
          <w:szCs w:val="25"/>
        </w:rPr>
      </w:pPr>
    </w:p>
    <w:p w:rsidR="00007D70" w:rsidRDefault="00007D70" w:rsidP="00007D70">
      <w:pPr>
        <w:jc w:val="center"/>
        <w:rPr>
          <w:rFonts w:ascii="Times" w:hAnsi="Times" w:cs="Times"/>
          <w:sz w:val="25"/>
          <w:szCs w:val="25"/>
        </w:rPr>
      </w:pPr>
      <w:r>
        <w:rPr>
          <w:rFonts w:ascii="Times" w:hAnsi="Times" w:cs="Times"/>
          <w:sz w:val="25"/>
          <w:szCs w:val="25"/>
        </w:rPr>
        <w:t>Návrh na uzavretie Dohody o komplexnom a posilnenom partnerstve medzi Európskou úniou a Európskym spoločenstvom pre atómovú energiu a ich členskými štátmi na jednej strane a Arménskou republikou na strane druhej</w:t>
      </w:r>
    </w:p>
    <w:p w:rsidR="002C7147" w:rsidRDefault="002C7147" w:rsidP="00007D70">
      <w:pPr>
        <w:jc w:val="center"/>
        <w:rPr>
          <w:rFonts w:ascii="Times" w:hAnsi="Times" w:cs="Times"/>
          <w:sz w:val="25"/>
          <w:szCs w:val="25"/>
        </w:rPr>
      </w:pPr>
    </w:p>
    <w:p w:rsidR="002C7147" w:rsidRDefault="002C7147" w:rsidP="00007D70">
      <w:pPr>
        <w:jc w:val="center"/>
        <w:rPr>
          <w:rFonts w:ascii="Times" w:hAnsi="Times" w:cs="Times"/>
          <w:sz w:val="25"/>
          <w:szCs w:val="25"/>
        </w:rPr>
      </w:pPr>
    </w:p>
    <w:p w:rsidR="00007D70" w:rsidRPr="00024402" w:rsidRDefault="00007D70" w:rsidP="00007D70"/>
    <w:tbl>
      <w:tblPr>
        <w:tblW w:w="15598" w:type="dxa"/>
        <w:tblCellMar>
          <w:left w:w="0" w:type="dxa"/>
          <w:right w:w="0" w:type="dxa"/>
        </w:tblCellMar>
        <w:tblLook w:val="0000" w:firstRow="0" w:lastRow="0" w:firstColumn="0" w:lastColumn="0" w:noHBand="0" w:noVBand="0"/>
      </w:tblPr>
      <w:tblGrid>
        <w:gridCol w:w="7797"/>
        <w:gridCol w:w="7801"/>
      </w:tblGrid>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r w:rsidRPr="000032C8">
              <w:rPr>
                <w:rFonts w:cs="Calibri"/>
                <w:sz w:val="25"/>
                <w:szCs w:val="25"/>
              </w:rPr>
              <w:t>Spôsob pripomienkového konania</w:t>
            </w:r>
          </w:p>
        </w:tc>
        <w:tc>
          <w:tcPr>
            <w:tcW w:w="7801" w:type="dxa"/>
            <w:tcBorders>
              <w:top w:val="nil"/>
              <w:left w:val="nil"/>
              <w:bottom w:val="nil"/>
              <w:right w:val="nil"/>
            </w:tcBorders>
          </w:tcPr>
          <w:p w:rsidR="00007D70" w:rsidRPr="00024402" w:rsidRDefault="00007D70" w:rsidP="00007D70">
            <w:pPr>
              <w:rPr>
                <w:rFonts w:cs="Calibri"/>
                <w:sz w:val="20"/>
                <w:szCs w:val="20"/>
              </w:rPr>
            </w:pPr>
            <w:r w:rsidRPr="00024402">
              <w:rPr>
                <w:rFonts w:cs="Calibri"/>
                <w:sz w:val="20"/>
                <w:szCs w:val="20"/>
              </w:rPr>
              <w:t> </w:t>
            </w: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r w:rsidRPr="000032C8">
              <w:rPr>
                <w:rFonts w:cs="Calibri"/>
                <w:sz w:val="25"/>
                <w:szCs w:val="25"/>
              </w:rPr>
              <w:t>Počet vznesených pripomienok, z toho zásadných</w:t>
            </w:r>
          </w:p>
        </w:tc>
        <w:tc>
          <w:tcPr>
            <w:tcW w:w="7801" w:type="dxa"/>
            <w:tcBorders>
              <w:top w:val="nil"/>
              <w:left w:val="nil"/>
              <w:bottom w:val="nil"/>
              <w:right w:val="nil"/>
            </w:tcBorders>
          </w:tcPr>
          <w:p w:rsidR="00007D70" w:rsidRPr="00024402" w:rsidRDefault="00007D70" w:rsidP="00007D70">
            <w:pPr>
              <w:rPr>
                <w:rFonts w:cs="Calibri"/>
                <w:sz w:val="20"/>
                <w:szCs w:val="20"/>
              </w:rPr>
            </w:pPr>
            <w:r>
              <w:rPr>
                <w:rFonts w:ascii="Times" w:hAnsi="Times" w:cs="Times"/>
                <w:sz w:val="25"/>
                <w:szCs w:val="25"/>
              </w:rPr>
              <w:t>17 /0</w:t>
            </w: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r w:rsidRPr="000032C8">
              <w:rPr>
                <w:rFonts w:cs="Calibri"/>
                <w:sz w:val="25"/>
                <w:szCs w:val="25"/>
              </w:rPr>
              <w:t>Počet vyhodnotených pripomienok</w:t>
            </w:r>
          </w:p>
        </w:tc>
        <w:tc>
          <w:tcPr>
            <w:tcW w:w="7801" w:type="dxa"/>
            <w:tcBorders>
              <w:top w:val="nil"/>
              <w:left w:val="nil"/>
              <w:bottom w:val="nil"/>
              <w:right w:val="nil"/>
            </w:tcBorders>
          </w:tcPr>
          <w:p w:rsidR="00007D70" w:rsidRPr="00024402" w:rsidRDefault="00007D70" w:rsidP="00007D70">
            <w:pPr>
              <w:rPr>
                <w:rFonts w:cs="Calibri"/>
                <w:sz w:val="20"/>
                <w:szCs w:val="20"/>
              </w:rPr>
            </w:pPr>
            <w:r>
              <w:rPr>
                <w:rFonts w:ascii="Times" w:hAnsi="Times" w:cs="Times"/>
                <w:sz w:val="25"/>
                <w:szCs w:val="25"/>
              </w:rPr>
              <w:t>17</w:t>
            </w: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p>
        </w:tc>
        <w:tc>
          <w:tcPr>
            <w:tcW w:w="7801" w:type="dxa"/>
            <w:tcBorders>
              <w:top w:val="nil"/>
              <w:left w:val="nil"/>
              <w:bottom w:val="nil"/>
              <w:right w:val="nil"/>
            </w:tcBorders>
          </w:tcPr>
          <w:p w:rsidR="00007D70" w:rsidRPr="00024402" w:rsidRDefault="00007D70" w:rsidP="00007D70">
            <w:pPr>
              <w:rPr>
                <w:rFonts w:cs="Calibri"/>
                <w:sz w:val="20"/>
                <w:szCs w:val="20"/>
              </w:rPr>
            </w:pP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r w:rsidRPr="000032C8">
              <w:rPr>
                <w:rFonts w:cs="Calibri"/>
                <w:sz w:val="25"/>
                <w:szCs w:val="25"/>
              </w:rPr>
              <w:t>Počet akceptovaných pripomienok, z toho zásadných</w:t>
            </w:r>
          </w:p>
        </w:tc>
        <w:tc>
          <w:tcPr>
            <w:tcW w:w="7801" w:type="dxa"/>
            <w:tcBorders>
              <w:top w:val="nil"/>
              <w:left w:val="nil"/>
              <w:bottom w:val="nil"/>
              <w:right w:val="nil"/>
            </w:tcBorders>
          </w:tcPr>
          <w:p w:rsidR="00007D70" w:rsidRPr="00024402" w:rsidRDefault="00007D70" w:rsidP="00007D70">
            <w:pPr>
              <w:rPr>
                <w:rFonts w:cs="Calibri"/>
                <w:sz w:val="20"/>
                <w:szCs w:val="20"/>
              </w:rPr>
            </w:pPr>
            <w:r>
              <w:rPr>
                <w:rFonts w:ascii="Times" w:hAnsi="Times" w:cs="Times"/>
                <w:sz w:val="25"/>
                <w:szCs w:val="25"/>
              </w:rPr>
              <w:t>2 /0</w:t>
            </w: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r w:rsidRPr="000032C8">
              <w:rPr>
                <w:rFonts w:cs="Calibri"/>
                <w:sz w:val="25"/>
                <w:szCs w:val="25"/>
              </w:rPr>
              <w:t>Počet čiastočne akceptovaných pripomienok, z toho zásadných</w:t>
            </w:r>
          </w:p>
        </w:tc>
        <w:tc>
          <w:tcPr>
            <w:tcW w:w="7801" w:type="dxa"/>
            <w:tcBorders>
              <w:top w:val="nil"/>
              <w:left w:val="nil"/>
              <w:bottom w:val="nil"/>
              <w:right w:val="nil"/>
            </w:tcBorders>
          </w:tcPr>
          <w:p w:rsidR="00007D70" w:rsidRPr="00024402" w:rsidRDefault="00007D70" w:rsidP="00007D70">
            <w:pPr>
              <w:rPr>
                <w:rFonts w:cs="Calibri"/>
                <w:sz w:val="20"/>
                <w:szCs w:val="20"/>
              </w:rPr>
            </w:pPr>
            <w:r>
              <w:rPr>
                <w:rFonts w:ascii="Times" w:hAnsi="Times" w:cs="Times"/>
                <w:sz w:val="25"/>
                <w:szCs w:val="25"/>
              </w:rPr>
              <w:t>0 /0</w:t>
            </w: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r w:rsidRPr="000032C8">
              <w:rPr>
                <w:rFonts w:cs="Calibri"/>
                <w:sz w:val="25"/>
                <w:szCs w:val="25"/>
              </w:rPr>
              <w:t>Počet neakceptovaných pripomienok, z toho zásadných</w:t>
            </w:r>
          </w:p>
        </w:tc>
        <w:tc>
          <w:tcPr>
            <w:tcW w:w="7801" w:type="dxa"/>
            <w:tcBorders>
              <w:top w:val="nil"/>
              <w:left w:val="nil"/>
              <w:bottom w:val="nil"/>
              <w:right w:val="nil"/>
            </w:tcBorders>
          </w:tcPr>
          <w:p w:rsidR="00007D70" w:rsidRPr="00024402" w:rsidRDefault="00007D70" w:rsidP="00007D70">
            <w:pPr>
              <w:rPr>
                <w:rFonts w:cs="Calibri"/>
                <w:sz w:val="20"/>
                <w:szCs w:val="20"/>
              </w:rPr>
            </w:pPr>
            <w:r>
              <w:rPr>
                <w:rFonts w:ascii="Times" w:hAnsi="Times" w:cs="Times"/>
                <w:sz w:val="25"/>
                <w:szCs w:val="25"/>
              </w:rPr>
              <w:t>15 /0</w:t>
            </w: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bCs/>
                <w:sz w:val="25"/>
                <w:szCs w:val="25"/>
              </w:rPr>
            </w:pPr>
          </w:p>
        </w:tc>
        <w:tc>
          <w:tcPr>
            <w:tcW w:w="7801" w:type="dxa"/>
            <w:tcBorders>
              <w:top w:val="nil"/>
              <w:left w:val="nil"/>
              <w:bottom w:val="nil"/>
              <w:right w:val="nil"/>
            </w:tcBorders>
          </w:tcPr>
          <w:p w:rsidR="00007D70" w:rsidRPr="00024402" w:rsidRDefault="00007D70" w:rsidP="00007D70">
            <w:pPr>
              <w:rPr>
                <w:rFonts w:cs="Calibri"/>
                <w:sz w:val="20"/>
                <w:szCs w:val="20"/>
              </w:rPr>
            </w:pP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sz w:val="25"/>
                <w:szCs w:val="25"/>
              </w:rPr>
            </w:pPr>
            <w:proofErr w:type="spellStart"/>
            <w:r w:rsidRPr="000032C8">
              <w:rPr>
                <w:rFonts w:cs="Calibri"/>
                <w:bCs/>
                <w:sz w:val="25"/>
                <w:szCs w:val="25"/>
              </w:rPr>
              <w:t>Rozporové</w:t>
            </w:r>
            <w:proofErr w:type="spellEnd"/>
            <w:r w:rsidRPr="000032C8">
              <w:rPr>
                <w:rFonts w:cs="Calibri"/>
                <w:bCs/>
                <w:sz w:val="25"/>
                <w:szCs w:val="25"/>
              </w:rPr>
              <w:t xml:space="preserve"> konanie (s kým, kedy, s akým výsledkom)</w:t>
            </w:r>
          </w:p>
        </w:tc>
        <w:tc>
          <w:tcPr>
            <w:tcW w:w="7801" w:type="dxa"/>
            <w:tcBorders>
              <w:top w:val="nil"/>
              <w:left w:val="nil"/>
              <w:bottom w:val="nil"/>
              <w:right w:val="nil"/>
            </w:tcBorders>
          </w:tcPr>
          <w:p w:rsidR="00007D70" w:rsidRPr="00024402" w:rsidRDefault="00007D70" w:rsidP="00007D70">
            <w:pPr>
              <w:rPr>
                <w:rFonts w:cs="Calibri"/>
                <w:sz w:val="20"/>
                <w:szCs w:val="20"/>
              </w:rPr>
            </w:pP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bCs/>
                <w:sz w:val="25"/>
                <w:szCs w:val="25"/>
              </w:rPr>
            </w:pPr>
            <w:r w:rsidRPr="000032C8">
              <w:rPr>
                <w:rFonts w:cs="Calibri"/>
                <w:bCs/>
                <w:sz w:val="25"/>
                <w:szCs w:val="25"/>
              </w:rPr>
              <w:t>Počet odstránených pripomienok</w:t>
            </w:r>
          </w:p>
        </w:tc>
        <w:tc>
          <w:tcPr>
            <w:tcW w:w="7801" w:type="dxa"/>
            <w:tcBorders>
              <w:top w:val="nil"/>
              <w:left w:val="nil"/>
              <w:bottom w:val="nil"/>
              <w:right w:val="nil"/>
            </w:tcBorders>
          </w:tcPr>
          <w:p w:rsidR="00007D70" w:rsidRPr="00024402" w:rsidRDefault="00007D70" w:rsidP="00007D70">
            <w:pPr>
              <w:rPr>
                <w:rFonts w:cs="Calibri"/>
                <w:sz w:val="20"/>
                <w:szCs w:val="20"/>
              </w:rPr>
            </w:pPr>
          </w:p>
        </w:tc>
      </w:tr>
      <w:tr w:rsidR="00007D70" w:rsidRPr="00024402" w:rsidTr="00007D70">
        <w:tc>
          <w:tcPr>
            <w:tcW w:w="7797" w:type="dxa"/>
            <w:tcBorders>
              <w:top w:val="nil"/>
              <w:left w:val="nil"/>
              <w:bottom w:val="nil"/>
              <w:right w:val="nil"/>
            </w:tcBorders>
          </w:tcPr>
          <w:p w:rsidR="00007D70" w:rsidRPr="000032C8" w:rsidRDefault="00007D70" w:rsidP="00007D70">
            <w:pPr>
              <w:rPr>
                <w:rFonts w:cs="Calibri"/>
                <w:bCs/>
                <w:sz w:val="25"/>
                <w:szCs w:val="25"/>
              </w:rPr>
            </w:pPr>
            <w:r w:rsidRPr="000032C8">
              <w:rPr>
                <w:rFonts w:cs="Calibri"/>
                <w:bCs/>
                <w:sz w:val="25"/>
                <w:szCs w:val="25"/>
              </w:rPr>
              <w:t>Počet neodstránených pripomienok</w:t>
            </w:r>
          </w:p>
        </w:tc>
        <w:tc>
          <w:tcPr>
            <w:tcW w:w="7801" w:type="dxa"/>
            <w:tcBorders>
              <w:top w:val="nil"/>
              <w:left w:val="nil"/>
              <w:bottom w:val="nil"/>
              <w:right w:val="nil"/>
            </w:tcBorders>
          </w:tcPr>
          <w:p w:rsidR="00007D70" w:rsidRPr="00024402" w:rsidRDefault="00007D70" w:rsidP="00007D70">
            <w:pPr>
              <w:rPr>
                <w:rFonts w:cs="Calibri"/>
                <w:sz w:val="20"/>
                <w:szCs w:val="20"/>
              </w:rPr>
            </w:pPr>
          </w:p>
        </w:tc>
      </w:tr>
    </w:tbl>
    <w:p w:rsidR="00007D70" w:rsidRPr="00024402" w:rsidRDefault="00007D70" w:rsidP="00007D70">
      <w:pPr>
        <w:rPr>
          <w:rFonts w:cs="Calibri"/>
          <w:b/>
          <w:sz w:val="20"/>
          <w:szCs w:val="20"/>
        </w:rPr>
      </w:pPr>
    </w:p>
    <w:p w:rsidR="00007D70" w:rsidRDefault="00007D70" w:rsidP="00007D70">
      <w:pPr>
        <w:rPr>
          <w:rFonts w:cs="Calibri"/>
          <w:sz w:val="25"/>
          <w:szCs w:val="25"/>
        </w:rPr>
      </w:pPr>
      <w:r w:rsidRPr="000032C8">
        <w:rPr>
          <w:rFonts w:cs="Calibri"/>
          <w:sz w:val="25"/>
          <w:szCs w:val="25"/>
        </w:rPr>
        <w:t>Sumarizácia vznesených pripomienok podľa subjektov</w:t>
      </w:r>
    </w:p>
    <w:p w:rsidR="00007D70" w:rsidRPr="000032C8" w:rsidRDefault="00007D70" w:rsidP="00007D70">
      <w:pPr>
        <w:rPr>
          <w:sz w:val="25"/>
          <w:szCs w:val="25"/>
        </w:rPr>
      </w:pPr>
    </w:p>
    <w:p w:rsidR="00007D70" w:rsidRDefault="00007D70" w:rsidP="00007D70"/>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8317"/>
        <w:gridCol w:w="1405"/>
        <w:gridCol w:w="1405"/>
        <w:gridCol w:w="1391"/>
        <w:gridCol w:w="1172"/>
      </w:tblGrid>
      <w:tr w:rsidR="00007D70" w:rsidRPr="00007D70" w:rsidTr="00007D70">
        <w:trPr>
          <w:jc w:val="center"/>
        </w:trPr>
        <w:tc>
          <w:tcPr>
            <w:tcW w:w="117" w:type="pct"/>
            <w:tcBorders>
              <w:top w:val="outset" w:sz="6" w:space="0" w:color="000000"/>
              <w:left w:val="outset" w:sz="6" w:space="0" w:color="000000"/>
              <w:bottom w:val="outset" w:sz="6" w:space="0" w:color="000000"/>
              <w:right w:val="outset" w:sz="6" w:space="0" w:color="000000"/>
            </w:tcBorders>
            <w:vAlign w:val="center"/>
            <w:hideMark/>
          </w:tcPr>
          <w:p w:rsidR="00007D70" w:rsidRPr="00007D70" w:rsidRDefault="00007D70" w:rsidP="00007D70">
            <w:pPr>
              <w:spacing w:after="200" w:line="276" w:lineRule="auto"/>
              <w:jc w:val="center"/>
              <w:rPr>
                <w:rFonts w:ascii="Times" w:hAnsi="Times" w:cs="Times"/>
                <w:b/>
                <w:bCs/>
                <w:sz w:val="25"/>
                <w:szCs w:val="25"/>
                <w:lang w:eastAsia="en-US"/>
              </w:rPr>
            </w:pPr>
            <w:r w:rsidRPr="00007D70">
              <w:rPr>
                <w:rFonts w:ascii="Times" w:hAnsi="Times" w:cs="Times"/>
                <w:b/>
                <w:bCs/>
                <w:sz w:val="25"/>
                <w:szCs w:val="25"/>
                <w:lang w:eastAsia="en-US"/>
              </w:rPr>
              <w:t>Č.</w:t>
            </w:r>
          </w:p>
        </w:tc>
        <w:tc>
          <w:tcPr>
            <w:tcW w:w="2967" w:type="pct"/>
            <w:tcBorders>
              <w:top w:val="outset" w:sz="6" w:space="0" w:color="000000"/>
              <w:left w:val="outset" w:sz="6" w:space="0" w:color="000000"/>
              <w:bottom w:val="outset" w:sz="6" w:space="0" w:color="000000"/>
              <w:right w:val="outset" w:sz="6" w:space="0" w:color="000000"/>
            </w:tcBorders>
            <w:vAlign w:val="center"/>
            <w:hideMark/>
          </w:tcPr>
          <w:p w:rsidR="00007D70" w:rsidRPr="00007D70" w:rsidRDefault="00007D70" w:rsidP="00007D70">
            <w:pPr>
              <w:spacing w:after="200" w:line="276" w:lineRule="auto"/>
              <w:jc w:val="center"/>
              <w:rPr>
                <w:rFonts w:ascii="Times" w:hAnsi="Times" w:cs="Times"/>
                <w:b/>
                <w:bCs/>
                <w:sz w:val="25"/>
                <w:szCs w:val="25"/>
                <w:lang w:eastAsia="en-US"/>
              </w:rPr>
            </w:pPr>
            <w:r w:rsidRPr="00007D70">
              <w:rPr>
                <w:rFonts w:ascii="Times" w:hAnsi="Times" w:cs="Times"/>
                <w:b/>
                <w:bCs/>
                <w:sz w:val="25"/>
                <w:szCs w:val="25"/>
                <w:lang w:eastAsia="en-US"/>
              </w:rPr>
              <w:t>Subjekt</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007D70" w:rsidRPr="00007D70" w:rsidRDefault="00007D70" w:rsidP="00007D70">
            <w:pPr>
              <w:spacing w:after="200" w:line="276" w:lineRule="auto"/>
              <w:jc w:val="center"/>
              <w:rPr>
                <w:rFonts w:ascii="Times" w:hAnsi="Times" w:cs="Times"/>
                <w:b/>
                <w:bCs/>
                <w:sz w:val="25"/>
                <w:szCs w:val="25"/>
                <w:lang w:eastAsia="en-US"/>
              </w:rPr>
            </w:pPr>
            <w:r w:rsidRPr="00007D70">
              <w:rPr>
                <w:rFonts w:ascii="Times" w:hAnsi="Times" w:cs="Times"/>
                <w:b/>
                <w:bCs/>
                <w:sz w:val="25"/>
                <w:szCs w:val="25"/>
                <w:lang w:eastAsia="en-US"/>
              </w:rPr>
              <w:t>Pripomienky do termínu</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007D70" w:rsidRPr="00007D70" w:rsidRDefault="00007D70" w:rsidP="00007D70">
            <w:pPr>
              <w:spacing w:after="200" w:line="276" w:lineRule="auto"/>
              <w:jc w:val="center"/>
              <w:rPr>
                <w:rFonts w:ascii="Times" w:hAnsi="Times" w:cs="Times"/>
                <w:b/>
                <w:bCs/>
                <w:sz w:val="25"/>
                <w:szCs w:val="25"/>
                <w:lang w:eastAsia="en-US"/>
              </w:rPr>
            </w:pPr>
            <w:r w:rsidRPr="00007D70">
              <w:rPr>
                <w:rFonts w:ascii="Times" w:hAnsi="Times" w:cs="Times"/>
                <w:b/>
                <w:bCs/>
                <w:sz w:val="25"/>
                <w:szCs w:val="25"/>
                <w:lang w:eastAsia="en-US"/>
              </w:rPr>
              <w:t>Pripomienky po termíne</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007D70" w:rsidRPr="00007D70" w:rsidRDefault="00007D70" w:rsidP="00007D70">
            <w:pPr>
              <w:spacing w:after="200" w:line="276" w:lineRule="auto"/>
              <w:jc w:val="center"/>
              <w:rPr>
                <w:rFonts w:ascii="Times" w:hAnsi="Times" w:cs="Times"/>
                <w:b/>
                <w:bCs/>
                <w:sz w:val="25"/>
                <w:szCs w:val="25"/>
                <w:lang w:eastAsia="en-US"/>
              </w:rPr>
            </w:pPr>
            <w:r w:rsidRPr="00007D70">
              <w:rPr>
                <w:rFonts w:ascii="Times" w:hAnsi="Times" w:cs="Times"/>
                <w:b/>
                <w:bCs/>
                <w:sz w:val="25"/>
                <w:szCs w:val="25"/>
                <w:lang w:eastAsia="en-US"/>
              </w:rPr>
              <w:t>Nemali pripomienky</w:t>
            </w:r>
          </w:p>
        </w:tc>
        <w:tc>
          <w:tcPr>
            <w:tcW w:w="418" w:type="pct"/>
            <w:tcBorders>
              <w:top w:val="outset" w:sz="6" w:space="0" w:color="000000"/>
              <w:left w:val="outset" w:sz="6" w:space="0" w:color="000000"/>
              <w:bottom w:val="outset" w:sz="6" w:space="0" w:color="000000"/>
              <w:right w:val="outset" w:sz="6" w:space="0" w:color="000000"/>
            </w:tcBorders>
            <w:vAlign w:val="center"/>
            <w:hideMark/>
          </w:tcPr>
          <w:p w:rsidR="00007D70" w:rsidRPr="00007D70" w:rsidRDefault="00007D70" w:rsidP="00007D70">
            <w:pPr>
              <w:spacing w:after="200" w:line="276" w:lineRule="auto"/>
              <w:jc w:val="center"/>
              <w:rPr>
                <w:rFonts w:ascii="Times" w:hAnsi="Times" w:cs="Times"/>
                <w:b/>
                <w:bCs/>
                <w:sz w:val="25"/>
                <w:szCs w:val="25"/>
                <w:lang w:eastAsia="en-US"/>
              </w:rPr>
            </w:pPr>
            <w:r w:rsidRPr="00007D70">
              <w:rPr>
                <w:rFonts w:ascii="Times" w:hAnsi="Times" w:cs="Times"/>
                <w:b/>
                <w:bCs/>
                <w:sz w:val="25"/>
                <w:szCs w:val="25"/>
                <w:lang w:eastAsia="en-US"/>
              </w:rPr>
              <w:t>Vôbec nezaslali</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 xml:space="preserve">Asociácia </w:t>
            </w:r>
            <w:proofErr w:type="spellStart"/>
            <w:r w:rsidRPr="00007D70">
              <w:rPr>
                <w:rFonts w:ascii="Times" w:hAnsi="Times" w:cs="Times"/>
                <w:sz w:val="25"/>
                <w:szCs w:val="25"/>
                <w:lang w:eastAsia="en-US"/>
              </w:rPr>
              <w:t>zamestnávatelských</w:t>
            </w:r>
            <w:proofErr w:type="spellEnd"/>
            <w:r w:rsidRPr="00007D70">
              <w:rPr>
                <w:rFonts w:ascii="Times" w:hAnsi="Times" w:cs="Times"/>
                <w:sz w:val="25"/>
                <w:szCs w:val="25"/>
                <w:lang w:eastAsia="en-U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Calibri" w:hAnsi="Calibri"/>
                <w:sz w:val="20"/>
                <w:szCs w:val="20"/>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Calibri" w:hAnsi="Calibri"/>
                <w:sz w:val="20"/>
                <w:szCs w:val="20"/>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Calibri" w:hAnsi="Calibri"/>
                <w:sz w:val="20"/>
                <w:szCs w:val="20"/>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4.</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Calibri" w:hAnsi="Calibri"/>
                <w:sz w:val="20"/>
                <w:szCs w:val="20"/>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5.</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Calibri" w:hAnsi="Calibri"/>
                <w:sz w:val="20"/>
                <w:szCs w:val="20"/>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6.</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7.</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8.</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9.</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10.</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11.</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12.</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13.</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14.</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15.</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16.</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17.</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18.</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20.</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21.</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22.</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23.</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24.</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25.</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26.</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27.</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28.</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29.</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30.</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31.</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32.</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33.</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34.</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36.</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37.</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38.</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39.</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40.</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41.</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x</w:t>
            </w:r>
          </w:p>
        </w:tc>
      </w:tr>
      <w:tr w:rsidR="00007D70" w:rsidRPr="00007D70" w:rsidTr="00007D7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rPr>
                <w:rFonts w:ascii="Times" w:hAnsi="Times" w:cs="Times"/>
                <w:sz w:val="25"/>
                <w:szCs w:val="25"/>
                <w:lang w:eastAsia="en-US"/>
              </w:rPr>
            </w:pPr>
            <w:r w:rsidRPr="00007D70">
              <w:rPr>
                <w:rFonts w:ascii="Times" w:hAnsi="Times" w:cs="Times"/>
                <w:sz w:val="25"/>
                <w:szCs w:val="25"/>
                <w:lang w:eastAsia="en-US"/>
              </w:rPr>
              <w:t>Spolu</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r w:rsidRPr="00007D70">
              <w:rPr>
                <w:rFonts w:ascii="Times" w:hAnsi="Times" w:cs="Times"/>
                <w:sz w:val="25"/>
                <w:szCs w:val="25"/>
                <w:lang w:eastAsia="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Times" w:hAnsi="Times" w:cs="Times"/>
                <w:sz w:val="25"/>
                <w:szCs w:val="25"/>
                <w:lang w:eastAsia="en-US"/>
              </w:rPr>
            </w:pPr>
          </w:p>
        </w:tc>
        <w:tc>
          <w:tcPr>
            <w:tcW w:w="0" w:type="auto"/>
            <w:tcBorders>
              <w:top w:val="outset" w:sz="6" w:space="0" w:color="000000"/>
              <w:left w:val="outset" w:sz="6" w:space="0" w:color="000000"/>
              <w:bottom w:val="outset" w:sz="6" w:space="0" w:color="000000"/>
              <w:right w:val="outset" w:sz="6" w:space="0" w:color="000000"/>
            </w:tcBorders>
            <w:hideMark/>
          </w:tcPr>
          <w:p w:rsidR="00007D70" w:rsidRPr="00007D70" w:rsidRDefault="00007D70" w:rsidP="00007D70">
            <w:pPr>
              <w:spacing w:after="200" w:line="276" w:lineRule="auto"/>
              <w:jc w:val="center"/>
              <w:rPr>
                <w:rFonts w:ascii="Calibri" w:hAnsi="Calibri"/>
                <w:sz w:val="20"/>
                <w:szCs w:val="20"/>
                <w:lang w:eastAsia="en-US"/>
              </w:rPr>
            </w:pPr>
          </w:p>
        </w:tc>
      </w:tr>
    </w:tbl>
    <w:p w:rsidR="00007D70" w:rsidRPr="00007D70" w:rsidRDefault="00007D70" w:rsidP="00007D70">
      <w:pPr>
        <w:spacing w:after="200" w:line="276" w:lineRule="auto"/>
        <w:rPr>
          <w:rFonts w:ascii="Calibri" w:hAnsi="Calibri"/>
          <w:b/>
          <w:bCs/>
          <w:color w:val="000000"/>
          <w:sz w:val="20"/>
          <w:szCs w:val="20"/>
          <w:lang w:eastAsia="en-US"/>
        </w:rPr>
      </w:pPr>
      <w:r w:rsidRPr="00007D70">
        <w:rPr>
          <w:bCs/>
          <w:color w:val="000000"/>
          <w:sz w:val="25"/>
          <w:szCs w:val="25"/>
        </w:rPr>
        <w:t>Vyhodnotenie vecných pripomienok je uvedené v tabuľkovej časti.</w:t>
      </w:r>
    </w:p>
    <w:p w:rsidR="00007D70" w:rsidRPr="00BF7CE0" w:rsidRDefault="00007D70" w:rsidP="00007D70">
      <w:pPr>
        <w:pStyle w:val="Zkladntext"/>
        <w:jc w:val="both"/>
        <w:rPr>
          <w:b/>
          <w:bCs/>
          <w:color w:val="000000"/>
          <w:sz w:val="20"/>
          <w:szCs w:val="20"/>
        </w:rPr>
      </w:pPr>
    </w:p>
    <w:tbl>
      <w:tblPr>
        <w:tblW w:w="0" w:type="auto"/>
        <w:tblLook w:val="0000" w:firstRow="0" w:lastRow="0" w:firstColumn="0" w:lastColumn="0" w:noHBand="0" w:noVBand="0"/>
      </w:tblPr>
      <w:tblGrid>
        <w:gridCol w:w="1809"/>
        <w:gridCol w:w="3119"/>
      </w:tblGrid>
      <w:tr w:rsidR="00007D70" w:rsidRPr="00BF7CE0" w:rsidTr="00007D70">
        <w:trPr>
          <w:cantSplit/>
        </w:trPr>
        <w:tc>
          <w:tcPr>
            <w:tcW w:w="4928" w:type="dxa"/>
            <w:gridSpan w:val="2"/>
            <w:tcBorders>
              <w:top w:val="nil"/>
              <w:left w:val="nil"/>
              <w:bottom w:val="nil"/>
              <w:right w:val="nil"/>
            </w:tcBorders>
          </w:tcPr>
          <w:p w:rsidR="00007D70" w:rsidRPr="009F7218" w:rsidRDefault="00007D70" w:rsidP="00007D70">
            <w:pPr>
              <w:pStyle w:val="Zkladntext"/>
              <w:jc w:val="both"/>
              <w:rPr>
                <w:b/>
                <w:color w:val="000000"/>
                <w:sz w:val="25"/>
                <w:szCs w:val="25"/>
              </w:rPr>
            </w:pPr>
            <w:r w:rsidRPr="009F7218">
              <w:rPr>
                <w:color w:val="000000"/>
                <w:sz w:val="25"/>
                <w:szCs w:val="25"/>
              </w:rPr>
              <w:t>Vysvetlivky  k použitým skratkám v tabuľke:</w:t>
            </w:r>
          </w:p>
        </w:tc>
      </w:tr>
      <w:tr w:rsidR="00007D70" w:rsidRPr="00BF7CE0" w:rsidTr="00007D70">
        <w:trPr>
          <w:cantSplit/>
        </w:trPr>
        <w:tc>
          <w:tcPr>
            <w:tcW w:w="1809" w:type="dxa"/>
            <w:tcBorders>
              <w:top w:val="nil"/>
              <w:left w:val="nil"/>
              <w:bottom w:val="nil"/>
              <w:right w:val="nil"/>
            </w:tcBorders>
          </w:tcPr>
          <w:p w:rsidR="00007D70" w:rsidRPr="009F7218" w:rsidRDefault="00007D70" w:rsidP="00007D70">
            <w:pPr>
              <w:pStyle w:val="Zkladntext"/>
              <w:jc w:val="both"/>
              <w:rPr>
                <w:b/>
                <w:color w:val="000000"/>
                <w:sz w:val="25"/>
                <w:szCs w:val="25"/>
              </w:rPr>
            </w:pPr>
            <w:r w:rsidRPr="009F7218">
              <w:rPr>
                <w:color w:val="000000"/>
                <w:sz w:val="25"/>
                <w:szCs w:val="25"/>
              </w:rPr>
              <w:t>O – obyčajná</w:t>
            </w:r>
          </w:p>
        </w:tc>
        <w:tc>
          <w:tcPr>
            <w:tcW w:w="3119" w:type="dxa"/>
            <w:tcBorders>
              <w:top w:val="nil"/>
              <w:left w:val="nil"/>
              <w:bottom w:val="nil"/>
              <w:right w:val="nil"/>
            </w:tcBorders>
          </w:tcPr>
          <w:p w:rsidR="00007D70" w:rsidRPr="009F7218" w:rsidRDefault="00007D70" w:rsidP="00007D70">
            <w:pPr>
              <w:pStyle w:val="Zkladntext"/>
              <w:jc w:val="both"/>
              <w:rPr>
                <w:b/>
                <w:color w:val="000000"/>
                <w:sz w:val="25"/>
                <w:szCs w:val="25"/>
              </w:rPr>
            </w:pPr>
            <w:r w:rsidRPr="009F7218">
              <w:rPr>
                <w:color w:val="000000"/>
                <w:sz w:val="25"/>
                <w:szCs w:val="25"/>
              </w:rPr>
              <w:t>A – akceptovaná</w:t>
            </w:r>
          </w:p>
        </w:tc>
      </w:tr>
      <w:tr w:rsidR="00007D70" w:rsidRPr="00BF7CE0" w:rsidTr="00007D70">
        <w:trPr>
          <w:cantSplit/>
        </w:trPr>
        <w:tc>
          <w:tcPr>
            <w:tcW w:w="1809" w:type="dxa"/>
            <w:tcBorders>
              <w:top w:val="nil"/>
              <w:left w:val="nil"/>
              <w:bottom w:val="nil"/>
              <w:right w:val="nil"/>
            </w:tcBorders>
          </w:tcPr>
          <w:p w:rsidR="00007D70" w:rsidRPr="009F7218" w:rsidRDefault="00007D70" w:rsidP="00007D70">
            <w:pPr>
              <w:pStyle w:val="Zkladntext"/>
              <w:jc w:val="both"/>
              <w:rPr>
                <w:b/>
                <w:color w:val="000000"/>
                <w:sz w:val="25"/>
                <w:szCs w:val="25"/>
              </w:rPr>
            </w:pPr>
            <w:r w:rsidRPr="009F7218">
              <w:rPr>
                <w:color w:val="000000"/>
                <w:sz w:val="25"/>
                <w:szCs w:val="25"/>
              </w:rPr>
              <w:t>Z – zásadná</w:t>
            </w:r>
          </w:p>
        </w:tc>
        <w:tc>
          <w:tcPr>
            <w:tcW w:w="3119" w:type="dxa"/>
            <w:tcBorders>
              <w:top w:val="nil"/>
              <w:left w:val="nil"/>
              <w:bottom w:val="nil"/>
              <w:right w:val="nil"/>
            </w:tcBorders>
          </w:tcPr>
          <w:p w:rsidR="00007D70" w:rsidRPr="009F7218" w:rsidRDefault="00007D70" w:rsidP="00007D70">
            <w:pPr>
              <w:pStyle w:val="Zkladntext"/>
              <w:jc w:val="both"/>
              <w:rPr>
                <w:b/>
                <w:color w:val="000000"/>
                <w:sz w:val="25"/>
                <w:szCs w:val="25"/>
              </w:rPr>
            </w:pPr>
            <w:r w:rsidRPr="009F7218">
              <w:rPr>
                <w:color w:val="000000"/>
                <w:sz w:val="25"/>
                <w:szCs w:val="25"/>
              </w:rPr>
              <w:t>N – neakceptovaná</w:t>
            </w:r>
          </w:p>
        </w:tc>
      </w:tr>
      <w:tr w:rsidR="00007D70" w:rsidRPr="00856FFA" w:rsidTr="00007D70">
        <w:trPr>
          <w:cantSplit/>
        </w:trPr>
        <w:tc>
          <w:tcPr>
            <w:tcW w:w="1809" w:type="dxa"/>
            <w:tcBorders>
              <w:top w:val="nil"/>
              <w:left w:val="nil"/>
              <w:bottom w:val="nil"/>
              <w:right w:val="nil"/>
            </w:tcBorders>
          </w:tcPr>
          <w:p w:rsidR="00007D70" w:rsidRPr="009F7218" w:rsidRDefault="00007D70" w:rsidP="00007D70">
            <w:pPr>
              <w:pStyle w:val="Zkladntext"/>
              <w:jc w:val="both"/>
              <w:rPr>
                <w:b/>
                <w:color w:val="000000"/>
                <w:sz w:val="25"/>
                <w:szCs w:val="25"/>
              </w:rPr>
            </w:pPr>
          </w:p>
        </w:tc>
        <w:tc>
          <w:tcPr>
            <w:tcW w:w="3119" w:type="dxa"/>
            <w:tcBorders>
              <w:top w:val="nil"/>
              <w:left w:val="nil"/>
              <w:bottom w:val="nil"/>
              <w:right w:val="nil"/>
            </w:tcBorders>
          </w:tcPr>
          <w:p w:rsidR="00007D70" w:rsidRPr="009F7218" w:rsidRDefault="00007D70" w:rsidP="00007D70">
            <w:pPr>
              <w:pStyle w:val="Zkladntext"/>
              <w:jc w:val="both"/>
              <w:rPr>
                <w:b/>
                <w:color w:val="000000"/>
                <w:sz w:val="25"/>
                <w:szCs w:val="25"/>
              </w:rPr>
            </w:pPr>
            <w:r w:rsidRPr="009F7218">
              <w:rPr>
                <w:color w:val="000000"/>
                <w:sz w:val="25"/>
                <w:szCs w:val="25"/>
              </w:rPr>
              <w:t>ČA – čiastočne akceptovaná</w:t>
            </w:r>
          </w:p>
        </w:tc>
      </w:tr>
    </w:tbl>
    <w:p w:rsidR="00007D70" w:rsidRDefault="00007D70" w:rsidP="00007D70">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02"/>
        <w:gridCol w:w="7253"/>
        <w:gridCol w:w="709"/>
        <w:gridCol w:w="709"/>
        <w:gridCol w:w="3945"/>
      </w:tblGrid>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lastRenderedPageBreak/>
              <w:t>Subjekt</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Pripomienka</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Typ</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proofErr w:type="spellStart"/>
            <w:r w:rsidRPr="002C7147">
              <w:rPr>
                <w:rFonts w:ascii="Times" w:hAnsi="Times" w:cs="Times"/>
                <w:b/>
                <w:bCs/>
                <w:sz w:val="25"/>
                <w:szCs w:val="25"/>
                <w:lang w:eastAsia="en-US"/>
              </w:rPr>
              <w:t>Vyh</w:t>
            </w:r>
            <w:proofErr w:type="spellEnd"/>
            <w:r w:rsidRPr="002C7147">
              <w:rPr>
                <w:rFonts w:ascii="Times" w:hAnsi="Times" w:cs="Times"/>
                <w:b/>
                <w:bCs/>
                <w:sz w:val="25"/>
                <w:szCs w:val="25"/>
                <w:lang w:eastAsia="en-US"/>
              </w:rPr>
              <w:t>.</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Spôsob vyhodnotenia</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AZZZ 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bez pripomienok</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A</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Akceptovaná</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proofErr w:type="spellStart"/>
            <w:r w:rsidRPr="002C7147">
              <w:rPr>
                <w:rFonts w:ascii="Times" w:hAnsi="Times" w:cs="Times"/>
                <w:b/>
                <w:bCs/>
                <w:sz w:val="25"/>
                <w:szCs w:val="25"/>
                <w:lang w:eastAsia="en-US"/>
              </w:rPr>
              <w:t>MDaVSR</w:t>
            </w:r>
            <w:proofErr w:type="spellEnd"/>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Navrhujeme doplniť formuláciu k prílohe I ku kapitole 1 - Doprava Hlava V: Ďalšie politiky spolupráce na strane 260 - Služby cestnej dopravy a pomocné služby: „Za Slovenskú republiku Podmienkou vykonávania taxislužby je splnenie podmienok pre vydanie koncesie podľa predpisov platných v Slovenskej republike.“</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proofErr w:type="spellStart"/>
            <w:r w:rsidRPr="002C7147">
              <w:rPr>
                <w:rFonts w:ascii="Times" w:hAnsi="Times" w:cs="Times"/>
                <w:b/>
                <w:bCs/>
                <w:sz w:val="25"/>
                <w:szCs w:val="25"/>
                <w:lang w:eastAsia="en-US"/>
              </w:rPr>
              <w:t>MDaVSR</w:t>
            </w:r>
            <w:proofErr w:type="spellEnd"/>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Navrhujeme v rámci cestnej dopravy - kapitoly Cestná doprava - Technické podmienky (strana 174) vypustiť nasledujúce ustanovenia: „Smernica Európskeho parlamentu a Rady 2009/40/ES zo 6. mája 2009 o kontrole technického stavu motorových vozidiel a ich prípojných vozidiel, v znení zmien, ktorá sa bude uplatňovať od 19. mája 2018. Časový rozvrh: ustanovenia smernice 2009/40/ES sa vykonajú do štyroch rokov od nadobudnutia platnosti tejto dohody.“ Odôvodnenie: Smernica 2009/40/ES sa zrušuje s účinnosťou od 20. mája 2018. Od 20. mája 2018 sa uplatňuje smernica Európskeho parlamentu a Rady 2014/45/EÚ z 3. apríla 2014 o pravidelnej kontrole technického stavu </w:t>
            </w:r>
            <w:r w:rsidRPr="002C7147">
              <w:rPr>
                <w:rFonts w:ascii="Times" w:hAnsi="Times" w:cs="Times"/>
                <w:sz w:val="25"/>
                <w:szCs w:val="25"/>
                <w:lang w:eastAsia="en-US"/>
              </w:rPr>
              <w:lastRenderedPageBreak/>
              <w:t xml:space="preserve">motorových vozidiel a ich prípojných vozidiel a o zrušení smernice 2009/40/ES. V dohode je aj pre túto smernicu časový rozvrh: ustanovenia smernice 2014/45/EÚ sa vykonajú do štyroch rokov od nadobudnutia platnosti tejto dohody.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lastRenderedPageBreak/>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w:t>
            </w:r>
            <w:r w:rsidRPr="002C7147">
              <w:rPr>
                <w:rFonts w:ascii="Times" w:hAnsi="Times" w:cs="Times"/>
                <w:sz w:val="25"/>
                <w:szCs w:val="25"/>
                <w:lang w:eastAsia="en-US"/>
              </w:rPr>
              <w:lastRenderedPageBreak/>
              <w:t xml:space="preserve">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proofErr w:type="spellStart"/>
            <w:r w:rsidRPr="002C7147">
              <w:rPr>
                <w:rFonts w:ascii="Times" w:hAnsi="Times" w:cs="Times"/>
                <w:b/>
                <w:bCs/>
                <w:sz w:val="25"/>
                <w:szCs w:val="25"/>
                <w:lang w:eastAsia="en-US"/>
              </w:rPr>
              <w:lastRenderedPageBreak/>
              <w:t>MDaVSR</w:t>
            </w:r>
            <w:proofErr w:type="spellEnd"/>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Navrhujeme v rámci cestnej dopravy - kapitoly Cestná doprava - Technické podmienky (strana 174) vypustiť nasledujúce ustanovenia: „Smernica Európskeho parlamentu a Rady 2000/30/ES zo 6. júna 2000 o cestnej technickej kontrole spôsobilosti úžitkových automobilov prevádzkovaných v Spoločenstve, v znení zmien, ktorá sa bude uplatňovať od 19. mája 2018. Časový rozvrh: ustanovenia smernice 2000/30/ES sa vykonajú do dvoch rokov od nadobudnutia platnosti tejto dohody.“ Odôvodnenie : Smernica 2000/30/ES sa zrušuje s účinnosťou od 20. mája 2018. Od 20. mája 2018 sa uplatňuje smernica Európskeho parlamentu a Rady 2014/47/EÚ z 3. apríla 2014 o cestnej technickej kontrole úžitkových vozidiel prevádzkovaných v Únii a o zrušení smernice 2000/30/ES a v dohode je aj časový rozvrh pre prijatie ustanovení: ustanovenia smernice 2014/47/EÚ sa vykonajú do štyroch rokov od nadobudnutia platnosti tejto dohody.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1.V preambule v piatom odseku odporúčam slová „dobrej správy vecí verejných v daňovej oblasti“ nahradiť slovami „dobrej správy v daňovej oblasti“.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w:t>
            </w:r>
            <w:r w:rsidRPr="002C7147">
              <w:rPr>
                <w:rFonts w:ascii="Times" w:hAnsi="Times" w:cs="Times"/>
                <w:sz w:val="25"/>
                <w:szCs w:val="25"/>
                <w:lang w:eastAsia="en-US"/>
              </w:rPr>
              <w:lastRenderedPageBreak/>
              <w:t xml:space="preserve">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lastRenderedPageBreak/>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2.V článku 25 a 26 odporúčam slová „ v daňových záležitostiach“ nahradiť slovami „ v daňovej oblasti“. Odôvodnenie k bodom 1 a 2: Zaužívaným prekladom spojenia „</w:t>
            </w:r>
            <w:proofErr w:type="spellStart"/>
            <w:r w:rsidRPr="002C7147">
              <w:rPr>
                <w:rFonts w:ascii="Times" w:hAnsi="Times" w:cs="Times"/>
                <w:sz w:val="25"/>
                <w:szCs w:val="25"/>
                <w:lang w:eastAsia="en-US"/>
              </w:rPr>
              <w:t>tax</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good</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governance</w:t>
            </w:r>
            <w:proofErr w:type="spellEnd"/>
            <w:r w:rsidRPr="002C7147">
              <w:rPr>
                <w:rFonts w:ascii="Times" w:hAnsi="Times" w:cs="Times"/>
                <w:sz w:val="25"/>
                <w:szCs w:val="25"/>
                <w:lang w:eastAsia="en-US"/>
              </w:rPr>
              <w:t xml:space="preserve">“ je „dobrá správa v daňovej oblasti“.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3.V článku 27 odporúčam slová „vyhýbaniu sa plnenia daňových povinností“ nahradiť slovami „vyhýbaniu sa daňovým povinnostiam“. Odôvodnenie: Zaužívaným prekladom spojenia „</w:t>
            </w:r>
            <w:proofErr w:type="spellStart"/>
            <w:r w:rsidRPr="002C7147">
              <w:rPr>
                <w:rFonts w:ascii="Times" w:hAnsi="Times" w:cs="Times"/>
                <w:sz w:val="25"/>
                <w:szCs w:val="25"/>
                <w:lang w:eastAsia="en-US"/>
              </w:rPr>
              <w:t>tax</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avoidance</w:t>
            </w:r>
            <w:proofErr w:type="spellEnd"/>
            <w:r w:rsidRPr="002C7147">
              <w:rPr>
                <w:rFonts w:ascii="Times" w:hAnsi="Times" w:cs="Times"/>
                <w:sz w:val="25"/>
                <w:szCs w:val="25"/>
                <w:lang w:eastAsia="en-US"/>
              </w:rPr>
              <w:t xml:space="preserve">“ je „vyhýbanie sa daňovým povinnostiam“.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w:t>
            </w:r>
            <w:r w:rsidRPr="002C7147">
              <w:rPr>
                <w:rFonts w:ascii="Times" w:hAnsi="Times" w:cs="Times"/>
                <w:sz w:val="25"/>
                <w:szCs w:val="25"/>
                <w:lang w:eastAsia="en-US"/>
              </w:rPr>
              <w:lastRenderedPageBreak/>
              <w:t xml:space="preserve">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lastRenderedPageBreak/>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4.V článku 183 ods. 3 odporúčam slová „vyhýbaniu sa plnenia daňových povinností“ nahradiť slovami „vyhýbaniu sa daňovým povinnostiam“. Odôvodnenie: Zaužívaným prekladom spojenia „</w:t>
            </w:r>
            <w:proofErr w:type="spellStart"/>
            <w:r w:rsidRPr="002C7147">
              <w:rPr>
                <w:rFonts w:ascii="Times" w:hAnsi="Times" w:cs="Times"/>
                <w:sz w:val="25"/>
                <w:szCs w:val="25"/>
                <w:lang w:eastAsia="en-US"/>
              </w:rPr>
              <w:t>tax</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avoidance</w:t>
            </w:r>
            <w:proofErr w:type="spellEnd"/>
            <w:r w:rsidRPr="002C7147">
              <w:rPr>
                <w:rFonts w:ascii="Times" w:hAnsi="Times" w:cs="Times"/>
                <w:sz w:val="25"/>
                <w:szCs w:val="25"/>
                <w:lang w:eastAsia="en-US"/>
              </w:rPr>
              <w:t xml:space="preserve">“ je „vyhýbanie sa daňovým povinnostiam“.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5.V článku 369 ods. 2 odporúčam slovo „bydliska“ nahradiť slovom „rezidencie“. Odôvodnenie: V kontexte daní z príjmov a zmlúv o zamedzení dvojitého zdanenia sa na účely vyjadrenia väzby medzi daňovníkom a štátom už nepoužíva pojem bydlisko, pretože v súčasnosti predstavuje len jedno z kritérií na definíciu „rezidencie“, resp. „daňovej rezidencie“.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6.V článku 375 ods. 2 odporúčam slová „vyhýbaniu sa daňových </w:t>
            </w:r>
            <w:r w:rsidRPr="002C7147">
              <w:rPr>
                <w:rFonts w:ascii="Times" w:hAnsi="Times" w:cs="Times"/>
                <w:sz w:val="25"/>
                <w:szCs w:val="25"/>
                <w:lang w:eastAsia="en-US"/>
              </w:rPr>
              <w:lastRenderedPageBreak/>
              <w:t>povinností“ nahradiť slovami „vyhýbaniu sa daňovým povinnostiam“. Zároveň odporúčam slovo „dohôd“ nahradiť slovom „zmlúv“ a slovo „dojednaní“ nahradiť slovom „dohôd“. Odôvodnenie: Zaužívaným prekladom spojenia „</w:t>
            </w:r>
            <w:proofErr w:type="spellStart"/>
            <w:r w:rsidRPr="002C7147">
              <w:rPr>
                <w:rFonts w:ascii="Times" w:hAnsi="Times" w:cs="Times"/>
                <w:sz w:val="25"/>
                <w:szCs w:val="25"/>
                <w:lang w:eastAsia="en-US"/>
              </w:rPr>
              <w:t>tax</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avoidance</w:t>
            </w:r>
            <w:proofErr w:type="spellEnd"/>
            <w:r w:rsidRPr="002C7147">
              <w:rPr>
                <w:rFonts w:ascii="Times" w:hAnsi="Times" w:cs="Times"/>
                <w:sz w:val="25"/>
                <w:szCs w:val="25"/>
                <w:lang w:eastAsia="en-US"/>
              </w:rPr>
              <w:t>“ je „vyhýbanie sa daňovým povinnostiam“. Z legislatívneho hľadiska Slovenská republika uzatvára len „zmluvy o zamedzení dvojitého zdanenia“. V prípade mnohostranných dohôd ide o „dohovory“. Pre slovo „</w:t>
            </w:r>
            <w:proofErr w:type="spellStart"/>
            <w:r w:rsidRPr="002C7147">
              <w:rPr>
                <w:rFonts w:ascii="Times" w:hAnsi="Times" w:cs="Times"/>
                <w:sz w:val="25"/>
                <w:szCs w:val="25"/>
                <w:lang w:eastAsia="en-US"/>
              </w:rPr>
              <w:t>arrangements</w:t>
            </w:r>
            <w:proofErr w:type="spellEnd"/>
            <w:r w:rsidRPr="002C7147">
              <w:rPr>
                <w:rFonts w:ascii="Times" w:hAnsi="Times" w:cs="Times"/>
                <w:sz w:val="25"/>
                <w:szCs w:val="25"/>
                <w:lang w:eastAsia="en-US"/>
              </w:rPr>
              <w:t xml:space="preserve">“ je najvhodnejším prekladom slovo „dohôd“.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lastRenderedPageBreak/>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w:t>
            </w:r>
            <w:r w:rsidRPr="002C7147">
              <w:rPr>
                <w:rFonts w:ascii="Times" w:hAnsi="Times" w:cs="Times"/>
                <w:sz w:val="25"/>
                <w:szCs w:val="25"/>
                <w:lang w:eastAsia="en-US"/>
              </w:rPr>
              <w:lastRenderedPageBreak/>
              <w:t xml:space="preserve">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lastRenderedPageBreak/>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7.V Poznámke 23 písm. i) odporúčam slová „je určená vzhľadom na zdaniteľné položky, ktoré majú zdroj alebo umiestnené“ nahradiť slovami „je určená s ohľadom na zdaniteľné príjmy, ktoré majú zdroj alebo sú umiestnené“. Odôvodnenie: Slovné spojenie „</w:t>
            </w:r>
            <w:proofErr w:type="spellStart"/>
            <w:r w:rsidRPr="002C7147">
              <w:rPr>
                <w:rFonts w:ascii="Times" w:hAnsi="Times" w:cs="Times"/>
                <w:sz w:val="25"/>
                <w:szCs w:val="25"/>
                <w:lang w:eastAsia="en-US"/>
              </w:rPr>
              <w:t>items</w:t>
            </w:r>
            <w:proofErr w:type="spellEnd"/>
            <w:r w:rsidRPr="002C7147">
              <w:rPr>
                <w:rFonts w:ascii="Times" w:hAnsi="Times" w:cs="Times"/>
                <w:sz w:val="25"/>
                <w:szCs w:val="25"/>
                <w:lang w:eastAsia="en-US"/>
              </w:rPr>
              <w:t xml:space="preserve"> of </w:t>
            </w:r>
            <w:proofErr w:type="spellStart"/>
            <w:r w:rsidRPr="002C7147">
              <w:rPr>
                <w:rFonts w:ascii="Times" w:hAnsi="Times" w:cs="Times"/>
                <w:sz w:val="25"/>
                <w:szCs w:val="25"/>
                <w:lang w:eastAsia="en-US"/>
              </w:rPr>
              <w:t>income</w:t>
            </w:r>
            <w:proofErr w:type="spellEnd"/>
            <w:r w:rsidRPr="002C7147">
              <w:rPr>
                <w:rFonts w:ascii="Times" w:hAnsi="Times" w:cs="Times"/>
                <w:sz w:val="25"/>
                <w:szCs w:val="25"/>
                <w:lang w:eastAsia="en-US"/>
              </w:rPr>
              <w:t>“ alebo „</w:t>
            </w:r>
            <w:proofErr w:type="spellStart"/>
            <w:r w:rsidRPr="002C7147">
              <w:rPr>
                <w:rFonts w:ascii="Times" w:hAnsi="Times" w:cs="Times"/>
                <w:sz w:val="25"/>
                <w:szCs w:val="25"/>
                <w:lang w:eastAsia="en-US"/>
              </w:rPr>
              <w:t>items</w:t>
            </w:r>
            <w:proofErr w:type="spellEnd"/>
            <w:r w:rsidRPr="002C7147">
              <w:rPr>
                <w:rFonts w:ascii="Times" w:hAnsi="Times" w:cs="Times"/>
                <w:sz w:val="25"/>
                <w:szCs w:val="25"/>
                <w:lang w:eastAsia="en-US"/>
              </w:rPr>
              <w:t>“ v tomto kontexte znamená „druhy príjmov“ resp. „príjmy“. Zaužívaným prekladom spojenia „</w:t>
            </w:r>
            <w:proofErr w:type="spellStart"/>
            <w:r w:rsidRPr="002C7147">
              <w:rPr>
                <w:rFonts w:ascii="Times" w:hAnsi="Times" w:cs="Times"/>
                <w:sz w:val="25"/>
                <w:szCs w:val="25"/>
                <w:lang w:eastAsia="en-US"/>
              </w:rPr>
              <w:t>tax</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avoidance</w:t>
            </w:r>
            <w:proofErr w:type="spellEnd"/>
            <w:r w:rsidRPr="002C7147">
              <w:rPr>
                <w:rFonts w:ascii="Times" w:hAnsi="Times" w:cs="Times"/>
                <w:sz w:val="25"/>
                <w:szCs w:val="25"/>
                <w:lang w:eastAsia="en-US"/>
              </w:rPr>
              <w:t xml:space="preserve">“ je „vyhýbanie sa daňovým povinnostiam“.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8. V Poznámke 23 písm. ii) odporúčam slová „vyhýbaniu sa plnenia daňovým povinnostiam“ nahradiť slovami „ vyhýbaniu sa daňovým povinnostiam“. Odôvodnenie: Zaužívaným prekladom spojenia „</w:t>
            </w:r>
            <w:proofErr w:type="spellStart"/>
            <w:r w:rsidRPr="002C7147">
              <w:rPr>
                <w:rFonts w:ascii="Times" w:hAnsi="Times" w:cs="Times"/>
                <w:sz w:val="25"/>
                <w:szCs w:val="25"/>
                <w:lang w:eastAsia="en-US"/>
              </w:rPr>
              <w:t>tax</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avoidance</w:t>
            </w:r>
            <w:proofErr w:type="spellEnd"/>
            <w:r w:rsidRPr="002C7147">
              <w:rPr>
                <w:rFonts w:ascii="Times" w:hAnsi="Times" w:cs="Times"/>
                <w:sz w:val="25"/>
                <w:szCs w:val="25"/>
                <w:lang w:eastAsia="en-US"/>
              </w:rPr>
              <w:t xml:space="preserve">“ je „vyhýbanie sa daňovým povinnostiam“.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Štylisticko-lingvistické pripomienky nemožno v rámci MPK akceptovať, keďže ide o dokument, ktorý už bol formálne publikovaný v Úradnom vestníku EÚ. Uplatňovanie terminologických a jazykovo-</w:t>
            </w:r>
            <w:r w:rsidRPr="002C7147">
              <w:rPr>
                <w:rFonts w:ascii="Times" w:hAnsi="Times" w:cs="Times"/>
                <w:sz w:val="25"/>
                <w:szCs w:val="25"/>
                <w:lang w:eastAsia="en-US"/>
              </w:rPr>
              <w:lastRenderedPageBreak/>
              <w:t xml:space="preserve">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lastRenderedPageBreak/>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9.V Poznámke 23 písm. v) odporúčam slová „z celosvetovo zdaniteľných položiek“ nahradiť slovami „z celosvetových príjmov“. Odôvodnenie: Slovné spojenie „</w:t>
            </w:r>
            <w:proofErr w:type="spellStart"/>
            <w:r w:rsidRPr="002C7147">
              <w:rPr>
                <w:rFonts w:ascii="Times" w:hAnsi="Times" w:cs="Times"/>
                <w:sz w:val="25"/>
                <w:szCs w:val="25"/>
                <w:lang w:eastAsia="en-US"/>
              </w:rPr>
              <w:t>worldwide</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taxable</w:t>
            </w:r>
            <w:proofErr w:type="spellEnd"/>
            <w:r w:rsidRPr="002C7147">
              <w:rPr>
                <w:rFonts w:ascii="Times" w:hAnsi="Times" w:cs="Times"/>
                <w:sz w:val="25"/>
                <w:szCs w:val="25"/>
                <w:lang w:eastAsia="en-US"/>
              </w:rPr>
              <w:t xml:space="preserve"> </w:t>
            </w:r>
            <w:proofErr w:type="spellStart"/>
            <w:r w:rsidRPr="002C7147">
              <w:rPr>
                <w:rFonts w:ascii="Times" w:hAnsi="Times" w:cs="Times"/>
                <w:sz w:val="25"/>
                <w:szCs w:val="25"/>
                <w:lang w:eastAsia="en-US"/>
              </w:rPr>
              <w:t>items</w:t>
            </w:r>
            <w:proofErr w:type="spellEnd"/>
            <w:r w:rsidRPr="002C7147">
              <w:rPr>
                <w:rFonts w:ascii="Times" w:hAnsi="Times" w:cs="Times"/>
                <w:sz w:val="25"/>
                <w:szCs w:val="25"/>
                <w:lang w:eastAsia="en-US"/>
              </w:rPr>
              <w:t xml:space="preserve">“ v tomto kontexte znamená „celosvetové príjmy“. </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MFSR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Beriem na vedomie, že materiál nemá vplyv na rozpočet verejnej správy.</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A</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Akceptovaná</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MPRVSR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čl. 279 na stranách 113 a 114 k záverečnému ods. e), by mal byť upravený nasledovne: OSN/FAO odstrániť.</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Štylisticko-lingvistické pripomienky nemožno v rámci MPK akceptovať, keďže ide o dokument, ktorý už bol formálne publikovaný v Úradnom vestníku EÚ. Uplatňovanie terminologických a jazykovo-</w:t>
            </w:r>
            <w:r w:rsidRPr="002C7147">
              <w:rPr>
                <w:rFonts w:ascii="Times" w:hAnsi="Times" w:cs="Times"/>
                <w:sz w:val="25"/>
                <w:szCs w:val="25"/>
                <w:lang w:eastAsia="en-US"/>
              </w:rPr>
              <w:lastRenderedPageBreak/>
              <w:t xml:space="preserve">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lastRenderedPageBreak/>
              <w:t>ÚJDSR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Na strane 181-182 navrhujeme doplniť výpočet smerníc z oblasti Jadrovej bezpečnosti a radiačnej ochrany, ktoré má Arménsko v stanovenom časovom horizonte </w:t>
            </w:r>
            <w:proofErr w:type="spellStart"/>
            <w:r w:rsidRPr="002C7147">
              <w:rPr>
                <w:rFonts w:ascii="Times" w:hAnsi="Times" w:cs="Times"/>
                <w:sz w:val="25"/>
                <w:szCs w:val="25"/>
                <w:lang w:eastAsia="en-US"/>
              </w:rPr>
              <w:t>aproximovať</w:t>
            </w:r>
            <w:proofErr w:type="spellEnd"/>
            <w:r w:rsidRPr="002C7147">
              <w:rPr>
                <w:rFonts w:ascii="Times" w:hAnsi="Times" w:cs="Times"/>
                <w:sz w:val="25"/>
                <w:szCs w:val="25"/>
                <w:lang w:eastAsia="en-US"/>
              </w:rPr>
              <w:t xml:space="preserve"> aj o nasledujúcu smernicu: "Smernica Rady 2014/87/</w:t>
            </w:r>
            <w:proofErr w:type="spellStart"/>
            <w:r w:rsidRPr="002C7147">
              <w:rPr>
                <w:rFonts w:ascii="Times" w:hAnsi="Times" w:cs="Times"/>
                <w:sz w:val="25"/>
                <w:szCs w:val="25"/>
                <w:lang w:eastAsia="en-US"/>
              </w:rPr>
              <w:t>Euratom</w:t>
            </w:r>
            <w:proofErr w:type="spellEnd"/>
            <w:r w:rsidRPr="002C7147">
              <w:rPr>
                <w:rFonts w:ascii="Times" w:hAnsi="Times" w:cs="Times"/>
                <w:sz w:val="25"/>
                <w:szCs w:val="25"/>
                <w:lang w:eastAsia="en-US"/>
              </w:rPr>
              <w:t>, ktorou sa mení smernica 2009/71/</w:t>
            </w:r>
            <w:proofErr w:type="spellStart"/>
            <w:r w:rsidRPr="002C7147">
              <w:rPr>
                <w:rFonts w:ascii="Times" w:hAnsi="Times" w:cs="Times"/>
                <w:sz w:val="25"/>
                <w:szCs w:val="25"/>
                <w:lang w:eastAsia="en-US"/>
              </w:rPr>
              <w:t>Euratom</w:t>
            </w:r>
            <w:proofErr w:type="spellEnd"/>
            <w:r w:rsidRPr="002C7147">
              <w:rPr>
                <w:rFonts w:ascii="Times" w:hAnsi="Times" w:cs="Times"/>
                <w:sz w:val="25"/>
                <w:szCs w:val="25"/>
                <w:lang w:eastAsia="en-US"/>
              </w:rPr>
              <w:t>, ktorou sa zriaďuje rámec Spoločenstva pre jadrovú bezpečnosť jadrových zariadení".</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r w:rsidR="002C7147" w:rsidRPr="002C7147" w:rsidTr="002C714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b/>
                <w:bCs/>
                <w:sz w:val="25"/>
                <w:szCs w:val="25"/>
                <w:lang w:eastAsia="en-US"/>
              </w:rPr>
            </w:pPr>
            <w:r w:rsidRPr="002C7147">
              <w:rPr>
                <w:rFonts w:ascii="Times" w:hAnsi="Times" w:cs="Times"/>
                <w:b/>
                <w:bCs/>
                <w:sz w:val="25"/>
                <w:szCs w:val="25"/>
                <w:lang w:eastAsia="en-US"/>
              </w:rPr>
              <w:t>ÚJDSR</w:t>
            </w:r>
          </w:p>
        </w:tc>
        <w:tc>
          <w:tcPr>
            <w:tcW w:w="258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br/>
              <w:t xml:space="preserve">Navrhujeme v kapitole 2 "Spolupráca v odvetví energetiky vrátane jadrovej bezpečnosti" v článku 42 ods. 2 </w:t>
            </w:r>
            <w:proofErr w:type="spellStart"/>
            <w:r w:rsidRPr="002C7147">
              <w:rPr>
                <w:rFonts w:ascii="Times" w:hAnsi="Times" w:cs="Times"/>
                <w:sz w:val="25"/>
                <w:szCs w:val="25"/>
                <w:lang w:eastAsia="en-US"/>
              </w:rPr>
              <w:t>písm</w:t>
            </w:r>
            <w:proofErr w:type="spellEnd"/>
            <w:r w:rsidRPr="002C7147">
              <w:rPr>
                <w:rFonts w:ascii="Times" w:hAnsi="Times" w:cs="Times"/>
                <w:sz w:val="25"/>
                <w:szCs w:val="25"/>
                <w:lang w:eastAsia="en-US"/>
              </w:rPr>
              <w:t xml:space="preserve"> a) až i) zjednotiť oblasti tak, aby boli zadefinované v neurčitku, alebo vyskloňované, nakoľko v predloženom slovenskom znení (anglické sme nemali od prekladateľa k dispozícii) je to pomiešané. Upozorňujeme zároveň na to, že v písmene f) chýba slovo pred slovným spojením "rovnocenné podmienky", takže nie je zrejmé, čo tým zmluvné strany chceli dosiahnuť, či podporu dosiahnutia rovnocenných podmienok, alebo podporu zabezpečenia rovnocenných podmienok, resp. niečo iné. Takisto nie je jasné </w:t>
            </w:r>
            <w:r w:rsidRPr="002C7147">
              <w:rPr>
                <w:rFonts w:ascii="Times" w:hAnsi="Times" w:cs="Times"/>
                <w:sz w:val="25"/>
                <w:szCs w:val="25"/>
                <w:lang w:eastAsia="en-US"/>
              </w:rPr>
              <w:lastRenderedPageBreak/>
              <w:t>bezpečnosť a ochranu koho/čoho (pred čím) sa má dosiahnuť.</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lastRenderedPageBreak/>
              <w:t>O</w:t>
            </w:r>
          </w:p>
        </w:tc>
        <w:tc>
          <w:tcPr>
            <w:tcW w:w="253"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jc w:val="center"/>
              <w:rPr>
                <w:rFonts w:ascii="Times" w:hAnsi="Times" w:cs="Times"/>
                <w:sz w:val="25"/>
                <w:szCs w:val="25"/>
                <w:lang w:eastAsia="en-US"/>
              </w:rPr>
            </w:pPr>
            <w:r w:rsidRPr="002C7147">
              <w:rPr>
                <w:rFonts w:ascii="Times" w:hAnsi="Times" w:cs="Times"/>
                <w:sz w:val="25"/>
                <w:szCs w:val="25"/>
                <w:lang w:eastAsia="en-US"/>
              </w:rPr>
              <w:t>N</w:t>
            </w:r>
          </w:p>
        </w:tc>
        <w:tc>
          <w:tcPr>
            <w:tcW w:w="1407" w:type="pct"/>
            <w:tcBorders>
              <w:top w:val="outset" w:sz="6" w:space="0" w:color="000000"/>
              <w:left w:val="outset" w:sz="6" w:space="0" w:color="000000"/>
              <w:bottom w:val="outset" w:sz="6" w:space="0" w:color="000000"/>
              <w:right w:val="outset" w:sz="6" w:space="0" w:color="000000"/>
            </w:tcBorders>
            <w:vAlign w:val="center"/>
            <w:hideMark/>
          </w:tcPr>
          <w:p w:rsidR="002C7147" w:rsidRPr="002C7147" w:rsidRDefault="002C7147" w:rsidP="002C7147">
            <w:pPr>
              <w:spacing w:after="200" w:line="276" w:lineRule="auto"/>
              <w:rPr>
                <w:rFonts w:ascii="Times" w:hAnsi="Times" w:cs="Times"/>
                <w:sz w:val="25"/>
                <w:szCs w:val="25"/>
                <w:lang w:eastAsia="en-US"/>
              </w:rPr>
            </w:pPr>
            <w:r w:rsidRPr="002C7147">
              <w:rPr>
                <w:rFonts w:ascii="Times" w:hAnsi="Times" w:cs="Times"/>
                <w:sz w:val="25"/>
                <w:szCs w:val="25"/>
                <w:lang w:eastAsia="en-US"/>
              </w:rPr>
              <w:t xml:space="preserve">Štylisticko-lingvistické pripomienky nemožno v rámci MPK akceptovať, keďže ide o dokument, ktorý už bol formálne publikovaný v Úradnom vestníku EÚ. Uplatňovanie terminologických a jazykovo-štylistických pripomienok prebehlo v mesiacoch október-november 2017. Text dohody z uvedených dôvodov nie je možné jednostranne meniť, prípadná </w:t>
            </w:r>
            <w:r w:rsidRPr="002C7147">
              <w:rPr>
                <w:rFonts w:ascii="Times" w:hAnsi="Times" w:cs="Times"/>
                <w:sz w:val="25"/>
                <w:szCs w:val="25"/>
                <w:lang w:eastAsia="en-US"/>
              </w:rPr>
              <w:lastRenderedPageBreak/>
              <w:t xml:space="preserve">zmena je možná iba formou </w:t>
            </w:r>
            <w:proofErr w:type="spellStart"/>
            <w:r w:rsidRPr="002C7147">
              <w:rPr>
                <w:rFonts w:ascii="Times" w:hAnsi="Times" w:cs="Times"/>
                <w:sz w:val="25"/>
                <w:szCs w:val="25"/>
                <w:lang w:eastAsia="en-US"/>
              </w:rPr>
              <w:t>korigenda</w:t>
            </w:r>
            <w:proofErr w:type="spellEnd"/>
            <w:r w:rsidRPr="002C7147">
              <w:rPr>
                <w:rFonts w:ascii="Times" w:hAnsi="Times" w:cs="Times"/>
                <w:sz w:val="25"/>
                <w:szCs w:val="25"/>
                <w:lang w:eastAsia="en-US"/>
              </w:rPr>
              <w:t xml:space="preserve">. </w:t>
            </w:r>
          </w:p>
        </w:tc>
      </w:tr>
    </w:tbl>
    <w:p w:rsidR="002C7147" w:rsidRPr="002C7147" w:rsidRDefault="002C7147" w:rsidP="002C7147">
      <w:pPr>
        <w:spacing w:after="200" w:line="276" w:lineRule="auto"/>
        <w:rPr>
          <w:rFonts w:ascii="Calibri" w:hAnsi="Calibri"/>
          <w:sz w:val="22"/>
          <w:szCs w:val="22"/>
          <w:lang w:eastAsia="en-US"/>
        </w:rPr>
      </w:pPr>
    </w:p>
    <w:p w:rsidR="00007D70" w:rsidRDefault="00007D70" w:rsidP="00007D70">
      <w:pPr>
        <w:rPr>
          <w:rFonts w:ascii="Consolas" w:hAnsi="Consolas" w:cs="Consolas"/>
          <w:sz w:val="20"/>
          <w:szCs w:val="20"/>
        </w:rPr>
      </w:pPr>
    </w:p>
    <w:sectPr w:rsidR="00007D70" w:rsidSect="002C714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C5"/>
    <w:rsid w:val="00002F7C"/>
    <w:rsid w:val="00007D70"/>
    <w:rsid w:val="00027340"/>
    <w:rsid w:val="00031BC5"/>
    <w:rsid w:val="00072D66"/>
    <w:rsid w:val="000907EE"/>
    <w:rsid w:val="000F4F5A"/>
    <w:rsid w:val="00136121"/>
    <w:rsid w:val="00140E23"/>
    <w:rsid w:val="00165659"/>
    <w:rsid w:val="001715B9"/>
    <w:rsid w:val="00177775"/>
    <w:rsid w:val="00202CED"/>
    <w:rsid w:val="00224747"/>
    <w:rsid w:val="002678B4"/>
    <w:rsid w:val="002B281B"/>
    <w:rsid w:val="002C7147"/>
    <w:rsid w:val="002F066E"/>
    <w:rsid w:val="00336528"/>
    <w:rsid w:val="00384AD4"/>
    <w:rsid w:val="0039311F"/>
    <w:rsid w:val="003B64C5"/>
    <w:rsid w:val="00414CCB"/>
    <w:rsid w:val="00431CA3"/>
    <w:rsid w:val="00437268"/>
    <w:rsid w:val="004E1795"/>
    <w:rsid w:val="00516DF6"/>
    <w:rsid w:val="00546AE5"/>
    <w:rsid w:val="005E2CE1"/>
    <w:rsid w:val="00607C79"/>
    <w:rsid w:val="00610C61"/>
    <w:rsid w:val="00633A29"/>
    <w:rsid w:val="00653360"/>
    <w:rsid w:val="0070633D"/>
    <w:rsid w:val="0071712E"/>
    <w:rsid w:val="007259CE"/>
    <w:rsid w:val="00733476"/>
    <w:rsid w:val="00747810"/>
    <w:rsid w:val="00761691"/>
    <w:rsid w:val="00852B87"/>
    <w:rsid w:val="00877FF4"/>
    <w:rsid w:val="00894626"/>
    <w:rsid w:val="008B19CD"/>
    <w:rsid w:val="009074D8"/>
    <w:rsid w:val="00910592"/>
    <w:rsid w:val="00944B3D"/>
    <w:rsid w:val="00961EB1"/>
    <w:rsid w:val="0097515B"/>
    <w:rsid w:val="009E7DE6"/>
    <w:rsid w:val="009F28D3"/>
    <w:rsid w:val="00A65D13"/>
    <w:rsid w:val="00A87E53"/>
    <w:rsid w:val="00AC6326"/>
    <w:rsid w:val="00B04C4B"/>
    <w:rsid w:val="00B258C3"/>
    <w:rsid w:val="00B32D69"/>
    <w:rsid w:val="00B66C8A"/>
    <w:rsid w:val="00BA2F18"/>
    <w:rsid w:val="00BC6589"/>
    <w:rsid w:val="00BD6DDC"/>
    <w:rsid w:val="00C536DC"/>
    <w:rsid w:val="00C6180B"/>
    <w:rsid w:val="00D5532C"/>
    <w:rsid w:val="00D65754"/>
    <w:rsid w:val="00DE0001"/>
    <w:rsid w:val="00E866A0"/>
    <w:rsid w:val="00E92BEA"/>
    <w:rsid w:val="00EA387B"/>
    <w:rsid w:val="00EA7463"/>
    <w:rsid w:val="00F47CED"/>
    <w:rsid w:val="00F9580A"/>
    <w:rsid w:val="00FA7B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CF448"/>
  <w15:chartTrackingRefBased/>
  <w15:docId w15:val="{EC1C693C-F2C6-4A1C-BC39-B106AB8D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7D7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007D70"/>
    <w:pPr>
      <w:autoSpaceDE w:val="0"/>
      <w:autoSpaceDN w:val="0"/>
      <w:jc w:val="center"/>
    </w:pPr>
    <w:rPr>
      <w:rFonts w:eastAsiaTheme="minorEastAsia"/>
      <w:lang w:eastAsia="en-US"/>
    </w:rPr>
  </w:style>
  <w:style w:type="character" w:customStyle="1" w:styleId="Zkladntext2Char">
    <w:name w:val="Základný text 2 Char"/>
    <w:basedOn w:val="Predvolenpsmoodseku"/>
    <w:link w:val="Zkladntext2"/>
    <w:uiPriority w:val="99"/>
    <w:semiHidden/>
    <w:rsid w:val="00007D70"/>
    <w:rPr>
      <w:rFonts w:ascii="Times New Roman" w:eastAsiaTheme="minorEastAsia" w:hAnsi="Times New Roman" w:cs="Times New Roman"/>
      <w:sz w:val="24"/>
      <w:szCs w:val="24"/>
    </w:rPr>
  </w:style>
  <w:style w:type="table" w:styleId="Mriekatabuky">
    <w:name w:val="Table Grid"/>
    <w:basedOn w:val="Normlnatabuka"/>
    <w:uiPriority w:val="99"/>
    <w:rsid w:val="00007D7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007D70"/>
    <w:pPr>
      <w:spacing w:before="100" w:beforeAutospacing="1" w:after="100" w:afterAutospacing="1"/>
    </w:pPr>
  </w:style>
  <w:style w:type="character" w:styleId="Zvraznenie">
    <w:name w:val="Emphasis"/>
    <w:uiPriority w:val="20"/>
    <w:qFormat/>
    <w:rsid w:val="00007D70"/>
    <w:rPr>
      <w:i/>
      <w:iCs/>
    </w:rPr>
  </w:style>
  <w:style w:type="paragraph" w:styleId="Zkladntext">
    <w:name w:val="Body Text"/>
    <w:basedOn w:val="Normlny"/>
    <w:link w:val="ZkladntextChar"/>
    <w:uiPriority w:val="99"/>
    <w:semiHidden/>
    <w:unhideWhenUsed/>
    <w:rsid w:val="00007D70"/>
    <w:pPr>
      <w:spacing w:after="120"/>
    </w:pPr>
  </w:style>
  <w:style w:type="character" w:customStyle="1" w:styleId="ZkladntextChar">
    <w:name w:val="Základný text Char"/>
    <w:basedOn w:val="Predvolenpsmoodseku"/>
    <w:link w:val="Zkladntext"/>
    <w:uiPriority w:val="99"/>
    <w:semiHidden/>
    <w:rsid w:val="00007D7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2382</Words>
  <Characters>13583</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Turosik Patrik /OPEU/MZV</dc:creator>
  <cp:keywords/>
  <dc:description/>
  <cp:lastModifiedBy>Turosik Patrik /OPEU/MZV</cp:lastModifiedBy>
  <cp:revision>3</cp:revision>
  <dcterms:created xsi:type="dcterms:W3CDTF">2019-01-07T10:02:00Z</dcterms:created>
  <dcterms:modified xsi:type="dcterms:W3CDTF">2019-01-07T10:28:00Z</dcterms:modified>
</cp:coreProperties>
</file>