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BA" w:rsidRPr="00E56123" w:rsidRDefault="00283DBA" w:rsidP="00283DBA">
      <w:pPr>
        <w:pStyle w:val="Zarkazkladnhotextu"/>
        <w:ind w:firstLine="0"/>
        <w:rPr>
          <w:rFonts w:ascii="Times New Roman" w:hAnsi="Times New Roman"/>
          <w:szCs w:val="24"/>
        </w:rPr>
      </w:pPr>
    </w:p>
    <w:p w:rsidR="00283DBA" w:rsidRPr="00E56123" w:rsidRDefault="00283DBA" w:rsidP="00283DBA">
      <w:pPr>
        <w:jc w:val="center"/>
        <w:rPr>
          <w:rFonts w:ascii="Times New Roman" w:hAnsi="Times New Roman"/>
          <w:b/>
          <w:bCs/>
          <w:sz w:val="24"/>
          <w:szCs w:val="24"/>
        </w:rPr>
      </w:pPr>
      <w:r w:rsidRPr="00E56123">
        <w:rPr>
          <w:rFonts w:ascii="Times New Roman" w:hAnsi="Times New Roman"/>
          <w:b/>
          <w:bCs/>
          <w:sz w:val="24"/>
          <w:szCs w:val="24"/>
        </w:rPr>
        <w:t>Doložka vybraných vplyvov</w:t>
      </w:r>
    </w:p>
    <w:p w:rsidR="00283DBA" w:rsidRPr="00E56123" w:rsidRDefault="00283DBA" w:rsidP="00283DBA">
      <w:pPr>
        <w:pStyle w:val="Odsekzoznamu"/>
        <w:ind w:left="426"/>
        <w:rPr>
          <w:rFonts w:ascii="Times New Roman" w:hAnsi="Times New Roman"/>
          <w:b/>
          <w:sz w:val="24"/>
          <w:szCs w:val="24"/>
        </w:rPr>
      </w:pPr>
    </w:p>
    <w:tbl>
      <w:tblPr>
        <w:tblStyle w:val="Mriekatabuky"/>
        <w:tblW w:w="9180" w:type="dxa"/>
        <w:tblInd w:w="-113" w:type="dxa"/>
        <w:tblLayout w:type="fixed"/>
        <w:tblLook w:val="04A0" w:firstRow="1" w:lastRow="0" w:firstColumn="1" w:lastColumn="0" w:noHBand="0" w:noVBand="1"/>
      </w:tblPr>
      <w:tblGrid>
        <w:gridCol w:w="3815"/>
        <w:gridCol w:w="400"/>
        <w:gridCol w:w="141"/>
        <w:gridCol w:w="564"/>
        <w:gridCol w:w="717"/>
        <w:gridCol w:w="428"/>
        <w:gridCol w:w="141"/>
        <w:gridCol w:w="1134"/>
        <w:gridCol w:w="284"/>
        <w:gridCol w:w="263"/>
        <w:gridCol w:w="1293"/>
      </w:tblGrid>
      <w:tr w:rsidR="00283DBA" w:rsidRPr="00E56123" w:rsidTr="006455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Základné údaje</w:t>
            </w:r>
          </w:p>
        </w:tc>
      </w:tr>
      <w:tr w:rsidR="00283DBA" w:rsidRPr="00E56123" w:rsidTr="006455C6">
        <w:tc>
          <w:tcPr>
            <w:tcW w:w="9180" w:type="dxa"/>
            <w:gridSpan w:val="11"/>
            <w:tcBorders>
              <w:left w:val="single" w:sz="4" w:space="0" w:color="auto"/>
              <w:bottom w:val="single" w:sz="4" w:space="0" w:color="FFFFFF"/>
              <w:right w:val="single" w:sz="4" w:space="0" w:color="auto"/>
            </w:tcBorders>
            <w:shd w:val="clear" w:color="auto" w:fill="E2E2E2"/>
          </w:tcPr>
          <w:p w:rsidR="00283DBA" w:rsidRPr="00E56123" w:rsidRDefault="00283DBA" w:rsidP="006455C6">
            <w:pPr>
              <w:pStyle w:val="Odsekzoznamu"/>
              <w:ind w:left="142"/>
              <w:rPr>
                <w:rFonts w:ascii="Times New Roman" w:hAnsi="Times New Roman"/>
                <w:b/>
                <w:sz w:val="24"/>
                <w:szCs w:val="24"/>
              </w:rPr>
            </w:pPr>
            <w:r w:rsidRPr="00E56123">
              <w:rPr>
                <w:rFonts w:ascii="Times New Roman" w:hAnsi="Times New Roman"/>
                <w:b/>
                <w:sz w:val="24"/>
                <w:szCs w:val="24"/>
              </w:rPr>
              <w:t>Názov materiálu</w:t>
            </w:r>
          </w:p>
        </w:tc>
      </w:tr>
      <w:tr w:rsidR="00283DBA" w:rsidRPr="00E56123" w:rsidTr="006455C6">
        <w:tc>
          <w:tcPr>
            <w:tcW w:w="9180" w:type="dxa"/>
            <w:gridSpan w:val="11"/>
            <w:tcBorders>
              <w:top w:val="single" w:sz="4" w:space="0" w:color="FFFFFF"/>
              <w:left w:val="single" w:sz="4" w:space="0" w:color="auto"/>
              <w:bottom w:val="single" w:sz="4" w:space="0" w:color="auto"/>
              <w:right w:val="single" w:sz="4" w:space="0" w:color="auto"/>
            </w:tcBorders>
          </w:tcPr>
          <w:p w:rsidR="00283DBA" w:rsidRPr="00E56123" w:rsidRDefault="00283DBA" w:rsidP="006455C6">
            <w:pPr>
              <w:pStyle w:val="Hlavika"/>
              <w:jc w:val="both"/>
              <w:rPr>
                <w:rFonts w:ascii="Times New Roman" w:hAnsi="Times New Roman"/>
                <w:sz w:val="24"/>
                <w:szCs w:val="24"/>
              </w:rPr>
            </w:pPr>
            <w:r w:rsidRPr="00E56123">
              <w:rPr>
                <w:rFonts w:ascii="Times New Roman" w:hAnsi="Times New Roman"/>
                <w:sz w:val="24"/>
                <w:szCs w:val="24"/>
              </w:rPr>
              <w:t>Návrh nariadenia vlády Slovenskej republiky, ktorým sa mení nariadenie vlády Slovenskej republiky č. 115/2018 Z.</w:t>
            </w:r>
            <w:r w:rsidRPr="00E56123">
              <w:rPr>
                <w:rFonts w:ascii="Times New Roman" w:eastAsia="Calibri" w:hAnsi="Times New Roman"/>
                <w:sz w:val="24"/>
                <w:szCs w:val="24"/>
                <w:lang w:eastAsia="en-US"/>
              </w:rPr>
              <w:t> </w:t>
            </w:r>
            <w:r w:rsidRPr="00E56123">
              <w:rPr>
                <w:rFonts w:ascii="Times New Roman" w:hAnsi="Times New Roman"/>
                <w:sz w:val="24"/>
                <w:szCs w:val="24"/>
              </w:rPr>
              <w:t>z., ktorým sa ustanovuje výška úhrad zdravotnej poisťovne za poskytovanie zubno-lekárskej pohotovostnej služby a ambulantnej pohotovostnej služby, spôsob výpočtu a pravidlá výpočtu týchto úhrad</w:t>
            </w:r>
          </w:p>
        </w:tc>
      </w:tr>
      <w:tr w:rsidR="00283DBA" w:rsidRPr="00E56123" w:rsidTr="006455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6455C6">
            <w:pPr>
              <w:pStyle w:val="Odsekzoznamu"/>
              <w:ind w:left="142"/>
              <w:rPr>
                <w:rFonts w:ascii="Times New Roman" w:hAnsi="Times New Roman"/>
                <w:b/>
                <w:sz w:val="24"/>
                <w:szCs w:val="24"/>
              </w:rPr>
            </w:pPr>
            <w:r w:rsidRPr="00E56123">
              <w:rPr>
                <w:rFonts w:ascii="Times New Roman" w:hAnsi="Times New Roman"/>
                <w:b/>
                <w:sz w:val="24"/>
                <w:szCs w:val="24"/>
              </w:rPr>
              <w:t>Predkladateľ (a spolupredkladateľ)</w:t>
            </w:r>
          </w:p>
        </w:tc>
      </w:tr>
      <w:tr w:rsidR="00283DBA" w:rsidRPr="00E56123" w:rsidTr="006455C6">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Ministerstvo zdravotníctva SR</w:t>
            </w:r>
          </w:p>
        </w:tc>
      </w:tr>
      <w:tr w:rsidR="00283DBA" w:rsidRPr="00E56123" w:rsidTr="006455C6">
        <w:tc>
          <w:tcPr>
            <w:tcW w:w="4215" w:type="dxa"/>
            <w:gridSpan w:val="2"/>
            <w:vMerge w:val="restart"/>
            <w:tcBorders>
              <w:top w:val="single" w:sz="4" w:space="0" w:color="auto"/>
              <w:left w:val="single" w:sz="4" w:space="0" w:color="auto"/>
              <w:bottom w:val="single" w:sz="4" w:space="0" w:color="FFFFFF"/>
            </w:tcBorders>
            <w:shd w:val="clear" w:color="auto" w:fill="E2E2E2"/>
            <w:vAlign w:val="center"/>
          </w:tcPr>
          <w:p w:rsidR="00283DBA" w:rsidRPr="00E56123" w:rsidRDefault="00283DBA" w:rsidP="006455C6">
            <w:pPr>
              <w:pStyle w:val="Odsekzoznamu"/>
              <w:ind w:left="142"/>
              <w:rPr>
                <w:rFonts w:ascii="Times New Roman" w:hAnsi="Times New Roman"/>
                <w:b/>
                <w:sz w:val="24"/>
                <w:szCs w:val="24"/>
              </w:rPr>
            </w:pPr>
            <w:r w:rsidRPr="00E56123">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283DBA" w:rsidRPr="00E56123" w:rsidRDefault="00283DBA" w:rsidP="006455C6">
            <w:pPr>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4260" w:type="dxa"/>
            <w:gridSpan w:val="7"/>
            <w:tcBorders>
              <w:top w:val="single" w:sz="4" w:space="0" w:color="auto"/>
              <w:left w:val="nil"/>
              <w:bottom w:val="single" w:sz="4" w:space="0" w:color="auto"/>
              <w:right w:val="single" w:sz="4" w:space="0" w:color="auto"/>
            </w:tcBorders>
            <w:shd w:val="clear" w:color="auto" w:fill="FFFFFF"/>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Materiál nelegislatívnej povahy</w:t>
            </w:r>
          </w:p>
        </w:tc>
      </w:tr>
      <w:tr w:rsidR="00283DBA" w:rsidRPr="00E56123" w:rsidTr="006455C6">
        <w:tc>
          <w:tcPr>
            <w:tcW w:w="4215" w:type="dxa"/>
            <w:gridSpan w:val="2"/>
            <w:vMerge/>
            <w:tcBorders>
              <w:top w:val="nil"/>
              <w:left w:val="single" w:sz="4" w:space="0" w:color="auto"/>
              <w:bottom w:val="single" w:sz="4" w:space="0" w:color="FFFFFF"/>
            </w:tcBorders>
            <w:shd w:val="clear" w:color="auto" w:fill="E2E2E2"/>
          </w:tcPr>
          <w:p w:rsidR="00283DBA" w:rsidRPr="00E56123" w:rsidRDefault="00283DBA" w:rsidP="006455C6">
            <w:pPr>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283DBA" w:rsidRPr="00E56123" w:rsidRDefault="00283DBA" w:rsidP="006455C6">
            <w:pPr>
              <w:jc w:val="center"/>
              <w:rPr>
                <w:rFonts w:ascii="Times New Roman" w:hAnsi="Times New Roman"/>
                <w:sz w:val="24"/>
                <w:szCs w:val="24"/>
              </w:rPr>
            </w:pPr>
            <w:r w:rsidRPr="00E56123">
              <w:rPr>
                <w:rFonts w:ascii="Segoe UI Symbol" w:eastAsia="MS Gothic" w:hAnsi="Segoe UI Symbol" w:cs="Segoe UI Symbol"/>
                <w:sz w:val="24"/>
                <w:szCs w:val="24"/>
              </w:rPr>
              <w:t>☒</w:t>
            </w:r>
          </w:p>
        </w:tc>
        <w:tc>
          <w:tcPr>
            <w:tcW w:w="4260" w:type="dxa"/>
            <w:gridSpan w:val="7"/>
            <w:tcBorders>
              <w:top w:val="single" w:sz="4" w:space="0" w:color="auto"/>
              <w:left w:val="nil"/>
              <w:bottom w:val="single" w:sz="4" w:space="0" w:color="auto"/>
              <w:right w:val="single" w:sz="4" w:space="0" w:color="auto"/>
            </w:tcBorders>
            <w:shd w:val="clear" w:color="auto" w:fill="FFFFFF"/>
          </w:tcPr>
          <w:p w:rsidR="00283DBA" w:rsidRPr="00E56123" w:rsidRDefault="00283DBA" w:rsidP="006455C6">
            <w:pPr>
              <w:ind w:left="175" w:hanging="175"/>
              <w:rPr>
                <w:rFonts w:ascii="Times New Roman" w:hAnsi="Times New Roman"/>
                <w:sz w:val="24"/>
                <w:szCs w:val="24"/>
              </w:rPr>
            </w:pPr>
            <w:r w:rsidRPr="00E56123">
              <w:rPr>
                <w:rFonts w:ascii="Times New Roman" w:hAnsi="Times New Roman"/>
                <w:sz w:val="24"/>
                <w:szCs w:val="24"/>
              </w:rPr>
              <w:t>Materiál legislatívnej povahy</w:t>
            </w:r>
          </w:p>
        </w:tc>
      </w:tr>
      <w:tr w:rsidR="00283DBA" w:rsidRPr="00E56123" w:rsidTr="006455C6">
        <w:tc>
          <w:tcPr>
            <w:tcW w:w="4215" w:type="dxa"/>
            <w:gridSpan w:val="2"/>
            <w:vMerge/>
            <w:tcBorders>
              <w:top w:val="nil"/>
              <w:left w:val="single" w:sz="4" w:space="0" w:color="auto"/>
              <w:bottom w:val="single" w:sz="4" w:space="0" w:color="auto"/>
            </w:tcBorders>
            <w:shd w:val="clear" w:color="auto" w:fill="E2E2E2"/>
          </w:tcPr>
          <w:p w:rsidR="00283DBA" w:rsidRPr="00E56123" w:rsidRDefault="00283DBA" w:rsidP="006455C6">
            <w:pPr>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283DBA" w:rsidRPr="00E56123" w:rsidRDefault="00283DBA" w:rsidP="006455C6">
            <w:pPr>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4260" w:type="dxa"/>
            <w:gridSpan w:val="7"/>
            <w:tcBorders>
              <w:top w:val="single" w:sz="4" w:space="0" w:color="auto"/>
              <w:left w:val="nil"/>
              <w:bottom w:val="single" w:sz="4" w:space="0" w:color="auto"/>
              <w:right w:val="single" w:sz="4" w:space="0" w:color="auto"/>
            </w:tcBorders>
            <w:shd w:val="clear" w:color="auto" w:fill="FFFFFF"/>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Transpozícia práva EÚ</w:t>
            </w:r>
          </w:p>
        </w:tc>
      </w:tr>
      <w:tr w:rsidR="00283DBA" w:rsidRPr="00E56123" w:rsidTr="006455C6">
        <w:tc>
          <w:tcPr>
            <w:tcW w:w="9180" w:type="dxa"/>
            <w:gridSpan w:val="11"/>
            <w:tcBorders>
              <w:top w:val="single" w:sz="4" w:space="0" w:color="auto"/>
              <w:left w:val="single" w:sz="4" w:space="0" w:color="auto"/>
              <w:bottom w:val="single" w:sz="4" w:space="0" w:color="FFFFFF"/>
              <w:right w:val="single" w:sz="4" w:space="0" w:color="auto"/>
            </w:tcBorders>
            <w:shd w:val="clear" w:color="auto" w:fill="FFFFFF"/>
          </w:tcPr>
          <w:p w:rsidR="00283DBA" w:rsidRPr="00E56123" w:rsidRDefault="00283DBA" w:rsidP="006455C6">
            <w:pPr>
              <w:rPr>
                <w:rFonts w:ascii="Times New Roman" w:hAnsi="Times New Roman"/>
                <w:i/>
                <w:sz w:val="24"/>
                <w:szCs w:val="24"/>
              </w:rPr>
            </w:pPr>
            <w:r w:rsidRPr="00E56123">
              <w:rPr>
                <w:rFonts w:ascii="Times New Roman" w:hAnsi="Times New Roman"/>
                <w:i/>
                <w:sz w:val="24"/>
                <w:szCs w:val="24"/>
              </w:rPr>
              <w:t>V prípade transpozície uveďte zoznam transponovaných predpisov:</w:t>
            </w:r>
          </w:p>
          <w:p w:rsidR="00283DBA" w:rsidRPr="00E56123" w:rsidRDefault="00283DBA" w:rsidP="006455C6">
            <w:pPr>
              <w:rPr>
                <w:rFonts w:ascii="Times New Roman" w:hAnsi="Times New Roman"/>
                <w:i/>
                <w:sz w:val="24"/>
                <w:szCs w:val="24"/>
              </w:rPr>
            </w:pPr>
          </w:p>
        </w:tc>
      </w:tr>
      <w:tr w:rsidR="00283DBA" w:rsidRPr="00E56123" w:rsidTr="006455C6">
        <w:tc>
          <w:tcPr>
            <w:tcW w:w="6065" w:type="dxa"/>
            <w:gridSpan w:val="6"/>
            <w:tcBorders>
              <w:top w:val="single" w:sz="4" w:space="0" w:color="000000"/>
              <w:left w:val="single" w:sz="4" w:space="0" w:color="auto"/>
              <w:bottom w:val="single" w:sz="4" w:space="0" w:color="FFFFFF"/>
              <w:right w:val="single" w:sz="4" w:space="0" w:color="auto"/>
            </w:tcBorders>
            <w:shd w:val="clear" w:color="auto" w:fill="E2E2E2"/>
          </w:tcPr>
          <w:p w:rsidR="00283DBA" w:rsidRPr="00E56123" w:rsidRDefault="00283DBA" w:rsidP="006455C6">
            <w:pPr>
              <w:pStyle w:val="Odsekzoznamu"/>
              <w:ind w:left="142"/>
              <w:rPr>
                <w:rFonts w:ascii="Times New Roman" w:hAnsi="Times New Roman"/>
                <w:b/>
                <w:sz w:val="24"/>
                <w:szCs w:val="24"/>
              </w:rPr>
            </w:pPr>
            <w:r w:rsidRPr="00E56123">
              <w:rPr>
                <w:rFonts w:ascii="Times New Roman" w:hAnsi="Times New Roman"/>
                <w:b/>
                <w:sz w:val="24"/>
                <w:szCs w:val="24"/>
              </w:rPr>
              <w:t>Termín začiatku a ukončenia PPK</w:t>
            </w:r>
          </w:p>
        </w:tc>
        <w:tc>
          <w:tcPr>
            <w:tcW w:w="3115" w:type="dxa"/>
            <w:gridSpan w:val="5"/>
            <w:tcBorders>
              <w:top w:val="single" w:sz="4" w:space="0" w:color="000000"/>
              <w:left w:val="single" w:sz="4" w:space="0" w:color="auto"/>
              <w:bottom w:val="single" w:sz="4" w:space="0" w:color="auto"/>
              <w:right w:val="single" w:sz="4" w:space="0" w:color="auto"/>
            </w:tcBorders>
          </w:tcPr>
          <w:p w:rsidR="00283DBA" w:rsidRPr="00E56123" w:rsidRDefault="00283DBA" w:rsidP="006455C6">
            <w:pPr>
              <w:rPr>
                <w:rFonts w:ascii="Times New Roman" w:hAnsi="Times New Roman"/>
                <w:sz w:val="24"/>
                <w:szCs w:val="24"/>
              </w:rPr>
            </w:pPr>
            <w:r w:rsidRPr="00E56123">
              <w:rPr>
                <w:rFonts w:ascii="Times New Roman" w:hAnsi="Times New Roman"/>
                <w:i/>
                <w:sz w:val="24"/>
                <w:szCs w:val="24"/>
              </w:rPr>
              <w:t xml:space="preserve">    </w:t>
            </w:r>
            <w:r w:rsidRPr="00E56123">
              <w:rPr>
                <w:rFonts w:ascii="Times New Roman" w:hAnsi="Times New Roman"/>
                <w:sz w:val="24"/>
                <w:szCs w:val="24"/>
              </w:rPr>
              <w:t>november 2018</w:t>
            </w:r>
          </w:p>
        </w:tc>
      </w:tr>
      <w:tr w:rsidR="00283DBA" w:rsidRPr="00E56123" w:rsidTr="006455C6">
        <w:trPr>
          <w:trHeight w:val="128"/>
        </w:trPr>
        <w:tc>
          <w:tcPr>
            <w:tcW w:w="6065" w:type="dxa"/>
            <w:gridSpan w:val="6"/>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6455C6">
            <w:pPr>
              <w:pStyle w:val="Odsekzoznamu"/>
              <w:ind w:left="142"/>
              <w:rPr>
                <w:rFonts w:ascii="Times New Roman" w:hAnsi="Times New Roman"/>
                <w:b/>
                <w:sz w:val="24"/>
                <w:szCs w:val="24"/>
              </w:rPr>
            </w:pPr>
            <w:r w:rsidRPr="00E56123">
              <w:rPr>
                <w:rFonts w:ascii="Times New Roman" w:hAnsi="Times New Roman"/>
                <w:b/>
                <w:sz w:val="24"/>
                <w:szCs w:val="24"/>
              </w:rPr>
              <w:t>Predpokladaný termín predloženia na MPK*</w:t>
            </w:r>
          </w:p>
        </w:tc>
        <w:tc>
          <w:tcPr>
            <w:tcW w:w="3115" w:type="dxa"/>
            <w:gridSpan w:val="5"/>
            <w:tcBorders>
              <w:top w:val="single" w:sz="4" w:space="0" w:color="auto"/>
              <w:left w:val="single" w:sz="4" w:space="0" w:color="auto"/>
              <w:bottom w:val="single" w:sz="4" w:space="0" w:color="auto"/>
              <w:right w:val="single" w:sz="4" w:space="0" w:color="auto"/>
            </w:tcBorders>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 xml:space="preserve">    december 2018</w:t>
            </w:r>
          </w:p>
        </w:tc>
      </w:tr>
      <w:tr w:rsidR="00283DBA" w:rsidRPr="00E56123" w:rsidTr="006455C6">
        <w:tc>
          <w:tcPr>
            <w:tcW w:w="6065" w:type="dxa"/>
            <w:gridSpan w:val="6"/>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6455C6">
            <w:pPr>
              <w:pStyle w:val="Odsekzoznamu"/>
              <w:ind w:left="142"/>
              <w:rPr>
                <w:rFonts w:ascii="Times New Roman" w:hAnsi="Times New Roman"/>
                <w:b/>
                <w:sz w:val="24"/>
                <w:szCs w:val="24"/>
              </w:rPr>
            </w:pPr>
            <w:r w:rsidRPr="00E56123">
              <w:rPr>
                <w:rFonts w:ascii="Times New Roman" w:hAnsi="Times New Roman"/>
                <w:b/>
                <w:sz w:val="24"/>
                <w:szCs w:val="24"/>
              </w:rPr>
              <w:t>Predpokladaný termín predloženia na Rokovanie vlády SR*</w:t>
            </w:r>
          </w:p>
        </w:tc>
        <w:tc>
          <w:tcPr>
            <w:tcW w:w="3115" w:type="dxa"/>
            <w:gridSpan w:val="5"/>
            <w:tcBorders>
              <w:top w:val="single" w:sz="4" w:space="0" w:color="auto"/>
              <w:left w:val="single" w:sz="4" w:space="0" w:color="auto"/>
              <w:bottom w:val="single" w:sz="4" w:space="0" w:color="auto"/>
              <w:right w:val="single" w:sz="4" w:space="0" w:color="auto"/>
            </w:tcBorders>
          </w:tcPr>
          <w:p w:rsidR="00283DBA" w:rsidRPr="00E56123" w:rsidRDefault="00283DBA" w:rsidP="006455C6">
            <w:pPr>
              <w:rPr>
                <w:rFonts w:ascii="Times New Roman" w:hAnsi="Times New Roman"/>
                <w:i/>
                <w:sz w:val="24"/>
                <w:szCs w:val="24"/>
              </w:rPr>
            </w:pPr>
            <w:r w:rsidRPr="00E56123">
              <w:rPr>
                <w:rFonts w:ascii="Times New Roman" w:hAnsi="Times New Roman"/>
                <w:sz w:val="24"/>
                <w:szCs w:val="24"/>
              </w:rPr>
              <w:t xml:space="preserve">    február 2019</w:t>
            </w:r>
          </w:p>
        </w:tc>
      </w:tr>
      <w:tr w:rsidR="00283DBA" w:rsidRPr="00E56123" w:rsidTr="006455C6">
        <w:tc>
          <w:tcPr>
            <w:tcW w:w="9180" w:type="dxa"/>
            <w:gridSpan w:val="11"/>
            <w:tcBorders>
              <w:top w:val="single" w:sz="4" w:space="0" w:color="auto"/>
              <w:left w:val="single" w:sz="4" w:space="0" w:color="auto"/>
              <w:bottom w:val="single" w:sz="4" w:space="0" w:color="auto"/>
              <w:right w:val="single" w:sz="4" w:space="0" w:color="auto"/>
            </w:tcBorders>
            <w:shd w:val="clear" w:color="auto" w:fill="FFFFFF"/>
          </w:tcPr>
          <w:p w:rsidR="00283DBA" w:rsidRPr="00E56123" w:rsidRDefault="00283DBA" w:rsidP="006455C6">
            <w:pPr>
              <w:rPr>
                <w:rFonts w:ascii="Times New Roman" w:hAnsi="Times New Roman"/>
                <w:sz w:val="24"/>
                <w:szCs w:val="24"/>
              </w:rPr>
            </w:pPr>
          </w:p>
        </w:tc>
      </w:tr>
      <w:tr w:rsidR="00283DBA" w:rsidRPr="00E56123" w:rsidTr="006455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Definícia problému</w:t>
            </w:r>
          </w:p>
        </w:tc>
      </w:tr>
      <w:tr w:rsidR="00283DBA" w:rsidRPr="00E56123" w:rsidTr="006455C6">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83DBA" w:rsidRPr="00E56123" w:rsidRDefault="00283DBA" w:rsidP="006455C6">
            <w:pPr>
              <w:jc w:val="both"/>
              <w:rPr>
                <w:rFonts w:ascii="Times New Roman" w:eastAsia="Times New Roman" w:hAnsi="Times New Roman"/>
                <w:bCs/>
                <w:sz w:val="24"/>
                <w:szCs w:val="24"/>
              </w:rPr>
            </w:pPr>
            <w:r w:rsidRPr="00E56123">
              <w:rPr>
                <w:rFonts w:ascii="Times New Roman" w:eastAsia="Times New Roman" w:hAnsi="Times New Roman"/>
                <w:bCs/>
                <w:sz w:val="24"/>
                <w:szCs w:val="24"/>
              </w:rPr>
              <w:t>Navrhovaná právna úprava sa predkladá v nadväznosti na potrebu upraviť výšku úhrady zdravotnej poisťovne za</w:t>
            </w:r>
            <w:r w:rsidRPr="00E56123">
              <w:rPr>
                <w:rFonts w:ascii="Times New Roman" w:eastAsia="Calibri" w:hAnsi="Times New Roman"/>
                <w:sz w:val="24"/>
                <w:szCs w:val="24"/>
                <w:lang w:eastAsia="en-US"/>
              </w:rPr>
              <w:t> </w:t>
            </w:r>
            <w:r w:rsidRPr="00E56123">
              <w:rPr>
                <w:rFonts w:ascii="Times New Roman" w:eastAsia="Times New Roman" w:hAnsi="Times New Roman"/>
                <w:bCs/>
                <w:sz w:val="24"/>
                <w:szCs w:val="24"/>
              </w:rPr>
              <w:t xml:space="preserve">poskytovanie zdravotnej starostlivosti ambulanciou </w:t>
            </w:r>
            <w:r w:rsidRPr="00E56123">
              <w:rPr>
                <w:rFonts w:ascii="Times New Roman" w:hAnsi="Times New Roman"/>
                <w:bCs/>
                <w:sz w:val="24"/>
                <w:szCs w:val="24"/>
              </w:rPr>
              <w:t>ambulantnej pohotovostnej služby</w:t>
            </w:r>
            <w:r w:rsidRPr="00E56123">
              <w:rPr>
                <w:rFonts w:ascii="Times New Roman" w:eastAsia="Times New Roman" w:hAnsi="Times New Roman"/>
                <w:bCs/>
                <w:sz w:val="24"/>
                <w:szCs w:val="24"/>
              </w:rPr>
              <w:t xml:space="preserve"> v nadväznosti na</w:t>
            </w:r>
            <w:r w:rsidRPr="00E56123">
              <w:rPr>
                <w:rFonts w:ascii="Times New Roman" w:hAnsi="Times New Roman"/>
                <w:sz w:val="24"/>
                <w:szCs w:val="24"/>
                <w:lang w:eastAsia="en-US"/>
              </w:rPr>
              <w:t> </w:t>
            </w:r>
            <w:r w:rsidRPr="00E56123">
              <w:rPr>
                <w:rFonts w:ascii="Times New Roman" w:eastAsia="Times New Roman" w:hAnsi="Times New Roman"/>
                <w:bCs/>
                <w:sz w:val="24"/>
                <w:szCs w:val="24"/>
              </w:rPr>
              <w:t>legislatívne zmeny účinné od 1. januára 2019 súvisiace so mzdovým ohodnotením zdravotníckych pracovníkov, ktoré sa premietnu aj do zvýšenia mzdového ohodnotenia sestier slúžiacich v ambulanciách pevnej</w:t>
            </w:r>
            <w:r w:rsidRPr="00E56123">
              <w:rPr>
                <w:rFonts w:ascii="Times New Roman" w:hAnsi="Times New Roman"/>
                <w:bCs/>
                <w:sz w:val="24"/>
                <w:szCs w:val="24"/>
              </w:rPr>
              <w:t xml:space="preserve"> </w:t>
            </w:r>
            <w:r w:rsidRPr="00E56123">
              <w:rPr>
                <w:rFonts w:ascii="Times New Roman" w:eastAsia="Times New Roman" w:hAnsi="Times New Roman"/>
                <w:bCs/>
                <w:sz w:val="24"/>
                <w:szCs w:val="24"/>
              </w:rPr>
              <w:t>ambulantnej pohotovostnej služby a ktorá vyplýva z analýzy segmentu ambulantnej pohotovostnej služby po zavedení týchto ambulancií do praxe.</w:t>
            </w:r>
          </w:p>
          <w:p w:rsidR="00283DBA" w:rsidRPr="00E56123" w:rsidRDefault="00283DBA" w:rsidP="006455C6">
            <w:pPr>
              <w:pStyle w:val="Nzov"/>
              <w:jc w:val="both"/>
              <w:rPr>
                <w:rFonts w:ascii="Times New Roman" w:hAnsi="Times New Roman"/>
                <w:bCs/>
                <w:szCs w:val="24"/>
              </w:rPr>
            </w:pPr>
            <w:r w:rsidRPr="00E56123">
              <w:rPr>
                <w:rFonts w:ascii="Times New Roman" w:hAnsi="Times New Roman"/>
                <w:bCs/>
                <w:szCs w:val="24"/>
              </w:rPr>
              <w:t>Úpravou výšky úhrady pre ambulancie ambulantnej pohotovostnej služby z prostriedkov verejného zdravotného poistenia sa zabezpečí primerané finančné krytie ekonomicky oprávnených nákladov u týchto poskytovateľov tak, aby mohli plniť svoju funkciu v požadovanej kvalite a na adekvátnej úrovni.</w:t>
            </w:r>
          </w:p>
        </w:tc>
      </w:tr>
      <w:tr w:rsidR="00283DBA" w:rsidRPr="00E56123" w:rsidTr="006455C6">
        <w:tc>
          <w:tcPr>
            <w:tcW w:w="9180" w:type="dxa"/>
            <w:gridSpan w:val="11"/>
            <w:tcBorders>
              <w:top w:val="single" w:sz="4" w:space="0" w:color="auto"/>
              <w:left w:val="single" w:sz="4" w:space="0" w:color="auto"/>
              <w:bottom w:val="nil"/>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Ciele a výsledný stav</w:t>
            </w:r>
          </w:p>
        </w:tc>
      </w:tr>
      <w:tr w:rsidR="00283DBA" w:rsidRPr="00E56123" w:rsidTr="006455C6">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283DBA" w:rsidRPr="00E56123" w:rsidRDefault="00283DBA" w:rsidP="006455C6">
            <w:pPr>
              <w:jc w:val="both"/>
              <w:rPr>
                <w:rStyle w:val="Zstupntext"/>
                <w:color w:val="000000"/>
                <w:sz w:val="24"/>
                <w:szCs w:val="24"/>
              </w:rPr>
            </w:pPr>
            <w:r w:rsidRPr="00E56123">
              <w:rPr>
                <w:rFonts w:ascii="Times New Roman" w:hAnsi="Times New Roman"/>
                <w:bCs/>
                <w:sz w:val="24"/>
                <w:szCs w:val="24"/>
              </w:rPr>
              <w:lastRenderedPageBreak/>
              <w:t>Cieľom navrhovanej novely nariadenia je upraviť výšku úhrady pre ambulancie ambulantnej pohotovostnej služby z prostriedkov verejného zdravotného poistenia tak, aby sa zabezpečilo primerané finančné krytie ekonomicky oprávnených nákladov u poskytovateľov ambulantnej pohotovostnej služby, aby mohli plniť svoju funkciu v požadovanej kvalite a na adekvátnej úrovni</w:t>
            </w:r>
          </w:p>
          <w:p w:rsidR="00283DBA" w:rsidRPr="00E56123" w:rsidRDefault="00283DBA" w:rsidP="006455C6">
            <w:pPr>
              <w:jc w:val="both"/>
              <w:rPr>
                <w:rFonts w:ascii="Times New Roman" w:hAnsi="Times New Roman"/>
                <w:sz w:val="24"/>
                <w:szCs w:val="24"/>
              </w:rPr>
            </w:pPr>
            <w:r w:rsidRPr="00E56123">
              <w:rPr>
                <w:rStyle w:val="Zstupntext"/>
                <w:color w:val="000000"/>
                <w:sz w:val="24"/>
                <w:szCs w:val="24"/>
              </w:rPr>
              <w:t xml:space="preserve">Účelom navrhovaného nariadenia vlády je stanoviť </w:t>
            </w:r>
            <w:r w:rsidRPr="00E56123">
              <w:rPr>
                <w:rFonts w:ascii="Times New Roman" w:hAnsi="Times New Roman"/>
                <w:bCs/>
                <w:sz w:val="24"/>
                <w:szCs w:val="24"/>
              </w:rPr>
              <w:t xml:space="preserve">výšku úhrady za zdravotnú starostlivosť, ktorú uhrádza zdravotná poisťovňa poskytovateľovi ambulantnej pohotovostnej služby na zabezpečenie </w:t>
            </w:r>
            <w:r w:rsidRPr="00E56123">
              <w:rPr>
                <w:rStyle w:val="Zstupntext"/>
                <w:color w:val="000000"/>
                <w:sz w:val="24"/>
                <w:szCs w:val="24"/>
              </w:rPr>
              <w:t>primeraného finančného krytia ekonomicky oprávnených nákladov týchto ambulancií zo zdrojov verejného zdravotného poistenia.</w:t>
            </w:r>
          </w:p>
        </w:tc>
      </w:tr>
      <w:tr w:rsidR="00283DBA" w:rsidRPr="00E56123" w:rsidTr="006455C6">
        <w:tc>
          <w:tcPr>
            <w:tcW w:w="9180" w:type="dxa"/>
            <w:gridSpan w:val="11"/>
            <w:tcBorders>
              <w:top w:val="single" w:sz="4" w:space="0" w:color="auto"/>
              <w:left w:val="single" w:sz="4" w:space="0" w:color="auto"/>
              <w:bottom w:val="nil"/>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Dotknuté subjekty</w:t>
            </w:r>
          </w:p>
        </w:tc>
      </w:tr>
      <w:tr w:rsidR="00283DBA" w:rsidRPr="00E56123" w:rsidTr="006455C6">
        <w:tc>
          <w:tcPr>
            <w:tcW w:w="9180" w:type="dxa"/>
            <w:gridSpan w:val="11"/>
            <w:tcBorders>
              <w:top w:val="nil"/>
              <w:left w:val="single" w:sz="4" w:space="0" w:color="auto"/>
              <w:bottom w:val="single" w:sz="4" w:space="0" w:color="auto"/>
              <w:right w:val="single" w:sz="4" w:space="0" w:color="auto"/>
            </w:tcBorders>
            <w:shd w:val="clear" w:color="auto" w:fill="FFFFFF"/>
          </w:tcPr>
          <w:p w:rsidR="00283DBA" w:rsidRPr="00E56123" w:rsidRDefault="00283DBA" w:rsidP="006455C6">
            <w:pPr>
              <w:jc w:val="both"/>
              <w:rPr>
                <w:rFonts w:ascii="Times New Roman" w:hAnsi="Times New Roman"/>
                <w:i/>
                <w:sz w:val="24"/>
                <w:szCs w:val="24"/>
              </w:rPr>
            </w:pPr>
            <w:r w:rsidRPr="00E56123">
              <w:rPr>
                <w:rFonts w:ascii="Times New Roman" w:hAnsi="Times New Roman"/>
                <w:sz w:val="24"/>
                <w:szCs w:val="24"/>
              </w:rPr>
              <w:t>Zdravotné poisťovne, poskytovatelia zdravotnej starostlivosti, ktorí majú povolenie na</w:t>
            </w:r>
            <w:r w:rsidRPr="00E56123">
              <w:rPr>
                <w:rFonts w:ascii="Times New Roman" w:hAnsi="Times New Roman"/>
                <w:bCs/>
                <w:sz w:val="24"/>
                <w:szCs w:val="24"/>
              </w:rPr>
              <w:t> </w:t>
            </w:r>
            <w:r w:rsidRPr="00E56123">
              <w:rPr>
                <w:rFonts w:ascii="Times New Roman" w:hAnsi="Times New Roman"/>
                <w:sz w:val="24"/>
                <w:szCs w:val="24"/>
              </w:rPr>
              <w:t>prevádzkovanie (alebo poverenie na dočasné prevádzkovanie) ambulancie pevnej ambulantnej pohotovostnej služby</w:t>
            </w:r>
          </w:p>
        </w:tc>
      </w:tr>
      <w:tr w:rsidR="00283DBA" w:rsidRPr="00E56123" w:rsidTr="006455C6">
        <w:tc>
          <w:tcPr>
            <w:tcW w:w="9180" w:type="dxa"/>
            <w:gridSpan w:val="11"/>
            <w:tcBorders>
              <w:top w:val="single" w:sz="4" w:space="0" w:color="auto"/>
              <w:left w:val="single" w:sz="4" w:space="0" w:color="auto"/>
              <w:bottom w:val="nil"/>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Alternatívne riešenia</w:t>
            </w:r>
          </w:p>
        </w:tc>
      </w:tr>
      <w:tr w:rsidR="00283DBA" w:rsidRPr="00E56123" w:rsidTr="006455C6">
        <w:trPr>
          <w:trHeight w:val="356"/>
        </w:trPr>
        <w:tc>
          <w:tcPr>
            <w:tcW w:w="9180" w:type="dxa"/>
            <w:gridSpan w:val="11"/>
            <w:tcBorders>
              <w:top w:val="nil"/>
              <w:left w:val="single" w:sz="4" w:space="0" w:color="auto"/>
              <w:bottom w:val="single" w:sz="4" w:space="0" w:color="auto"/>
              <w:right w:val="single" w:sz="4" w:space="0" w:color="auto"/>
            </w:tcBorders>
            <w:shd w:val="clear" w:color="auto" w:fill="FFFFFF"/>
          </w:tcPr>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 xml:space="preserve">Nie sú. </w:t>
            </w:r>
          </w:p>
          <w:p w:rsidR="00283DBA" w:rsidRPr="00E56123" w:rsidRDefault="00283DBA" w:rsidP="006455C6">
            <w:pPr>
              <w:jc w:val="both"/>
              <w:rPr>
                <w:rFonts w:ascii="Times New Roman" w:hAnsi="Times New Roman"/>
                <w:strike/>
                <w:sz w:val="24"/>
                <w:szCs w:val="24"/>
              </w:rPr>
            </w:pPr>
            <w:r w:rsidRPr="00E56123">
              <w:rPr>
                <w:rFonts w:ascii="Times New Roman" w:hAnsi="Times New Roman"/>
                <w:sz w:val="24"/>
                <w:szCs w:val="24"/>
              </w:rPr>
              <w:t xml:space="preserve">Nultý variant: Platná právna úprava výšky úhrady pre </w:t>
            </w:r>
            <w:r w:rsidRPr="00E56123">
              <w:rPr>
                <w:rFonts w:ascii="Times New Roman" w:hAnsi="Times New Roman"/>
                <w:bCs/>
                <w:sz w:val="24"/>
                <w:szCs w:val="24"/>
              </w:rPr>
              <w:t xml:space="preserve">ambulancie ambulantnej pohotovostnej služby z prostriedkov verejného zdravotného poistenia </w:t>
            </w:r>
            <w:r w:rsidRPr="00E56123">
              <w:rPr>
                <w:rFonts w:ascii="Times New Roman" w:hAnsi="Times New Roman"/>
                <w:sz w:val="24"/>
                <w:szCs w:val="24"/>
              </w:rPr>
              <w:t xml:space="preserve">si vyžaduje zmenu, nakoľko súčasná výška úhrady nezohľadňuje ekonomicky oprávnené náklady u týchto poskytovateľov zdravotnej starostlivosti pre rok 2019. Ak by nedošlo k vydaniu novely nariadenia vlády, ktorým sa upravuje výška úhrady pre ambulancie </w:t>
            </w:r>
            <w:r w:rsidRPr="00E56123">
              <w:rPr>
                <w:rFonts w:ascii="Times New Roman" w:eastAsia="Times New Roman" w:hAnsi="Times New Roman"/>
                <w:bCs/>
                <w:sz w:val="24"/>
                <w:szCs w:val="24"/>
              </w:rPr>
              <w:t>ambulantnej pohotovostnej služby</w:t>
            </w:r>
            <w:r w:rsidRPr="00E56123">
              <w:rPr>
                <w:rFonts w:ascii="Times New Roman" w:hAnsi="Times New Roman"/>
                <w:sz w:val="24"/>
                <w:szCs w:val="24"/>
              </w:rPr>
              <w:t xml:space="preserve">, uvedené by malo priamy negatívny dopad na zabezpečenie a kvalitu poskytovania zdravotnej starostlivosti v ambulanciách </w:t>
            </w:r>
            <w:r w:rsidRPr="00E56123">
              <w:rPr>
                <w:rFonts w:ascii="Times New Roman" w:eastAsia="Times New Roman" w:hAnsi="Times New Roman"/>
                <w:bCs/>
                <w:sz w:val="24"/>
                <w:szCs w:val="24"/>
              </w:rPr>
              <w:t>ambulantnej pohotovostnej služby, nakoľko je potrebné zosúladiť aktuálnu výšku úhrady s legislatívnymi zmenami účinnými od 1. januára 2019, ktoré sú upravené v nariadení vlády Slovenskej republiky č. 300/2018 Z. z., ktorým sa ustanovuje suma minimálnej mzdy na rok 2019, v nadväznosti na</w:t>
            </w:r>
            <w:r w:rsidRPr="00E56123">
              <w:rPr>
                <w:rFonts w:ascii="Times New Roman" w:eastAsia="Calibri" w:hAnsi="Times New Roman"/>
                <w:sz w:val="24"/>
                <w:szCs w:val="24"/>
                <w:lang w:eastAsia="en-US"/>
              </w:rPr>
              <w:t> </w:t>
            </w:r>
            <w:r w:rsidRPr="00E56123">
              <w:rPr>
                <w:rFonts w:ascii="Times New Roman" w:eastAsia="Times New Roman" w:hAnsi="Times New Roman"/>
                <w:bCs/>
                <w:sz w:val="24"/>
                <w:szCs w:val="24"/>
              </w:rPr>
              <w:t>Zákonník práce a s plánovanými zmenami legislatívy účinnými od 1. januára 2019 v zákone č. 578/2004 Z. z. o</w:t>
            </w:r>
            <w:r w:rsidRPr="00E56123">
              <w:rPr>
                <w:rFonts w:ascii="Times New Roman" w:hAnsi="Times New Roman"/>
                <w:bCs/>
                <w:sz w:val="24"/>
                <w:szCs w:val="24"/>
              </w:rPr>
              <w:t> </w:t>
            </w:r>
            <w:r w:rsidRPr="00E56123">
              <w:rPr>
                <w:rFonts w:ascii="Times New Roman" w:eastAsia="Times New Roman" w:hAnsi="Times New Roman"/>
                <w:bCs/>
                <w:sz w:val="24"/>
                <w:szCs w:val="24"/>
              </w:rPr>
              <w:t>poskytovateľoch zdravotnej starostlivosti, zdravotníckych pracovníkoch, stavovských organizáciách v</w:t>
            </w:r>
            <w:r w:rsidRPr="00E56123">
              <w:rPr>
                <w:rFonts w:ascii="Times New Roman" w:hAnsi="Times New Roman"/>
                <w:bCs/>
                <w:sz w:val="24"/>
                <w:szCs w:val="24"/>
              </w:rPr>
              <w:t> </w:t>
            </w:r>
            <w:r w:rsidRPr="00E56123">
              <w:rPr>
                <w:rFonts w:ascii="Times New Roman" w:eastAsia="Times New Roman" w:hAnsi="Times New Roman"/>
                <w:bCs/>
                <w:sz w:val="24"/>
                <w:szCs w:val="24"/>
              </w:rPr>
              <w:t>zdravotníctve a o zmene a doplnení niektorých zákonov v znení neskorších predpisov a nezohľadňuje ani náklady súvisiace s vybudovaním ambulantnej pohotovostnej služby.</w:t>
            </w:r>
          </w:p>
        </w:tc>
      </w:tr>
      <w:tr w:rsidR="00283DBA" w:rsidRPr="00E56123" w:rsidTr="006455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Vykonávacie predpisy</w:t>
            </w:r>
          </w:p>
        </w:tc>
      </w:tr>
      <w:tr w:rsidR="00283DBA" w:rsidRPr="00E56123" w:rsidTr="006455C6">
        <w:tc>
          <w:tcPr>
            <w:tcW w:w="6206" w:type="dxa"/>
            <w:gridSpan w:val="7"/>
            <w:tcBorders>
              <w:top w:val="single" w:sz="4" w:space="0" w:color="FFFFFF"/>
              <w:left w:val="single" w:sz="4" w:space="0" w:color="auto"/>
              <w:bottom w:val="nil"/>
              <w:right w:val="nil"/>
            </w:tcBorders>
            <w:shd w:val="clear" w:color="auto" w:fill="FFFFFF"/>
          </w:tcPr>
          <w:p w:rsidR="00283DBA" w:rsidRPr="00E56123" w:rsidRDefault="00283DBA" w:rsidP="006455C6">
            <w:pPr>
              <w:rPr>
                <w:rFonts w:ascii="Times New Roman" w:hAnsi="Times New Roman"/>
                <w:i/>
                <w:sz w:val="24"/>
                <w:szCs w:val="24"/>
              </w:rPr>
            </w:pPr>
            <w:r w:rsidRPr="00E56123">
              <w:rPr>
                <w:rFonts w:ascii="Times New Roman" w:hAnsi="Times New Roman"/>
                <w:i/>
                <w:sz w:val="24"/>
                <w:szCs w:val="24"/>
              </w:rPr>
              <w:t>Predpokladá sa prijatie/zmena vykonávacích predpisov?</w:t>
            </w:r>
          </w:p>
        </w:tc>
        <w:tc>
          <w:tcPr>
            <w:tcW w:w="1418" w:type="dxa"/>
            <w:gridSpan w:val="2"/>
            <w:tcBorders>
              <w:top w:val="single" w:sz="4" w:space="0" w:color="FFFFFF"/>
              <w:left w:val="nil"/>
              <w:bottom w:val="nil"/>
              <w:right w:val="nil"/>
            </w:tcBorders>
            <w:shd w:val="clear" w:color="auto" w:fill="FFFFFF"/>
          </w:tcPr>
          <w:p w:rsidR="00283DBA" w:rsidRPr="00E56123" w:rsidRDefault="00283DBA" w:rsidP="006455C6">
            <w:pPr>
              <w:jc w:val="center"/>
              <w:rPr>
                <w:rFonts w:ascii="Times New Roman" w:hAnsi="Times New Roman"/>
                <w:sz w:val="24"/>
                <w:szCs w:val="24"/>
              </w:rPr>
            </w:pPr>
            <w:r w:rsidRPr="00E56123">
              <w:rPr>
                <w:rFonts w:ascii="Segoe UI Symbol" w:eastAsia="MS Gothic" w:hAnsi="Segoe UI Symbol" w:cs="Segoe UI Symbol"/>
                <w:sz w:val="24"/>
                <w:szCs w:val="24"/>
              </w:rPr>
              <w:t>☐</w:t>
            </w:r>
            <w:r w:rsidRPr="00E56123">
              <w:rPr>
                <w:rFonts w:ascii="Times New Roman" w:hAnsi="Times New Roman"/>
                <w:sz w:val="24"/>
                <w:szCs w:val="24"/>
              </w:rPr>
              <w:t xml:space="preserve">  Áno</w:t>
            </w:r>
          </w:p>
        </w:tc>
        <w:tc>
          <w:tcPr>
            <w:tcW w:w="1556" w:type="dxa"/>
            <w:gridSpan w:val="2"/>
            <w:tcBorders>
              <w:top w:val="single" w:sz="4" w:space="0" w:color="FFFFFF"/>
              <w:left w:val="nil"/>
              <w:bottom w:val="nil"/>
              <w:right w:val="single" w:sz="4" w:space="0" w:color="auto"/>
            </w:tcBorders>
            <w:shd w:val="clear" w:color="auto" w:fill="FFFFFF"/>
          </w:tcPr>
          <w:p w:rsidR="00283DBA" w:rsidRPr="00E56123" w:rsidRDefault="00283DBA" w:rsidP="006455C6">
            <w:pPr>
              <w:jc w:val="center"/>
              <w:rPr>
                <w:rFonts w:ascii="Times New Roman" w:hAnsi="Times New Roman"/>
                <w:sz w:val="24"/>
                <w:szCs w:val="24"/>
              </w:rPr>
            </w:pPr>
            <w:r w:rsidRPr="00E56123">
              <w:rPr>
                <w:rFonts w:ascii="Segoe UI Symbol" w:eastAsia="MS Gothic" w:hAnsi="Segoe UI Symbol" w:cs="Segoe UI Symbol"/>
                <w:sz w:val="24"/>
                <w:szCs w:val="24"/>
              </w:rPr>
              <w:t>☒</w:t>
            </w:r>
            <w:r w:rsidRPr="00E56123">
              <w:rPr>
                <w:rFonts w:ascii="Times New Roman" w:hAnsi="Times New Roman"/>
                <w:sz w:val="24"/>
                <w:szCs w:val="24"/>
              </w:rPr>
              <w:t xml:space="preserve">  Nie</w:t>
            </w:r>
          </w:p>
        </w:tc>
      </w:tr>
      <w:tr w:rsidR="00283DBA" w:rsidRPr="00E56123" w:rsidTr="006455C6">
        <w:tc>
          <w:tcPr>
            <w:tcW w:w="9180" w:type="dxa"/>
            <w:gridSpan w:val="11"/>
            <w:tcBorders>
              <w:top w:val="nil"/>
              <w:left w:val="single" w:sz="4" w:space="0" w:color="auto"/>
              <w:bottom w:val="single" w:sz="4" w:space="0" w:color="auto"/>
              <w:right w:val="single" w:sz="4" w:space="0" w:color="auto"/>
            </w:tcBorders>
            <w:shd w:val="clear" w:color="auto" w:fill="FFFFFF"/>
          </w:tcPr>
          <w:p w:rsidR="00283DBA" w:rsidRPr="00E56123" w:rsidRDefault="00283DBA" w:rsidP="006455C6">
            <w:pPr>
              <w:rPr>
                <w:rFonts w:ascii="Times New Roman" w:hAnsi="Times New Roman"/>
                <w:sz w:val="24"/>
                <w:szCs w:val="24"/>
              </w:rPr>
            </w:pPr>
          </w:p>
        </w:tc>
      </w:tr>
      <w:tr w:rsidR="00283DBA" w:rsidRPr="00E56123" w:rsidTr="006455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 xml:space="preserve">Transpozícia práva EÚ </w:t>
            </w:r>
          </w:p>
        </w:tc>
      </w:tr>
      <w:tr w:rsidR="00283DBA" w:rsidRPr="00E56123" w:rsidTr="006455C6">
        <w:trPr>
          <w:trHeight w:val="157"/>
        </w:trPr>
        <w:tc>
          <w:tcPr>
            <w:tcW w:w="9180" w:type="dxa"/>
            <w:gridSpan w:val="11"/>
            <w:tcBorders>
              <w:top w:val="nil"/>
              <w:left w:val="single" w:sz="4" w:space="0" w:color="auto"/>
              <w:bottom w:val="nil"/>
              <w:right w:val="single" w:sz="4" w:space="0" w:color="auto"/>
            </w:tcBorders>
            <w:shd w:val="clear" w:color="auto" w:fill="FFFFFF"/>
          </w:tcPr>
          <w:p w:rsidR="00283DBA" w:rsidRPr="00E56123" w:rsidRDefault="00283DBA" w:rsidP="006455C6">
            <w:pPr>
              <w:rPr>
                <w:rFonts w:ascii="Times New Roman" w:hAnsi="Times New Roman"/>
                <w:i/>
                <w:sz w:val="24"/>
                <w:szCs w:val="24"/>
              </w:rPr>
            </w:pPr>
            <w:r w:rsidRPr="00E56123">
              <w:rPr>
                <w:rFonts w:ascii="Times New Roman" w:hAnsi="Times New Roman"/>
                <w:i/>
                <w:sz w:val="24"/>
                <w:szCs w:val="24"/>
              </w:rPr>
              <w:t>-</w:t>
            </w:r>
          </w:p>
        </w:tc>
      </w:tr>
      <w:tr w:rsidR="00283DBA" w:rsidRPr="00E56123" w:rsidTr="006455C6">
        <w:trPr>
          <w:trHeight w:val="248"/>
        </w:trPr>
        <w:tc>
          <w:tcPr>
            <w:tcW w:w="9180" w:type="dxa"/>
            <w:gridSpan w:val="11"/>
            <w:tcBorders>
              <w:top w:val="nil"/>
              <w:left w:val="single" w:sz="4" w:space="0" w:color="auto"/>
              <w:bottom w:val="single" w:sz="4" w:space="0" w:color="000000"/>
              <w:right w:val="single" w:sz="4" w:space="0" w:color="auto"/>
            </w:tcBorders>
            <w:shd w:val="clear" w:color="auto" w:fill="FFFFFF"/>
          </w:tcPr>
          <w:p w:rsidR="00283DBA" w:rsidRPr="00E56123" w:rsidRDefault="00283DBA" w:rsidP="006455C6">
            <w:pPr>
              <w:rPr>
                <w:rFonts w:ascii="Times New Roman" w:hAnsi="Times New Roman"/>
                <w:sz w:val="24"/>
                <w:szCs w:val="24"/>
              </w:rPr>
            </w:pPr>
          </w:p>
        </w:tc>
      </w:tr>
      <w:tr w:rsidR="00283DBA" w:rsidRPr="00E56123" w:rsidTr="006455C6">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Preskúmanie účelnosti**</w:t>
            </w:r>
          </w:p>
        </w:tc>
      </w:tr>
      <w:tr w:rsidR="00283DBA" w:rsidRPr="00E56123" w:rsidTr="006455C6">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283DBA" w:rsidRPr="00E56123" w:rsidRDefault="00283DBA" w:rsidP="006455C6">
            <w:pPr>
              <w:rPr>
                <w:rFonts w:ascii="Times New Roman" w:hAnsi="Times New Roman"/>
                <w:i/>
                <w:sz w:val="24"/>
                <w:szCs w:val="24"/>
              </w:rPr>
            </w:pPr>
            <w:r w:rsidRPr="00E56123">
              <w:rPr>
                <w:rFonts w:ascii="Times New Roman" w:hAnsi="Times New Roman"/>
                <w:i/>
                <w:sz w:val="24"/>
                <w:szCs w:val="24"/>
              </w:rPr>
              <w:t xml:space="preserve"> </w:t>
            </w:r>
          </w:p>
        </w:tc>
      </w:tr>
      <w:tr w:rsidR="00283DBA" w:rsidRPr="00E56123" w:rsidTr="006455C6">
        <w:trPr>
          <w:trHeight w:val="577"/>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lastRenderedPageBreak/>
              <w:t>Vplyvy navrhovaného materiálu</w:t>
            </w:r>
          </w:p>
        </w:tc>
      </w:tr>
      <w:tr w:rsidR="00283DBA" w:rsidRPr="00E56123" w:rsidTr="006455C6">
        <w:tc>
          <w:tcPr>
            <w:tcW w:w="3815" w:type="dxa"/>
            <w:tcBorders>
              <w:top w:val="single" w:sz="4" w:space="0" w:color="auto"/>
              <w:left w:val="single" w:sz="4" w:space="0" w:color="auto"/>
              <w:bottom w:val="nil"/>
              <w:right w:val="single" w:sz="4" w:space="0" w:color="auto"/>
            </w:tcBorders>
            <w:shd w:val="clear" w:color="auto" w:fill="E2E2E2"/>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281" w:type="dxa"/>
            <w:gridSpan w:val="2"/>
            <w:tcBorders>
              <w:top w:val="single" w:sz="4" w:space="0" w:color="auto"/>
              <w:left w:val="nil"/>
              <w:bottom w:val="single" w:sz="4" w:space="0" w:color="auto"/>
              <w:right w:val="nil"/>
            </w:tcBorders>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Pozitívne</w:t>
            </w:r>
          </w:p>
        </w:tc>
        <w:tc>
          <w:tcPr>
            <w:tcW w:w="569"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134" w:type="dxa"/>
            <w:tcBorders>
              <w:top w:val="single" w:sz="4" w:space="0" w:color="auto"/>
              <w:left w:val="nil"/>
              <w:bottom w:val="single" w:sz="4" w:space="0" w:color="auto"/>
              <w:right w:val="nil"/>
            </w:tcBorders>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cPr>
          <w:p w:rsidR="00283DBA" w:rsidRPr="00E56123" w:rsidRDefault="00283DBA" w:rsidP="006455C6">
            <w:pPr>
              <w:ind w:left="-107" w:right="-108"/>
              <w:jc w:val="center"/>
              <w:rPr>
                <w:rFonts w:ascii="Times New Roman" w:hAnsi="Times New Roman"/>
                <w:b/>
                <w:sz w:val="24"/>
                <w:szCs w:val="24"/>
              </w:rPr>
            </w:pPr>
            <w:r w:rsidRPr="00E56123">
              <w:rPr>
                <w:rFonts w:ascii="Segoe UI Symbol" w:eastAsia="MS Gothic" w:hAnsi="Segoe UI Symbol" w:cs="Segoe UI Symbol"/>
                <w:b/>
                <w:sz w:val="24"/>
                <w:szCs w:val="24"/>
              </w:rPr>
              <w:t>☒</w:t>
            </w:r>
          </w:p>
        </w:tc>
        <w:tc>
          <w:tcPr>
            <w:tcW w:w="1293" w:type="dxa"/>
            <w:tcBorders>
              <w:top w:val="single" w:sz="4" w:space="0" w:color="auto"/>
              <w:left w:val="nil"/>
              <w:bottom w:val="single" w:sz="4" w:space="0" w:color="auto"/>
              <w:right w:val="single" w:sz="4" w:space="0" w:color="auto"/>
            </w:tcBorders>
          </w:tcPr>
          <w:p w:rsidR="00283DBA" w:rsidRPr="00E56123" w:rsidRDefault="00283DBA" w:rsidP="006455C6">
            <w:pPr>
              <w:ind w:left="34"/>
              <w:rPr>
                <w:rFonts w:ascii="Times New Roman" w:hAnsi="Times New Roman"/>
                <w:b/>
                <w:sz w:val="24"/>
                <w:szCs w:val="24"/>
              </w:rPr>
            </w:pPr>
            <w:r w:rsidRPr="00E56123">
              <w:rPr>
                <w:rFonts w:ascii="Times New Roman" w:hAnsi="Times New Roman"/>
                <w:b/>
                <w:sz w:val="24"/>
                <w:szCs w:val="24"/>
              </w:rPr>
              <w:t>Negatívne</w:t>
            </w:r>
          </w:p>
        </w:tc>
      </w:tr>
      <w:tr w:rsidR="00283DBA" w:rsidRPr="00E56123" w:rsidTr="006455C6">
        <w:tc>
          <w:tcPr>
            <w:tcW w:w="3815" w:type="dxa"/>
            <w:tcBorders>
              <w:top w:val="nil"/>
              <w:left w:val="single" w:sz="4" w:space="0" w:color="auto"/>
              <w:bottom w:val="single" w:sz="4" w:space="0" w:color="000000"/>
              <w:right w:val="single" w:sz="4" w:space="0" w:color="auto"/>
            </w:tcBorders>
            <w:shd w:val="clear" w:color="auto" w:fill="E2E2E2"/>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cPr>
          <w:p w:rsidR="00283DBA" w:rsidRPr="00E56123" w:rsidRDefault="00283DBA" w:rsidP="006455C6">
            <w:pPr>
              <w:jc w:val="center"/>
              <w:rPr>
                <w:rFonts w:ascii="Times New Roman" w:hAnsi="Times New Roman"/>
                <w:sz w:val="24"/>
                <w:szCs w:val="24"/>
              </w:rPr>
            </w:pPr>
            <w:r w:rsidRPr="00E56123">
              <w:rPr>
                <w:rFonts w:ascii="Segoe UI Symbol" w:eastAsia="MS Gothic" w:hAnsi="Segoe UI Symbol" w:cs="Segoe UI Symbol"/>
                <w:b/>
                <w:sz w:val="24"/>
                <w:szCs w:val="24"/>
              </w:rPr>
              <w:t>☒</w:t>
            </w:r>
          </w:p>
        </w:tc>
        <w:tc>
          <w:tcPr>
            <w:tcW w:w="1281" w:type="dxa"/>
            <w:gridSpan w:val="2"/>
            <w:tcBorders>
              <w:top w:val="single" w:sz="4" w:space="0" w:color="auto"/>
              <w:left w:val="nil"/>
              <w:bottom w:val="single" w:sz="4" w:space="0" w:color="auto"/>
              <w:right w:val="nil"/>
            </w:tcBorders>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Áno</w:t>
            </w:r>
          </w:p>
        </w:tc>
        <w:tc>
          <w:tcPr>
            <w:tcW w:w="569"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sz w:val="24"/>
                <w:szCs w:val="24"/>
              </w:rPr>
            </w:pPr>
          </w:p>
        </w:tc>
        <w:tc>
          <w:tcPr>
            <w:tcW w:w="1134" w:type="dxa"/>
            <w:tcBorders>
              <w:top w:val="single" w:sz="4" w:space="0" w:color="auto"/>
              <w:left w:val="nil"/>
              <w:bottom w:val="single" w:sz="4" w:space="0" w:color="auto"/>
              <w:right w:val="nil"/>
            </w:tcBorders>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Nie</w:t>
            </w:r>
          </w:p>
        </w:tc>
        <w:tc>
          <w:tcPr>
            <w:tcW w:w="547" w:type="dxa"/>
            <w:gridSpan w:val="2"/>
            <w:tcBorders>
              <w:top w:val="single" w:sz="4" w:space="0" w:color="auto"/>
              <w:left w:val="nil"/>
              <w:bottom w:val="single" w:sz="4" w:space="0" w:color="auto"/>
              <w:right w:val="nil"/>
            </w:tcBorders>
          </w:tcPr>
          <w:p w:rsidR="00283DBA" w:rsidRPr="00E56123" w:rsidRDefault="00283DBA" w:rsidP="006455C6">
            <w:pPr>
              <w:ind w:left="-107" w:right="-108"/>
              <w:jc w:val="center"/>
              <w:rPr>
                <w:rFonts w:ascii="Times New Roman" w:hAnsi="Times New Roman"/>
                <w:sz w:val="24"/>
                <w:szCs w:val="24"/>
              </w:rPr>
            </w:pPr>
            <w:r w:rsidRPr="00E56123">
              <w:rPr>
                <w:rFonts w:ascii="Segoe UI Symbol" w:eastAsia="MS Gothic" w:hAnsi="Segoe UI Symbol" w:cs="Segoe UI Symbol"/>
                <w:sz w:val="24"/>
                <w:szCs w:val="24"/>
              </w:rPr>
              <w:t>☐</w:t>
            </w:r>
          </w:p>
        </w:tc>
        <w:tc>
          <w:tcPr>
            <w:tcW w:w="1293" w:type="dxa"/>
            <w:tcBorders>
              <w:top w:val="single" w:sz="4" w:space="0" w:color="auto"/>
              <w:left w:val="nil"/>
              <w:bottom w:val="single" w:sz="4" w:space="0" w:color="auto"/>
              <w:right w:val="single" w:sz="4" w:space="0" w:color="auto"/>
            </w:tcBorders>
          </w:tcPr>
          <w:p w:rsidR="00283DBA" w:rsidRPr="00E56123" w:rsidRDefault="00283DBA" w:rsidP="006455C6">
            <w:pPr>
              <w:ind w:left="34"/>
              <w:rPr>
                <w:rFonts w:ascii="Times New Roman" w:hAnsi="Times New Roman"/>
                <w:sz w:val="24"/>
                <w:szCs w:val="24"/>
              </w:rPr>
            </w:pPr>
            <w:r w:rsidRPr="00E56123">
              <w:rPr>
                <w:rFonts w:ascii="Times New Roman" w:hAnsi="Times New Roman"/>
                <w:sz w:val="24"/>
                <w:szCs w:val="24"/>
              </w:rPr>
              <w:t>Čiastočne</w:t>
            </w:r>
          </w:p>
        </w:tc>
      </w:tr>
      <w:tr w:rsidR="00283DBA" w:rsidRPr="00E56123" w:rsidTr="006455C6">
        <w:tc>
          <w:tcPr>
            <w:tcW w:w="3815" w:type="dxa"/>
            <w:tcBorders>
              <w:top w:val="single" w:sz="4" w:space="0" w:color="000000"/>
              <w:left w:val="single" w:sz="4" w:space="0" w:color="auto"/>
              <w:bottom w:val="nil"/>
              <w:right w:val="single" w:sz="4" w:space="0" w:color="auto"/>
            </w:tcBorders>
            <w:shd w:val="clear" w:color="auto" w:fill="E2E2E2"/>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Gothic" w:hAnsi="Segoe UI Symbol" w:cs="Segoe UI Symbol"/>
                <w:b/>
                <w:sz w:val="24"/>
                <w:szCs w:val="24"/>
              </w:rPr>
              <w:t>☒</w:t>
            </w:r>
          </w:p>
        </w:tc>
        <w:tc>
          <w:tcPr>
            <w:tcW w:w="1281" w:type="dxa"/>
            <w:gridSpan w:val="2"/>
            <w:tcBorders>
              <w:top w:val="single" w:sz="4" w:space="0" w:color="auto"/>
              <w:left w:val="nil"/>
              <w:bottom w:val="single" w:sz="4" w:space="0" w:color="auto"/>
              <w:right w:val="nil"/>
            </w:tcBorders>
          </w:tcPr>
          <w:p w:rsidR="00283DBA" w:rsidRPr="00E56123" w:rsidRDefault="00283DBA" w:rsidP="006455C6">
            <w:pPr>
              <w:ind w:right="-108"/>
              <w:rPr>
                <w:rFonts w:ascii="Times New Roman" w:hAnsi="Times New Roman"/>
                <w:b/>
                <w:sz w:val="24"/>
                <w:szCs w:val="24"/>
              </w:rPr>
            </w:pPr>
            <w:r w:rsidRPr="00E56123">
              <w:rPr>
                <w:rFonts w:ascii="Times New Roman" w:hAnsi="Times New Roman"/>
                <w:b/>
                <w:sz w:val="24"/>
                <w:szCs w:val="24"/>
              </w:rPr>
              <w:t>Pozitívne</w:t>
            </w:r>
          </w:p>
        </w:tc>
        <w:tc>
          <w:tcPr>
            <w:tcW w:w="569"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134" w:type="dxa"/>
            <w:tcBorders>
              <w:top w:val="single" w:sz="4" w:space="0" w:color="auto"/>
              <w:left w:val="nil"/>
              <w:bottom w:val="single" w:sz="4" w:space="0" w:color="auto"/>
              <w:right w:val="nil"/>
            </w:tcBorders>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293" w:type="dxa"/>
            <w:tcBorders>
              <w:top w:val="single" w:sz="4" w:space="0" w:color="auto"/>
              <w:left w:val="nil"/>
              <w:bottom w:val="single" w:sz="4" w:space="0" w:color="auto"/>
              <w:right w:val="single" w:sz="4" w:space="0" w:color="auto"/>
            </w:tcBorders>
          </w:tcPr>
          <w:p w:rsidR="00283DBA" w:rsidRPr="00E56123" w:rsidRDefault="00283DBA" w:rsidP="006455C6">
            <w:pPr>
              <w:ind w:left="54"/>
              <w:rPr>
                <w:rFonts w:ascii="Times New Roman" w:hAnsi="Times New Roman"/>
                <w:b/>
                <w:sz w:val="24"/>
                <w:szCs w:val="24"/>
              </w:rPr>
            </w:pPr>
            <w:r w:rsidRPr="00E56123">
              <w:rPr>
                <w:rFonts w:ascii="Times New Roman" w:hAnsi="Times New Roman"/>
                <w:b/>
                <w:sz w:val="24"/>
                <w:szCs w:val="24"/>
              </w:rPr>
              <w:t>Negatívne</w:t>
            </w:r>
          </w:p>
        </w:tc>
      </w:tr>
      <w:tr w:rsidR="00283DBA" w:rsidRPr="00E56123" w:rsidTr="006455C6">
        <w:tc>
          <w:tcPr>
            <w:tcW w:w="3815" w:type="dxa"/>
            <w:tcBorders>
              <w:top w:val="nil"/>
              <w:left w:val="single" w:sz="4" w:space="0" w:color="auto"/>
              <w:bottom w:val="single" w:sz="4" w:space="0" w:color="000000"/>
              <w:right w:val="single" w:sz="4" w:space="0" w:color="000000"/>
            </w:tcBorders>
            <w:shd w:val="clear" w:color="auto" w:fill="E2E2E2"/>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tcPr>
          <w:p w:rsidR="00283DBA" w:rsidRPr="00E56123" w:rsidRDefault="00283DBA" w:rsidP="006455C6">
            <w:pPr>
              <w:jc w:val="center"/>
              <w:rPr>
                <w:rFonts w:ascii="Times New Roman" w:hAnsi="Times New Roman"/>
                <w:sz w:val="24"/>
                <w:szCs w:val="24"/>
              </w:rPr>
            </w:pPr>
            <w:r w:rsidRPr="00E56123">
              <w:rPr>
                <w:rFonts w:ascii="Segoe UI Symbol" w:eastAsia="MS Gothic" w:hAnsi="Segoe UI Symbol" w:cs="Segoe UI Symbol"/>
                <w:sz w:val="24"/>
                <w:szCs w:val="24"/>
              </w:rPr>
              <w:t>☒</w:t>
            </w:r>
          </w:p>
        </w:tc>
        <w:tc>
          <w:tcPr>
            <w:tcW w:w="1281" w:type="dxa"/>
            <w:gridSpan w:val="2"/>
            <w:tcBorders>
              <w:top w:val="single" w:sz="4" w:space="0" w:color="auto"/>
              <w:left w:val="nil"/>
              <w:bottom w:val="single" w:sz="4" w:space="0" w:color="auto"/>
              <w:right w:val="nil"/>
            </w:tcBorders>
          </w:tcPr>
          <w:p w:rsidR="00283DBA" w:rsidRPr="00E56123" w:rsidRDefault="00283DBA" w:rsidP="006455C6">
            <w:pPr>
              <w:ind w:right="-108"/>
              <w:rPr>
                <w:rFonts w:ascii="Times New Roman" w:hAnsi="Times New Roman"/>
                <w:sz w:val="24"/>
                <w:szCs w:val="24"/>
              </w:rPr>
            </w:pPr>
            <w:r w:rsidRPr="00E56123">
              <w:rPr>
                <w:rFonts w:ascii="Times New Roman" w:hAnsi="Times New Roman"/>
                <w:sz w:val="24"/>
                <w:szCs w:val="24"/>
              </w:rPr>
              <w:t>Pozitívne</w:t>
            </w:r>
          </w:p>
        </w:tc>
        <w:tc>
          <w:tcPr>
            <w:tcW w:w="569"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sz w:val="24"/>
                <w:szCs w:val="24"/>
              </w:rPr>
            </w:pPr>
            <w:r w:rsidRPr="00E56123">
              <w:rPr>
                <w:rFonts w:ascii="Segoe UI Symbol" w:eastAsia="MS Mincho" w:hAnsi="Segoe UI Symbol" w:cs="Segoe UI Symbol"/>
                <w:b/>
                <w:sz w:val="24"/>
                <w:szCs w:val="24"/>
              </w:rPr>
              <w:t>☐</w:t>
            </w:r>
          </w:p>
        </w:tc>
        <w:tc>
          <w:tcPr>
            <w:tcW w:w="1134" w:type="dxa"/>
            <w:tcBorders>
              <w:top w:val="single" w:sz="4" w:space="0" w:color="auto"/>
              <w:left w:val="nil"/>
              <w:bottom w:val="single" w:sz="4" w:space="0" w:color="auto"/>
              <w:right w:val="nil"/>
            </w:tcBorders>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Žiadne</w:t>
            </w:r>
          </w:p>
        </w:tc>
        <w:tc>
          <w:tcPr>
            <w:tcW w:w="547"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1293" w:type="dxa"/>
            <w:tcBorders>
              <w:top w:val="single" w:sz="4" w:space="0" w:color="auto"/>
              <w:left w:val="nil"/>
              <w:bottom w:val="single" w:sz="4" w:space="0" w:color="auto"/>
              <w:right w:val="single" w:sz="4" w:space="0" w:color="auto"/>
            </w:tcBorders>
          </w:tcPr>
          <w:p w:rsidR="00283DBA" w:rsidRPr="00E56123" w:rsidRDefault="00283DBA" w:rsidP="006455C6">
            <w:pPr>
              <w:ind w:left="54"/>
              <w:rPr>
                <w:rFonts w:ascii="Times New Roman" w:hAnsi="Times New Roman"/>
                <w:sz w:val="24"/>
                <w:szCs w:val="24"/>
              </w:rPr>
            </w:pPr>
            <w:r w:rsidRPr="00E56123">
              <w:rPr>
                <w:rFonts w:ascii="Times New Roman" w:hAnsi="Times New Roman"/>
                <w:sz w:val="24"/>
                <w:szCs w:val="24"/>
              </w:rPr>
              <w:t>Negatívne</w:t>
            </w:r>
          </w:p>
        </w:tc>
      </w:tr>
      <w:tr w:rsidR="00283DBA" w:rsidRPr="00E56123" w:rsidTr="006455C6">
        <w:tc>
          <w:tcPr>
            <w:tcW w:w="3815" w:type="dxa"/>
            <w:tcBorders>
              <w:top w:val="single" w:sz="4" w:space="0" w:color="000000"/>
              <w:left w:val="single" w:sz="4" w:space="0" w:color="auto"/>
              <w:bottom w:val="single" w:sz="4" w:space="0" w:color="auto"/>
              <w:right w:val="single" w:sz="4" w:space="0" w:color="auto"/>
            </w:tcBorders>
            <w:shd w:val="clear" w:color="auto" w:fill="E2E2E2"/>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281" w:type="dxa"/>
            <w:gridSpan w:val="2"/>
            <w:tcBorders>
              <w:top w:val="single" w:sz="4" w:space="0" w:color="auto"/>
              <w:left w:val="nil"/>
              <w:bottom w:val="single" w:sz="4" w:space="0" w:color="auto"/>
              <w:right w:val="nil"/>
            </w:tcBorders>
          </w:tcPr>
          <w:p w:rsidR="00283DBA" w:rsidRPr="00E56123" w:rsidRDefault="00283DBA" w:rsidP="006455C6">
            <w:pPr>
              <w:ind w:right="-108"/>
              <w:rPr>
                <w:rFonts w:ascii="Times New Roman" w:hAnsi="Times New Roman"/>
                <w:b/>
                <w:sz w:val="24"/>
                <w:szCs w:val="24"/>
              </w:rPr>
            </w:pPr>
            <w:r w:rsidRPr="00E56123">
              <w:rPr>
                <w:rFonts w:ascii="Times New Roman" w:hAnsi="Times New Roman"/>
                <w:b/>
                <w:sz w:val="24"/>
                <w:szCs w:val="24"/>
              </w:rPr>
              <w:t>Pozitívne</w:t>
            </w:r>
          </w:p>
        </w:tc>
        <w:tc>
          <w:tcPr>
            <w:tcW w:w="569"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Gothic" w:hAnsi="Segoe UI Symbol" w:cs="Segoe UI Symbol"/>
                <w:b/>
                <w:sz w:val="24"/>
                <w:szCs w:val="24"/>
              </w:rPr>
              <w:t>☒</w:t>
            </w:r>
          </w:p>
        </w:tc>
        <w:tc>
          <w:tcPr>
            <w:tcW w:w="1134" w:type="dxa"/>
            <w:tcBorders>
              <w:top w:val="single" w:sz="4" w:space="0" w:color="auto"/>
              <w:left w:val="nil"/>
              <w:bottom w:val="single" w:sz="4" w:space="0" w:color="auto"/>
              <w:right w:val="nil"/>
            </w:tcBorders>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293" w:type="dxa"/>
            <w:tcBorders>
              <w:top w:val="single" w:sz="4" w:space="0" w:color="auto"/>
              <w:left w:val="nil"/>
              <w:bottom w:val="single" w:sz="4" w:space="0" w:color="auto"/>
              <w:right w:val="single" w:sz="4" w:space="0" w:color="auto"/>
            </w:tcBorders>
          </w:tcPr>
          <w:p w:rsidR="00283DBA" w:rsidRPr="00E56123" w:rsidRDefault="00283DBA" w:rsidP="006455C6">
            <w:pPr>
              <w:ind w:left="54"/>
              <w:rPr>
                <w:rFonts w:ascii="Times New Roman" w:hAnsi="Times New Roman"/>
                <w:b/>
                <w:sz w:val="24"/>
                <w:szCs w:val="24"/>
              </w:rPr>
            </w:pPr>
            <w:r w:rsidRPr="00E56123">
              <w:rPr>
                <w:rFonts w:ascii="Times New Roman" w:hAnsi="Times New Roman"/>
                <w:b/>
                <w:sz w:val="24"/>
                <w:szCs w:val="24"/>
              </w:rPr>
              <w:t>Negatívne</w:t>
            </w:r>
          </w:p>
        </w:tc>
      </w:tr>
      <w:tr w:rsidR="00283DBA" w:rsidRPr="00E56123" w:rsidTr="006455C6">
        <w:tc>
          <w:tcPr>
            <w:tcW w:w="3815" w:type="dxa"/>
            <w:tcBorders>
              <w:top w:val="single" w:sz="4" w:space="0" w:color="auto"/>
              <w:left w:val="single" w:sz="4" w:space="0" w:color="auto"/>
              <w:bottom w:val="single" w:sz="4" w:space="0" w:color="auto"/>
              <w:right w:val="single" w:sz="4" w:space="0" w:color="auto"/>
            </w:tcBorders>
            <w:shd w:val="clear" w:color="auto" w:fill="E2E2E2"/>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281" w:type="dxa"/>
            <w:gridSpan w:val="2"/>
            <w:tcBorders>
              <w:top w:val="single" w:sz="4" w:space="0" w:color="auto"/>
              <w:left w:val="nil"/>
              <w:bottom w:val="single" w:sz="4" w:space="0" w:color="auto"/>
              <w:right w:val="nil"/>
            </w:tcBorders>
          </w:tcPr>
          <w:p w:rsidR="00283DBA" w:rsidRPr="00E56123" w:rsidRDefault="00283DBA" w:rsidP="006455C6">
            <w:pPr>
              <w:ind w:right="-108"/>
              <w:rPr>
                <w:rFonts w:ascii="Times New Roman" w:hAnsi="Times New Roman"/>
                <w:b/>
                <w:sz w:val="24"/>
                <w:szCs w:val="24"/>
              </w:rPr>
            </w:pPr>
            <w:r w:rsidRPr="00E56123">
              <w:rPr>
                <w:rFonts w:ascii="Times New Roman" w:hAnsi="Times New Roman"/>
                <w:b/>
                <w:sz w:val="24"/>
                <w:szCs w:val="24"/>
              </w:rPr>
              <w:t>Pozitívne</w:t>
            </w:r>
          </w:p>
        </w:tc>
        <w:tc>
          <w:tcPr>
            <w:tcW w:w="569"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Gothic" w:hAnsi="Segoe UI Symbol" w:cs="Segoe UI Symbol"/>
                <w:b/>
                <w:sz w:val="24"/>
                <w:szCs w:val="24"/>
              </w:rPr>
              <w:t>☒</w:t>
            </w:r>
          </w:p>
        </w:tc>
        <w:tc>
          <w:tcPr>
            <w:tcW w:w="1134" w:type="dxa"/>
            <w:tcBorders>
              <w:top w:val="single" w:sz="4" w:space="0" w:color="auto"/>
              <w:left w:val="nil"/>
              <w:bottom w:val="single" w:sz="4" w:space="0" w:color="auto"/>
              <w:right w:val="nil"/>
            </w:tcBorders>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293" w:type="dxa"/>
            <w:tcBorders>
              <w:top w:val="single" w:sz="4" w:space="0" w:color="auto"/>
              <w:left w:val="nil"/>
              <w:bottom w:val="single" w:sz="4" w:space="0" w:color="auto"/>
              <w:right w:val="single" w:sz="4" w:space="0" w:color="auto"/>
            </w:tcBorders>
          </w:tcPr>
          <w:p w:rsidR="00283DBA" w:rsidRPr="00E56123" w:rsidRDefault="00283DBA" w:rsidP="006455C6">
            <w:pPr>
              <w:ind w:left="54"/>
              <w:rPr>
                <w:rFonts w:ascii="Times New Roman" w:hAnsi="Times New Roman"/>
                <w:b/>
                <w:sz w:val="24"/>
                <w:szCs w:val="24"/>
              </w:rPr>
            </w:pPr>
            <w:r w:rsidRPr="00E56123">
              <w:rPr>
                <w:rFonts w:ascii="Times New Roman" w:hAnsi="Times New Roman"/>
                <w:b/>
                <w:sz w:val="24"/>
                <w:szCs w:val="24"/>
              </w:rPr>
              <w:t>Negatívne</w:t>
            </w:r>
          </w:p>
        </w:tc>
      </w:tr>
      <w:tr w:rsidR="00283DBA" w:rsidRPr="00E56123" w:rsidTr="006455C6">
        <w:tc>
          <w:tcPr>
            <w:tcW w:w="3815" w:type="dxa"/>
            <w:tcBorders>
              <w:top w:val="single" w:sz="4" w:space="0" w:color="auto"/>
              <w:left w:val="single" w:sz="4" w:space="0" w:color="auto"/>
              <w:bottom w:val="single" w:sz="4" w:space="0" w:color="auto"/>
              <w:right w:val="single" w:sz="4" w:space="0" w:color="auto"/>
            </w:tcBorders>
            <w:shd w:val="clear" w:color="auto" w:fill="E2E2E2"/>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281" w:type="dxa"/>
            <w:gridSpan w:val="2"/>
            <w:tcBorders>
              <w:top w:val="single" w:sz="4" w:space="0" w:color="auto"/>
              <w:left w:val="nil"/>
              <w:bottom w:val="single" w:sz="4" w:space="0" w:color="auto"/>
              <w:right w:val="nil"/>
            </w:tcBorders>
          </w:tcPr>
          <w:p w:rsidR="00283DBA" w:rsidRPr="00E56123" w:rsidRDefault="00283DBA" w:rsidP="006455C6">
            <w:pPr>
              <w:ind w:right="-108"/>
              <w:rPr>
                <w:rFonts w:ascii="Times New Roman" w:hAnsi="Times New Roman"/>
                <w:b/>
                <w:sz w:val="24"/>
                <w:szCs w:val="24"/>
              </w:rPr>
            </w:pPr>
            <w:r w:rsidRPr="00E56123">
              <w:rPr>
                <w:rFonts w:ascii="Times New Roman" w:hAnsi="Times New Roman"/>
                <w:b/>
                <w:sz w:val="24"/>
                <w:szCs w:val="24"/>
              </w:rPr>
              <w:t>Pozitívne</w:t>
            </w:r>
          </w:p>
        </w:tc>
        <w:tc>
          <w:tcPr>
            <w:tcW w:w="569"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Gothic" w:hAnsi="Segoe UI Symbol" w:cs="Segoe UI Symbol"/>
                <w:b/>
                <w:sz w:val="24"/>
                <w:szCs w:val="24"/>
              </w:rPr>
              <w:t>☒</w:t>
            </w:r>
          </w:p>
        </w:tc>
        <w:tc>
          <w:tcPr>
            <w:tcW w:w="1134" w:type="dxa"/>
            <w:tcBorders>
              <w:top w:val="single" w:sz="4" w:space="0" w:color="auto"/>
              <w:left w:val="nil"/>
              <w:bottom w:val="single" w:sz="4" w:space="0" w:color="auto"/>
              <w:right w:val="nil"/>
            </w:tcBorders>
          </w:tcPr>
          <w:p w:rsidR="00283DBA" w:rsidRPr="00E56123" w:rsidRDefault="00283DBA" w:rsidP="006455C6">
            <w:pPr>
              <w:rPr>
                <w:rFonts w:ascii="Times New Roman" w:hAnsi="Times New Roman"/>
                <w:b/>
                <w:sz w:val="24"/>
                <w:szCs w:val="24"/>
              </w:rPr>
            </w:pPr>
            <w:r w:rsidRPr="00E56123">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cPr>
          <w:p w:rsidR="00283DBA" w:rsidRPr="00E56123" w:rsidRDefault="00283DBA" w:rsidP="006455C6">
            <w:pPr>
              <w:jc w:val="center"/>
              <w:rPr>
                <w:rFonts w:ascii="Times New Roman" w:hAnsi="Times New Roman"/>
                <w:b/>
                <w:sz w:val="24"/>
                <w:szCs w:val="24"/>
              </w:rPr>
            </w:pPr>
            <w:r w:rsidRPr="00E56123">
              <w:rPr>
                <w:rFonts w:ascii="Segoe UI Symbol" w:eastAsia="MS Mincho" w:hAnsi="Segoe UI Symbol" w:cs="Segoe UI Symbol"/>
                <w:b/>
                <w:sz w:val="24"/>
                <w:szCs w:val="24"/>
              </w:rPr>
              <w:t>☐</w:t>
            </w:r>
          </w:p>
        </w:tc>
        <w:tc>
          <w:tcPr>
            <w:tcW w:w="1293" w:type="dxa"/>
            <w:tcBorders>
              <w:top w:val="single" w:sz="4" w:space="0" w:color="auto"/>
              <w:left w:val="nil"/>
              <w:bottom w:val="single" w:sz="4" w:space="0" w:color="auto"/>
              <w:right w:val="single" w:sz="4" w:space="0" w:color="auto"/>
            </w:tcBorders>
          </w:tcPr>
          <w:p w:rsidR="00283DBA" w:rsidRPr="00E56123" w:rsidRDefault="00283DBA" w:rsidP="006455C6">
            <w:pPr>
              <w:ind w:left="54"/>
              <w:rPr>
                <w:rFonts w:ascii="Times New Roman" w:hAnsi="Times New Roman"/>
                <w:b/>
                <w:sz w:val="24"/>
                <w:szCs w:val="24"/>
              </w:rPr>
            </w:pPr>
            <w:r w:rsidRPr="00E56123">
              <w:rPr>
                <w:rFonts w:ascii="Times New Roman" w:hAnsi="Times New Roman"/>
                <w:b/>
                <w:sz w:val="24"/>
                <w:szCs w:val="24"/>
              </w:rPr>
              <w:t>Negatívne</w:t>
            </w:r>
          </w:p>
        </w:tc>
      </w:tr>
    </w:tbl>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596"/>
        <w:gridCol w:w="1276"/>
        <w:gridCol w:w="567"/>
        <w:gridCol w:w="1134"/>
        <w:gridCol w:w="567"/>
        <w:gridCol w:w="1275"/>
      </w:tblGrid>
      <w:tr w:rsidR="00283DBA" w:rsidRPr="00E56123" w:rsidTr="006455C6">
        <w:tc>
          <w:tcPr>
            <w:tcW w:w="3799" w:type="dxa"/>
            <w:tcBorders>
              <w:bottom w:val="nil"/>
            </w:tcBorders>
            <w:shd w:val="clear" w:color="auto" w:fill="E2E2E2"/>
          </w:tcPr>
          <w:p w:rsidR="00283DBA" w:rsidRPr="00E56123" w:rsidRDefault="00283DBA" w:rsidP="006455C6">
            <w:pPr>
              <w:spacing w:after="0" w:line="240" w:lineRule="auto"/>
              <w:rPr>
                <w:rFonts w:ascii="Times New Roman" w:hAnsi="Times New Roman"/>
                <w:sz w:val="24"/>
                <w:szCs w:val="24"/>
              </w:rPr>
            </w:pPr>
            <w:r w:rsidRPr="00E56123">
              <w:rPr>
                <w:rFonts w:ascii="Times New Roman" w:hAnsi="Times New Roman"/>
                <w:b/>
                <w:sz w:val="24"/>
                <w:szCs w:val="24"/>
              </w:rPr>
              <w:t>Vplyvy na služby verejnej správy pre občana, z toho</w:t>
            </w:r>
          </w:p>
        </w:tc>
        <w:tc>
          <w:tcPr>
            <w:tcW w:w="596" w:type="dxa"/>
            <w:tcBorders>
              <w:bottom w:val="nil"/>
              <w:right w:val="nil"/>
            </w:tcBorders>
          </w:tcPr>
          <w:p w:rsidR="00283DBA" w:rsidRPr="00E56123" w:rsidRDefault="00283DBA" w:rsidP="006455C6">
            <w:pPr>
              <w:spacing w:after="0" w:line="240" w:lineRule="auto"/>
              <w:jc w:val="center"/>
              <w:rPr>
                <w:rFonts w:ascii="Times New Roman" w:eastAsia="MS Mincho" w:hAnsi="Times New Roman"/>
                <w:sz w:val="24"/>
                <w:szCs w:val="24"/>
              </w:rPr>
            </w:pPr>
          </w:p>
        </w:tc>
        <w:tc>
          <w:tcPr>
            <w:tcW w:w="1276" w:type="dxa"/>
            <w:tcBorders>
              <w:left w:val="nil"/>
              <w:bottom w:val="nil"/>
              <w:right w:val="nil"/>
            </w:tcBorders>
          </w:tcPr>
          <w:p w:rsidR="00283DBA" w:rsidRPr="00E56123" w:rsidRDefault="00283DBA" w:rsidP="006455C6">
            <w:pPr>
              <w:spacing w:after="0" w:line="240" w:lineRule="auto"/>
              <w:ind w:right="-108"/>
              <w:rPr>
                <w:rFonts w:ascii="Times New Roman" w:hAnsi="Times New Roman"/>
                <w:sz w:val="24"/>
                <w:szCs w:val="24"/>
              </w:rPr>
            </w:pPr>
          </w:p>
        </w:tc>
        <w:tc>
          <w:tcPr>
            <w:tcW w:w="567" w:type="dxa"/>
            <w:tcBorders>
              <w:left w:val="nil"/>
              <w:bottom w:val="nil"/>
              <w:right w:val="nil"/>
            </w:tcBorders>
          </w:tcPr>
          <w:p w:rsidR="00283DBA" w:rsidRPr="00E56123" w:rsidRDefault="00283DBA" w:rsidP="006455C6">
            <w:pPr>
              <w:spacing w:after="0" w:line="240" w:lineRule="auto"/>
              <w:jc w:val="center"/>
              <w:rPr>
                <w:rFonts w:ascii="Times New Roman" w:eastAsia="MS Mincho" w:hAnsi="Times New Roman"/>
                <w:sz w:val="24"/>
                <w:szCs w:val="24"/>
              </w:rPr>
            </w:pPr>
          </w:p>
        </w:tc>
        <w:tc>
          <w:tcPr>
            <w:tcW w:w="1134" w:type="dxa"/>
            <w:tcBorders>
              <w:left w:val="nil"/>
              <w:bottom w:val="nil"/>
              <w:right w:val="nil"/>
            </w:tcBorders>
          </w:tcPr>
          <w:p w:rsidR="00283DBA" w:rsidRPr="00E56123" w:rsidRDefault="00283DBA" w:rsidP="006455C6">
            <w:pPr>
              <w:spacing w:after="0" w:line="240" w:lineRule="auto"/>
              <w:rPr>
                <w:rFonts w:ascii="Times New Roman" w:hAnsi="Times New Roman"/>
                <w:sz w:val="24"/>
                <w:szCs w:val="24"/>
              </w:rPr>
            </w:pPr>
          </w:p>
        </w:tc>
        <w:tc>
          <w:tcPr>
            <w:tcW w:w="567" w:type="dxa"/>
            <w:tcBorders>
              <w:left w:val="nil"/>
              <w:bottom w:val="nil"/>
              <w:right w:val="nil"/>
            </w:tcBorders>
          </w:tcPr>
          <w:p w:rsidR="00283DBA" w:rsidRPr="00E56123" w:rsidRDefault="00283DBA" w:rsidP="006455C6">
            <w:pPr>
              <w:spacing w:after="0" w:line="240" w:lineRule="auto"/>
              <w:jc w:val="center"/>
              <w:rPr>
                <w:rFonts w:ascii="Times New Roman" w:eastAsia="MS Mincho" w:hAnsi="Times New Roman"/>
                <w:sz w:val="24"/>
                <w:szCs w:val="24"/>
              </w:rPr>
            </w:pPr>
          </w:p>
        </w:tc>
        <w:tc>
          <w:tcPr>
            <w:tcW w:w="1275" w:type="dxa"/>
            <w:tcBorders>
              <w:left w:val="nil"/>
              <w:bottom w:val="nil"/>
            </w:tcBorders>
          </w:tcPr>
          <w:p w:rsidR="00283DBA" w:rsidRPr="00E56123" w:rsidRDefault="00283DBA" w:rsidP="006455C6">
            <w:pPr>
              <w:spacing w:after="0" w:line="240" w:lineRule="auto"/>
              <w:ind w:left="54"/>
              <w:rPr>
                <w:rFonts w:ascii="Times New Roman" w:hAnsi="Times New Roman"/>
                <w:sz w:val="24"/>
                <w:szCs w:val="24"/>
              </w:rPr>
            </w:pPr>
          </w:p>
        </w:tc>
      </w:tr>
      <w:tr w:rsidR="00283DBA" w:rsidRPr="00E56123" w:rsidTr="006455C6">
        <w:trPr>
          <w:trHeight w:val="608"/>
        </w:trPr>
        <w:tc>
          <w:tcPr>
            <w:tcW w:w="3799" w:type="dxa"/>
            <w:tcBorders>
              <w:top w:val="nil"/>
              <w:bottom w:val="nil"/>
            </w:tcBorders>
            <w:shd w:val="clear" w:color="auto" w:fill="E2E2E2"/>
          </w:tcPr>
          <w:p w:rsidR="00283DBA" w:rsidRPr="00E56123" w:rsidRDefault="00283DBA" w:rsidP="006455C6">
            <w:pPr>
              <w:spacing w:after="0" w:line="240" w:lineRule="auto"/>
              <w:ind w:left="196" w:hanging="196"/>
              <w:rPr>
                <w:rFonts w:ascii="Times New Roman" w:hAnsi="Times New Roman"/>
                <w:sz w:val="24"/>
                <w:szCs w:val="24"/>
              </w:rPr>
            </w:pPr>
            <w:r w:rsidRPr="00E56123">
              <w:rPr>
                <w:rFonts w:ascii="Times New Roman" w:hAnsi="Times New Roman"/>
                <w:sz w:val="24"/>
                <w:szCs w:val="24"/>
              </w:rPr>
              <w:t xml:space="preserve">    vplyvy služieb verejnej správy na občana</w:t>
            </w:r>
          </w:p>
        </w:tc>
        <w:tc>
          <w:tcPr>
            <w:tcW w:w="596" w:type="dxa"/>
            <w:tcBorders>
              <w:top w:val="nil"/>
              <w:bottom w:val="nil"/>
              <w:right w:val="nil"/>
            </w:tcBorders>
          </w:tcPr>
          <w:p w:rsidR="00283DBA" w:rsidRPr="00E56123" w:rsidRDefault="00283DBA" w:rsidP="006455C6">
            <w:pPr>
              <w:spacing w:after="0" w:line="240" w:lineRule="auto"/>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1276" w:type="dxa"/>
            <w:tcBorders>
              <w:top w:val="nil"/>
              <w:left w:val="nil"/>
              <w:bottom w:val="nil"/>
              <w:right w:val="nil"/>
            </w:tcBorders>
          </w:tcPr>
          <w:p w:rsidR="00283DBA" w:rsidRPr="00E56123" w:rsidRDefault="00283DBA" w:rsidP="006455C6">
            <w:pPr>
              <w:spacing w:after="0" w:line="240" w:lineRule="auto"/>
              <w:ind w:right="-108"/>
              <w:rPr>
                <w:rFonts w:ascii="Times New Roman" w:hAnsi="Times New Roman"/>
                <w:sz w:val="24"/>
                <w:szCs w:val="24"/>
              </w:rPr>
            </w:pPr>
            <w:r w:rsidRPr="00E56123">
              <w:rPr>
                <w:rFonts w:ascii="Times New Roman" w:hAnsi="Times New Roman"/>
                <w:sz w:val="24"/>
                <w:szCs w:val="24"/>
              </w:rPr>
              <w:t>Pozitívne</w:t>
            </w:r>
          </w:p>
        </w:tc>
        <w:tc>
          <w:tcPr>
            <w:tcW w:w="567" w:type="dxa"/>
            <w:tcBorders>
              <w:top w:val="nil"/>
              <w:left w:val="nil"/>
              <w:bottom w:val="nil"/>
              <w:right w:val="nil"/>
            </w:tcBorders>
          </w:tcPr>
          <w:p w:rsidR="00283DBA" w:rsidRPr="00E56123" w:rsidRDefault="00283DBA" w:rsidP="006455C6">
            <w:pPr>
              <w:spacing w:after="0" w:line="240" w:lineRule="auto"/>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1134" w:type="dxa"/>
            <w:tcBorders>
              <w:top w:val="nil"/>
              <w:left w:val="nil"/>
              <w:bottom w:val="nil"/>
              <w:right w:val="nil"/>
            </w:tcBorders>
          </w:tcPr>
          <w:p w:rsidR="00283DBA" w:rsidRPr="00E56123" w:rsidRDefault="00283DBA" w:rsidP="006455C6">
            <w:pPr>
              <w:spacing w:after="0" w:line="240" w:lineRule="auto"/>
              <w:rPr>
                <w:rFonts w:ascii="Times New Roman" w:hAnsi="Times New Roman"/>
                <w:sz w:val="24"/>
                <w:szCs w:val="24"/>
              </w:rPr>
            </w:pPr>
            <w:r w:rsidRPr="00E56123">
              <w:rPr>
                <w:rFonts w:ascii="Times New Roman" w:hAnsi="Times New Roman"/>
                <w:sz w:val="24"/>
                <w:szCs w:val="24"/>
              </w:rPr>
              <w:t>Žiadne</w:t>
            </w:r>
          </w:p>
        </w:tc>
        <w:tc>
          <w:tcPr>
            <w:tcW w:w="567" w:type="dxa"/>
            <w:tcBorders>
              <w:top w:val="nil"/>
              <w:left w:val="nil"/>
              <w:bottom w:val="nil"/>
              <w:right w:val="nil"/>
            </w:tcBorders>
          </w:tcPr>
          <w:p w:rsidR="00283DBA" w:rsidRPr="00E56123" w:rsidRDefault="00283DBA" w:rsidP="006455C6">
            <w:pPr>
              <w:spacing w:after="0" w:line="240" w:lineRule="auto"/>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1275" w:type="dxa"/>
            <w:tcBorders>
              <w:top w:val="nil"/>
              <w:left w:val="nil"/>
              <w:bottom w:val="nil"/>
            </w:tcBorders>
          </w:tcPr>
          <w:p w:rsidR="00283DBA" w:rsidRPr="00E56123" w:rsidRDefault="00283DBA" w:rsidP="006455C6">
            <w:pPr>
              <w:spacing w:after="0" w:line="240" w:lineRule="auto"/>
              <w:ind w:left="54"/>
              <w:rPr>
                <w:rFonts w:ascii="Times New Roman" w:hAnsi="Times New Roman"/>
                <w:sz w:val="24"/>
                <w:szCs w:val="24"/>
              </w:rPr>
            </w:pPr>
            <w:r w:rsidRPr="00E56123">
              <w:rPr>
                <w:rFonts w:ascii="Times New Roman" w:hAnsi="Times New Roman"/>
                <w:sz w:val="24"/>
                <w:szCs w:val="24"/>
              </w:rPr>
              <w:t>Negatívne</w:t>
            </w:r>
          </w:p>
        </w:tc>
      </w:tr>
      <w:tr w:rsidR="00283DBA" w:rsidRPr="00E56123" w:rsidTr="006455C6">
        <w:trPr>
          <w:trHeight w:val="521"/>
        </w:trPr>
        <w:tc>
          <w:tcPr>
            <w:tcW w:w="3799" w:type="dxa"/>
            <w:tcBorders>
              <w:top w:val="nil"/>
            </w:tcBorders>
            <w:shd w:val="clear" w:color="auto" w:fill="E2E2E2"/>
          </w:tcPr>
          <w:p w:rsidR="00283DBA" w:rsidRPr="00E56123" w:rsidRDefault="00283DBA" w:rsidP="006455C6">
            <w:pPr>
              <w:spacing w:after="0" w:line="240" w:lineRule="auto"/>
              <w:ind w:left="168" w:hanging="168"/>
              <w:rPr>
                <w:rFonts w:ascii="Times New Roman" w:hAnsi="Times New Roman"/>
                <w:sz w:val="24"/>
                <w:szCs w:val="24"/>
              </w:rPr>
            </w:pPr>
            <w:r w:rsidRPr="00E56123">
              <w:rPr>
                <w:rFonts w:ascii="Times New Roman" w:hAnsi="Times New Roman"/>
                <w:sz w:val="24"/>
                <w:szCs w:val="24"/>
              </w:rPr>
              <w:t xml:space="preserve">    vplyvy na procesy služieb vo verejnej správe</w:t>
            </w:r>
          </w:p>
        </w:tc>
        <w:tc>
          <w:tcPr>
            <w:tcW w:w="596" w:type="dxa"/>
            <w:tcBorders>
              <w:top w:val="nil"/>
              <w:right w:val="nil"/>
            </w:tcBorders>
          </w:tcPr>
          <w:p w:rsidR="00283DBA" w:rsidRPr="00E56123" w:rsidRDefault="00283DBA" w:rsidP="006455C6">
            <w:pPr>
              <w:spacing w:after="0" w:line="240" w:lineRule="auto"/>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1276" w:type="dxa"/>
            <w:tcBorders>
              <w:top w:val="nil"/>
              <w:left w:val="nil"/>
              <w:right w:val="nil"/>
            </w:tcBorders>
          </w:tcPr>
          <w:p w:rsidR="00283DBA" w:rsidRPr="00E56123" w:rsidRDefault="00283DBA" w:rsidP="006455C6">
            <w:pPr>
              <w:spacing w:after="0" w:line="240" w:lineRule="auto"/>
              <w:ind w:right="-108"/>
              <w:rPr>
                <w:rFonts w:ascii="Times New Roman" w:hAnsi="Times New Roman"/>
                <w:sz w:val="24"/>
                <w:szCs w:val="24"/>
              </w:rPr>
            </w:pPr>
            <w:r w:rsidRPr="00E56123">
              <w:rPr>
                <w:rFonts w:ascii="Times New Roman" w:hAnsi="Times New Roman"/>
                <w:sz w:val="24"/>
                <w:szCs w:val="24"/>
              </w:rPr>
              <w:t>Pozitívne</w:t>
            </w:r>
          </w:p>
        </w:tc>
        <w:tc>
          <w:tcPr>
            <w:tcW w:w="567" w:type="dxa"/>
            <w:tcBorders>
              <w:top w:val="nil"/>
              <w:left w:val="nil"/>
              <w:right w:val="nil"/>
            </w:tcBorders>
          </w:tcPr>
          <w:p w:rsidR="00283DBA" w:rsidRPr="00E56123" w:rsidRDefault="00283DBA" w:rsidP="006455C6">
            <w:pPr>
              <w:spacing w:after="0" w:line="240" w:lineRule="auto"/>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1134" w:type="dxa"/>
            <w:tcBorders>
              <w:top w:val="nil"/>
              <w:left w:val="nil"/>
              <w:right w:val="nil"/>
            </w:tcBorders>
          </w:tcPr>
          <w:p w:rsidR="00283DBA" w:rsidRPr="00E56123" w:rsidRDefault="00283DBA" w:rsidP="006455C6">
            <w:pPr>
              <w:spacing w:after="0" w:line="240" w:lineRule="auto"/>
              <w:rPr>
                <w:rFonts w:ascii="Times New Roman" w:hAnsi="Times New Roman"/>
                <w:sz w:val="24"/>
                <w:szCs w:val="24"/>
              </w:rPr>
            </w:pPr>
            <w:r w:rsidRPr="00E56123">
              <w:rPr>
                <w:rFonts w:ascii="Times New Roman" w:hAnsi="Times New Roman"/>
                <w:sz w:val="24"/>
                <w:szCs w:val="24"/>
              </w:rPr>
              <w:t>Žiadne</w:t>
            </w:r>
          </w:p>
        </w:tc>
        <w:tc>
          <w:tcPr>
            <w:tcW w:w="567" w:type="dxa"/>
            <w:tcBorders>
              <w:top w:val="nil"/>
              <w:left w:val="nil"/>
              <w:right w:val="nil"/>
            </w:tcBorders>
          </w:tcPr>
          <w:p w:rsidR="00283DBA" w:rsidRPr="00E56123" w:rsidRDefault="00283DBA" w:rsidP="006455C6">
            <w:pPr>
              <w:spacing w:after="0" w:line="240" w:lineRule="auto"/>
              <w:jc w:val="center"/>
              <w:rPr>
                <w:rFonts w:ascii="Times New Roman" w:hAnsi="Times New Roman"/>
                <w:sz w:val="24"/>
                <w:szCs w:val="24"/>
              </w:rPr>
            </w:pPr>
            <w:r w:rsidRPr="00E56123">
              <w:rPr>
                <w:rFonts w:ascii="Segoe UI Symbol" w:eastAsia="MS Mincho" w:hAnsi="Segoe UI Symbol" w:cs="Segoe UI Symbol"/>
                <w:sz w:val="24"/>
                <w:szCs w:val="24"/>
              </w:rPr>
              <w:t>☐</w:t>
            </w:r>
          </w:p>
        </w:tc>
        <w:tc>
          <w:tcPr>
            <w:tcW w:w="1275" w:type="dxa"/>
            <w:tcBorders>
              <w:top w:val="nil"/>
              <w:left w:val="nil"/>
            </w:tcBorders>
          </w:tcPr>
          <w:p w:rsidR="00283DBA" w:rsidRPr="00E56123" w:rsidRDefault="00283DBA" w:rsidP="006455C6">
            <w:pPr>
              <w:spacing w:after="0" w:line="240" w:lineRule="auto"/>
              <w:ind w:left="54"/>
              <w:rPr>
                <w:rFonts w:ascii="Times New Roman" w:hAnsi="Times New Roman"/>
                <w:sz w:val="24"/>
                <w:szCs w:val="24"/>
              </w:rPr>
            </w:pPr>
            <w:r w:rsidRPr="00E56123">
              <w:rPr>
                <w:rFonts w:ascii="Times New Roman" w:hAnsi="Times New Roman"/>
                <w:sz w:val="24"/>
                <w:szCs w:val="24"/>
              </w:rPr>
              <w:t>Negatívne</w:t>
            </w:r>
          </w:p>
        </w:tc>
      </w:tr>
    </w:tbl>
    <w:tbl>
      <w:tblPr>
        <w:tblStyle w:val="Mriekatabuky"/>
        <w:tblW w:w="9180" w:type="dxa"/>
        <w:tblInd w:w="-113" w:type="dxa"/>
        <w:tblLayout w:type="fixed"/>
        <w:tblLook w:val="04A0" w:firstRow="1" w:lastRow="0" w:firstColumn="1" w:lastColumn="0" w:noHBand="0" w:noVBand="1"/>
      </w:tblPr>
      <w:tblGrid>
        <w:gridCol w:w="9180"/>
      </w:tblGrid>
      <w:tr w:rsidR="00283DBA" w:rsidRPr="00E56123" w:rsidTr="006455C6">
        <w:tc>
          <w:tcPr>
            <w:tcW w:w="9180" w:type="dxa"/>
            <w:tcBorders>
              <w:top w:val="single" w:sz="4" w:space="0" w:color="auto"/>
              <w:left w:val="single" w:sz="4" w:space="0" w:color="auto"/>
              <w:bottom w:val="nil"/>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Poznámky</w:t>
            </w:r>
          </w:p>
        </w:tc>
      </w:tr>
      <w:tr w:rsidR="00283DBA" w:rsidRPr="00E56123" w:rsidTr="006455C6">
        <w:trPr>
          <w:trHeight w:val="380"/>
        </w:trPr>
        <w:tc>
          <w:tcPr>
            <w:tcW w:w="9180" w:type="dxa"/>
            <w:tcBorders>
              <w:top w:val="nil"/>
              <w:left w:val="single" w:sz="4" w:space="0" w:color="auto"/>
              <w:bottom w:val="single" w:sz="4" w:space="0" w:color="FFFFFF"/>
              <w:right w:val="single" w:sz="4" w:space="0" w:color="auto"/>
            </w:tcBorders>
          </w:tcPr>
          <w:p w:rsidR="00283DBA" w:rsidRPr="00E56123" w:rsidRDefault="00283DBA" w:rsidP="006455C6">
            <w:pPr>
              <w:jc w:val="both"/>
              <w:rPr>
                <w:rFonts w:ascii="Times New Roman" w:hAnsi="Times New Roman"/>
                <w:b/>
                <w:sz w:val="24"/>
                <w:szCs w:val="24"/>
              </w:rPr>
            </w:pPr>
            <w:r w:rsidRPr="00E56123">
              <w:rPr>
                <w:rFonts w:ascii="Times New Roman" w:hAnsi="Times New Roman"/>
                <w:sz w:val="24"/>
                <w:szCs w:val="24"/>
              </w:rPr>
              <w:t>Krytie negatívneho vplyvu na rozpočet verejnej správy je zabezpečené zo zdrojov verejného zdravotného poistenia. Dotknutým subjektom, ktorý zabezpečí realizáciu krytia z verejného zdravotného poistenia sú zdravotné poisťovne, ktoré na tento účel majú dostatočné zdroje od ekonomicky aktívnych osôb.</w:t>
            </w:r>
          </w:p>
        </w:tc>
      </w:tr>
      <w:tr w:rsidR="00283DBA" w:rsidRPr="00E56123" w:rsidTr="006455C6">
        <w:tc>
          <w:tcPr>
            <w:tcW w:w="9180" w:type="dxa"/>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Kontakt na spracovateľa</w:t>
            </w:r>
          </w:p>
        </w:tc>
      </w:tr>
      <w:tr w:rsidR="00283DBA" w:rsidRPr="00E56123" w:rsidTr="006455C6">
        <w:trPr>
          <w:trHeight w:val="861"/>
        </w:trPr>
        <w:tc>
          <w:tcPr>
            <w:tcW w:w="9180" w:type="dxa"/>
            <w:tcBorders>
              <w:top w:val="single" w:sz="4" w:space="0" w:color="FFFFFF"/>
              <w:left w:val="single" w:sz="4" w:space="0" w:color="auto"/>
              <w:bottom w:val="single" w:sz="4" w:space="0" w:color="auto"/>
              <w:right w:val="single" w:sz="4" w:space="0" w:color="auto"/>
            </w:tcBorders>
            <w:shd w:val="clear" w:color="auto" w:fill="FFFFFF"/>
          </w:tcPr>
          <w:p w:rsidR="00283DBA" w:rsidRPr="00E56123" w:rsidRDefault="00283DBA" w:rsidP="006455C6">
            <w:pPr>
              <w:rPr>
                <w:rFonts w:ascii="Times New Roman" w:hAnsi="Times New Roman"/>
                <w:color w:val="000000" w:themeColor="text1"/>
                <w:sz w:val="24"/>
                <w:szCs w:val="24"/>
              </w:rPr>
            </w:pPr>
            <w:r w:rsidRPr="00E56123">
              <w:rPr>
                <w:rFonts w:ascii="Times New Roman" w:hAnsi="Times New Roman"/>
                <w:color w:val="000000" w:themeColor="text1"/>
                <w:sz w:val="24"/>
                <w:szCs w:val="24"/>
              </w:rPr>
              <w:t>Ministerstvo zdravotníctva SR</w:t>
            </w:r>
          </w:p>
          <w:p w:rsidR="00283DBA" w:rsidRPr="00E56123" w:rsidRDefault="00283DBA" w:rsidP="006455C6">
            <w:pPr>
              <w:rPr>
                <w:rFonts w:ascii="Times New Roman" w:hAnsi="Times New Roman"/>
                <w:color w:val="000000"/>
                <w:sz w:val="24"/>
                <w:szCs w:val="24"/>
              </w:rPr>
            </w:pPr>
            <w:r w:rsidRPr="00E56123">
              <w:rPr>
                <w:rFonts w:ascii="Times New Roman" w:hAnsi="Times New Roman"/>
                <w:color w:val="000000" w:themeColor="text1"/>
                <w:sz w:val="24"/>
                <w:szCs w:val="24"/>
              </w:rPr>
              <w:t>Inštitút zdravotnej politiky</w:t>
            </w:r>
          </w:p>
        </w:tc>
      </w:tr>
      <w:tr w:rsidR="00283DBA" w:rsidRPr="00E56123" w:rsidTr="006455C6">
        <w:tc>
          <w:tcPr>
            <w:tcW w:w="9180" w:type="dxa"/>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Zdroje</w:t>
            </w:r>
          </w:p>
        </w:tc>
      </w:tr>
      <w:tr w:rsidR="00283DBA" w:rsidRPr="00E56123" w:rsidTr="006455C6">
        <w:trPr>
          <w:trHeight w:val="401"/>
        </w:trPr>
        <w:tc>
          <w:tcPr>
            <w:tcW w:w="9180" w:type="dxa"/>
            <w:tcBorders>
              <w:top w:val="single" w:sz="4" w:space="0" w:color="FFFFFF"/>
              <w:left w:val="single" w:sz="4" w:space="0" w:color="auto"/>
              <w:bottom w:val="single" w:sz="4" w:space="0" w:color="auto"/>
              <w:right w:val="single" w:sz="4" w:space="0" w:color="auto"/>
            </w:tcBorders>
            <w:shd w:val="clear" w:color="auto" w:fill="FFFFFF"/>
          </w:tcPr>
          <w:p w:rsidR="00283DBA" w:rsidRPr="00E56123" w:rsidRDefault="00283DBA" w:rsidP="006455C6">
            <w:pPr>
              <w:rPr>
                <w:rFonts w:ascii="Times New Roman" w:hAnsi="Times New Roman"/>
                <w:sz w:val="24"/>
                <w:szCs w:val="24"/>
              </w:rPr>
            </w:pPr>
            <w:r w:rsidRPr="00E56123">
              <w:rPr>
                <w:rFonts w:ascii="Times New Roman" w:hAnsi="Times New Roman"/>
                <w:sz w:val="24"/>
                <w:szCs w:val="24"/>
              </w:rPr>
              <w:t>Súvisiace platné právne predpisy (napr. Zákonník práce, zákon č. 578/2004 Z. z.), údaje zdravotných poisťovní, Národné centrum zdravotníckych informácií, údaje od poskytovateľov zdravotnej starostlivosti.</w:t>
            </w:r>
          </w:p>
        </w:tc>
      </w:tr>
      <w:tr w:rsidR="00283DBA" w:rsidRPr="00E56123" w:rsidTr="006455C6">
        <w:tc>
          <w:tcPr>
            <w:tcW w:w="9180" w:type="dxa"/>
            <w:tcBorders>
              <w:top w:val="single" w:sz="4" w:space="0" w:color="auto"/>
              <w:left w:val="single" w:sz="4" w:space="0" w:color="auto"/>
              <w:bottom w:val="single" w:sz="4" w:space="0" w:color="FFFFFF"/>
              <w:right w:val="single" w:sz="4" w:space="0" w:color="auto"/>
            </w:tcBorders>
            <w:shd w:val="clear" w:color="auto" w:fill="E2E2E2"/>
          </w:tcPr>
          <w:p w:rsidR="00283DBA" w:rsidRPr="00E56123" w:rsidRDefault="00283DBA" w:rsidP="00283DBA">
            <w:pPr>
              <w:pStyle w:val="Odsekzoznamu"/>
              <w:numPr>
                <w:ilvl w:val="0"/>
                <w:numId w:val="1"/>
              </w:numPr>
              <w:autoSpaceDE w:val="0"/>
              <w:autoSpaceDN w:val="0"/>
              <w:spacing w:after="0" w:line="240" w:lineRule="auto"/>
              <w:ind w:left="426"/>
              <w:rPr>
                <w:rFonts w:ascii="Times New Roman" w:hAnsi="Times New Roman"/>
                <w:b/>
                <w:sz w:val="24"/>
                <w:szCs w:val="24"/>
              </w:rPr>
            </w:pPr>
            <w:r w:rsidRPr="00E56123">
              <w:rPr>
                <w:rFonts w:ascii="Times New Roman" w:hAnsi="Times New Roman"/>
                <w:b/>
                <w:sz w:val="24"/>
                <w:szCs w:val="24"/>
              </w:rPr>
              <w:t>Stanovisko Komisie pre posudzovanie vybraných vplyvov z PPK</w:t>
            </w:r>
          </w:p>
        </w:tc>
      </w:tr>
      <w:tr w:rsidR="00283DBA" w:rsidRPr="00E56123" w:rsidTr="006455C6">
        <w:tc>
          <w:tcPr>
            <w:tcW w:w="9180" w:type="dxa"/>
            <w:tcBorders>
              <w:top w:val="single" w:sz="4" w:space="0" w:color="FFFFFF"/>
              <w:left w:val="single" w:sz="4" w:space="0" w:color="auto"/>
              <w:bottom w:val="single" w:sz="4" w:space="0" w:color="auto"/>
              <w:right w:val="single" w:sz="4" w:space="0" w:color="auto"/>
            </w:tcBorders>
            <w:shd w:val="clear" w:color="auto" w:fill="FFFFFF"/>
          </w:tcPr>
          <w:p w:rsidR="00283DBA" w:rsidRPr="00E56123" w:rsidRDefault="00283DBA" w:rsidP="006455C6">
            <w:pPr>
              <w:tabs>
                <w:tab w:val="center" w:pos="6379"/>
              </w:tabs>
              <w:ind w:right="-2"/>
              <w:jc w:val="both"/>
              <w:rPr>
                <w:rFonts w:ascii="Times New Roman" w:hAnsi="Times New Roman"/>
                <w:sz w:val="24"/>
                <w:szCs w:val="24"/>
              </w:rPr>
            </w:pPr>
            <w:r w:rsidRPr="00E56123">
              <w:rPr>
                <w:rFonts w:ascii="Times New Roman" w:hAnsi="Times New Roman"/>
                <w:sz w:val="24"/>
                <w:szCs w:val="24"/>
              </w:rPr>
              <w:t>II. Pripomienky a návrhy zmien: Komisia uplatňuje k materiálu nasledovné pripomienky a odporúčania:</w:t>
            </w:r>
          </w:p>
          <w:p w:rsidR="00283DBA" w:rsidRPr="00E56123" w:rsidRDefault="00283DBA" w:rsidP="006455C6">
            <w:pPr>
              <w:tabs>
                <w:tab w:val="center" w:pos="6379"/>
              </w:tabs>
              <w:ind w:right="-2"/>
              <w:jc w:val="both"/>
              <w:rPr>
                <w:rFonts w:ascii="Times New Roman" w:hAnsi="Times New Roman"/>
                <w:sz w:val="24"/>
                <w:szCs w:val="24"/>
              </w:rPr>
            </w:pP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K doložke vybraných vplyvov</w:t>
            </w: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Komisia navrhuje predkladateľovi použiť doložku vybraných vplyvov účinnú od 01. apríla 2016, kedy bol zavedený nový vplyv, a to vplyv na služby verejnej správy pre občana a zároveň navrhuje vyznačiť žiadny vplyv ako na služby verejnej správy na občana, tak aj na procesy služieb vo verejnej správe.</w:t>
            </w:r>
          </w:p>
          <w:p w:rsidR="00283DBA" w:rsidRPr="00E56123" w:rsidRDefault="00283DBA" w:rsidP="006455C6">
            <w:pPr>
              <w:jc w:val="both"/>
              <w:rPr>
                <w:rFonts w:ascii="Times New Roman" w:hAnsi="Times New Roman"/>
                <w:sz w:val="24"/>
                <w:szCs w:val="24"/>
              </w:rPr>
            </w:pP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Stanovisko MZSR: Pripomienka zapracovaná.</w:t>
            </w:r>
          </w:p>
          <w:p w:rsidR="00283DBA" w:rsidRPr="00E56123" w:rsidRDefault="00283DBA" w:rsidP="006455C6">
            <w:pPr>
              <w:jc w:val="both"/>
              <w:rPr>
                <w:rFonts w:ascii="Times New Roman" w:hAnsi="Times New Roman"/>
                <w:sz w:val="24"/>
                <w:szCs w:val="24"/>
              </w:rPr>
            </w:pP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K analýze vplyvov na rozpočet verejnej správy</w:t>
            </w: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V analýze vplyvov na rozpočet verejnej správy, na zamestnanosť vo verejnej správe a financovanie návrhu sú vyčíslené celkové výdavky na roky 2019 – 2022 v sume 1 595 300 eur každoročne. Zároveň sa v časti 2.1.1. uvádza, že zvýšené výdavky budú plne kryté z prostriedkov verejného zdravotného poistenia v rámci rozpočtu zdravotných poisťovní iným vnútorným prerozdelením zdrojov, čo Komisia berie na vedomie. Komisia upozorňuje, že analýza vplyvov má byť vypracovaná na bežný rok a tri nasledujúce roky.</w:t>
            </w:r>
          </w:p>
          <w:p w:rsidR="00283DBA" w:rsidRPr="00E56123" w:rsidRDefault="00283DBA" w:rsidP="006455C6">
            <w:pPr>
              <w:jc w:val="both"/>
              <w:rPr>
                <w:rFonts w:ascii="Times New Roman" w:hAnsi="Times New Roman"/>
                <w:sz w:val="24"/>
                <w:szCs w:val="24"/>
              </w:rPr>
            </w:pP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Stanovisko MZSR: Pre rok 2018 má predkladaný návrh právneho predpisu nulový dopad (zapracované návrhy zmien právneho predpisu nadobúdajú účinnosť v roku 2019).</w:t>
            </w:r>
          </w:p>
          <w:p w:rsidR="00283DBA" w:rsidRPr="00E56123" w:rsidRDefault="00283DBA" w:rsidP="006455C6">
            <w:pPr>
              <w:jc w:val="both"/>
              <w:rPr>
                <w:rFonts w:ascii="Times New Roman" w:hAnsi="Times New Roman"/>
                <w:sz w:val="24"/>
                <w:szCs w:val="24"/>
              </w:rPr>
            </w:pP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K vplyvom na podnikateľské prostredie</w:t>
            </w: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 xml:space="preserve">Komisia žiada predkladateľa o vyznačenie pozitívneho vplyvu na MSP v časti 9. Vplyvy navrhovaného materiálu Doložky vybraných vplyvov, nakoľko uvedené zmeny zakladajú pozitívny vplyv na všetky kategórie podnikov. Predkladateľ vyznačením pozitívneho vplyvu na MSP súčasne uvedie do súladu Doložku vybraných vplyvov s Analýzou vplyvov na podnikateľské prostredie. </w:t>
            </w: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 xml:space="preserve">Komisia žiada predkladateľa o uvedenie zvýšených úhrad zdravotnej poisťovne za poskytovanie zubno-lekárskej pohotovostnej služby a ambulantnej pohotovostnej služby do Analýzy vplyvov na podnikateľské prostredie v časti 3.3. Náklady regulácie, ako náklad pre zdravotné poisťovne a prínos pre ambulancie pohotovostných služieb. </w:t>
            </w:r>
          </w:p>
          <w:p w:rsidR="00283DBA" w:rsidRPr="00E56123" w:rsidRDefault="00283DBA" w:rsidP="006455C6">
            <w:pPr>
              <w:jc w:val="both"/>
              <w:rPr>
                <w:rFonts w:ascii="Times New Roman" w:hAnsi="Times New Roman"/>
                <w:sz w:val="24"/>
                <w:szCs w:val="24"/>
              </w:rPr>
            </w:pP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 xml:space="preserve">Stanovisko MZSR: Krytie negatívneho vplyvu predkladaného návrhu právneho predpisu na rozpočet verejnej správy je zabezpečené zo zdrojov verejného zdravotného poistenia. Dotknutým subjektom, ktorý zabezpečí realizáciu krytia z verejného zdravotného poistenia sú </w:t>
            </w:r>
            <w:r w:rsidRPr="00E56123">
              <w:rPr>
                <w:rFonts w:ascii="Times New Roman" w:hAnsi="Times New Roman"/>
                <w:sz w:val="24"/>
                <w:szCs w:val="24"/>
              </w:rPr>
              <w:lastRenderedPageBreak/>
              <w:t>zdravotné poisťovne, ktoré na tento účel majú dostatočné zdroje od ekonomicky aktívnych osôb.</w:t>
            </w: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Podľa záverov Európskej komisie z 15. 10. 2014, podľa ktorého v slovenskom systéme zdravotného poistenia prevládajú sociálne ciele, jedná sa o systém založený najmä na zásade solidarity, pričom Komisia dospela k</w:t>
            </w:r>
            <w:r w:rsidRPr="00E56123">
              <w:rPr>
                <w:rFonts w:ascii="Times New Roman" w:eastAsia="Calibri" w:hAnsi="Times New Roman"/>
                <w:sz w:val="24"/>
                <w:szCs w:val="24"/>
                <w:lang w:eastAsia="en-US"/>
              </w:rPr>
              <w:t> </w:t>
            </w:r>
            <w:r w:rsidRPr="00E56123">
              <w:rPr>
                <w:rFonts w:ascii="Times New Roman" w:hAnsi="Times New Roman"/>
                <w:sz w:val="24"/>
                <w:szCs w:val="24"/>
              </w:rPr>
              <w:t>záveru, že dotknuté činnosti (výkon verejného zdravotného poistenia) nemajú ekonomickú povahu. (</w:t>
            </w:r>
            <w:hyperlink r:id="rId5" w:history="1">
              <w:r w:rsidRPr="00E56123">
                <w:rPr>
                  <w:rStyle w:val="Hypertextovprepojenie"/>
                  <w:rFonts w:ascii="Times New Roman" w:hAnsi="Times New Roman"/>
                  <w:color w:val="auto"/>
                  <w:sz w:val="24"/>
                  <w:szCs w:val="24"/>
                </w:rPr>
                <w:t>http://europa.eu/rapid/press-release_IP-14-1158_sk.htm</w:t>
              </w:r>
            </w:hyperlink>
            <w:r w:rsidRPr="00E56123">
              <w:rPr>
                <w:rFonts w:ascii="Times New Roman" w:hAnsi="Times New Roman"/>
                <w:sz w:val="24"/>
                <w:szCs w:val="24"/>
              </w:rPr>
              <w:t>). Tento záver sa vzťahuje na osobitný spôsob, akým je táto činnosť na</w:t>
            </w:r>
            <w:r w:rsidRPr="00E56123">
              <w:rPr>
                <w:rFonts w:ascii="Times New Roman" w:hAnsi="Times New Roman"/>
                <w:bCs/>
                <w:sz w:val="24"/>
                <w:szCs w:val="24"/>
              </w:rPr>
              <w:t> </w:t>
            </w:r>
            <w:r w:rsidRPr="00E56123">
              <w:rPr>
                <w:rFonts w:ascii="Times New Roman" w:hAnsi="Times New Roman"/>
                <w:sz w:val="24"/>
                <w:szCs w:val="24"/>
              </w:rPr>
              <w:t>Slovensku organizovaná a vykonávaná, a týka sa preto tohto konkrétneho systému v</w:t>
            </w:r>
            <w:r w:rsidRPr="00E56123">
              <w:rPr>
                <w:rFonts w:ascii="Times New Roman" w:hAnsi="Times New Roman"/>
                <w:bCs/>
                <w:sz w:val="24"/>
                <w:szCs w:val="24"/>
              </w:rPr>
              <w:t> </w:t>
            </w:r>
            <w:r w:rsidRPr="00E56123">
              <w:rPr>
                <w:rFonts w:ascii="Times New Roman" w:hAnsi="Times New Roman"/>
                <w:sz w:val="24"/>
                <w:szCs w:val="24"/>
              </w:rPr>
              <w:t>Slovenskej republike.</w:t>
            </w: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Z uvedeného vyplýva, že dopad na verejné zdravotné poistenie (zdravotné poisťovne) je uvedený v doložke „Analýza vplyvov na rozpočet verejnej správy, na zamestnanosť vo verejnej správe a financovanie návrhu“. Výdavky verejného zdravotného poistenia sú prínosom pre poskytovateľov zdravotnej starostlivosti.</w:t>
            </w:r>
          </w:p>
          <w:p w:rsidR="00283DBA" w:rsidRPr="00E56123" w:rsidRDefault="00283DBA" w:rsidP="006455C6">
            <w:pPr>
              <w:jc w:val="both"/>
              <w:rPr>
                <w:rFonts w:ascii="Times New Roman" w:hAnsi="Times New Roman"/>
                <w:sz w:val="24"/>
                <w:szCs w:val="24"/>
              </w:rPr>
            </w:pPr>
          </w:p>
          <w:p w:rsidR="00283DBA" w:rsidRPr="00E56123" w:rsidRDefault="00283DBA" w:rsidP="006455C6">
            <w:pPr>
              <w:jc w:val="both"/>
              <w:rPr>
                <w:rFonts w:ascii="Times New Roman" w:hAnsi="Times New Roman"/>
                <w:sz w:val="24"/>
                <w:szCs w:val="24"/>
              </w:rPr>
            </w:pPr>
          </w:p>
          <w:p w:rsidR="00283DBA" w:rsidRPr="00E56123" w:rsidRDefault="00283DBA" w:rsidP="006455C6">
            <w:pPr>
              <w:jc w:val="both"/>
              <w:rPr>
                <w:rFonts w:ascii="Times New Roman" w:hAnsi="Times New Roman"/>
                <w:sz w:val="24"/>
                <w:szCs w:val="24"/>
              </w:rPr>
            </w:pPr>
            <w:r w:rsidRPr="00E56123">
              <w:rPr>
                <w:rFonts w:ascii="Times New Roman" w:hAnsi="Times New Roman"/>
                <w:sz w:val="24"/>
                <w:szCs w:val="24"/>
              </w:rPr>
              <w:t xml:space="preserve">III. Záver: Stála pracovná komisia na posudzovanie vybraných vplyvov vyjadruje </w:t>
            </w:r>
          </w:p>
          <w:p w:rsidR="00283DBA" w:rsidRPr="00E56123" w:rsidRDefault="00283DBA" w:rsidP="006455C6">
            <w:pPr>
              <w:tabs>
                <w:tab w:val="center" w:pos="6379"/>
              </w:tabs>
              <w:ind w:right="-2"/>
              <w:jc w:val="center"/>
              <w:rPr>
                <w:rFonts w:ascii="Times New Roman" w:hAnsi="Times New Roman"/>
                <w:sz w:val="24"/>
                <w:szCs w:val="24"/>
              </w:rPr>
            </w:pPr>
            <w:r w:rsidRPr="00E56123">
              <w:rPr>
                <w:rFonts w:ascii="Times New Roman" w:hAnsi="Times New Roman"/>
                <w:sz w:val="24"/>
                <w:szCs w:val="24"/>
              </w:rPr>
              <w:t>nesúhlasné stanovisko</w:t>
            </w:r>
          </w:p>
          <w:p w:rsidR="00283DBA" w:rsidRPr="00E56123" w:rsidRDefault="00283DBA" w:rsidP="006455C6">
            <w:pPr>
              <w:tabs>
                <w:tab w:val="center" w:pos="6379"/>
              </w:tabs>
              <w:ind w:right="-2"/>
              <w:jc w:val="both"/>
              <w:rPr>
                <w:rFonts w:ascii="Times New Roman" w:hAnsi="Times New Roman"/>
                <w:sz w:val="24"/>
                <w:szCs w:val="24"/>
              </w:rPr>
            </w:pPr>
            <w:r w:rsidRPr="00E56123">
              <w:rPr>
                <w:rFonts w:ascii="Times New Roman" w:hAnsi="Times New Roman"/>
                <w:sz w:val="24"/>
                <w:szCs w:val="24"/>
              </w:rPr>
              <w:t xml:space="preserve">s materiálom predloženým na predbežné pripomienkové konanie s odporúčaním na jeho dopracovanie podľa pripomienok v bode II. </w:t>
            </w:r>
          </w:p>
          <w:p w:rsidR="00283DBA" w:rsidRPr="00E56123" w:rsidRDefault="00283DBA" w:rsidP="006455C6">
            <w:pPr>
              <w:tabs>
                <w:tab w:val="center" w:pos="6379"/>
              </w:tabs>
              <w:ind w:right="-2"/>
              <w:jc w:val="both"/>
              <w:rPr>
                <w:rFonts w:ascii="Times New Roman" w:hAnsi="Times New Roman"/>
                <w:sz w:val="24"/>
                <w:szCs w:val="24"/>
              </w:rPr>
            </w:pPr>
          </w:p>
          <w:p w:rsidR="00283DBA" w:rsidRPr="00E56123" w:rsidRDefault="00283DBA" w:rsidP="006455C6">
            <w:pPr>
              <w:tabs>
                <w:tab w:val="center" w:pos="6379"/>
              </w:tabs>
              <w:ind w:right="-2"/>
              <w:jc w:val="both"/>
              <w:rPr>
                <w:rFonts w:ascii="Times New Roman" w:hAnsi="Times New Roman"/>
                <w:sz w:val="24"/>
                <w:szCs w:val="24"/>
              </w:rPr>
            </w:pPr>
          </w:p>
          <w:p w:rsidR="00283DBA" w:rsidRPr="00E56123" w:rsidRDefault="00283DBA" w:rsidP="006455C6">
            <w:pPr>
              <w:tabs>
                <w:tab w:val="center" w:pos="6379"/>
              </w:tabs>
              <w:ind w:right="-2"/>
              <w:jc w:val="both"/>
              <w:rPr>
                <w:rFonts w:ascii="Times New Roman" w:hAnsi="Times New Roman"/>
                <w:sz w:val="24"/>
                <w:szCs w:val="24"/>
              </w:rPr>
            </w:pPr>
            <w:r w:rsidRPr="00E56123">
              <w:rPr>
                <w:rFonts w:ascii="Times New Roman" w:hAnsi="Times New Roman"/>
                <w:sz w:val="24"/>
                <w:szCs w:val="24"/>
              </w:rPr>
              <w:t>IV. Poznámka: Predkladateľ zapracuje pripomienky a odporúčania na úpravu uvedené v bode II a uvedie stanovisko Komisie do Doložky vybraných vplyvov spolu s vyhodnotením pripomienok.</w:t>
            </w:r>
          </w:p>
          <w:p w:rsidR="00283DBA" w:rsidRPr="00E56123" w:rsidRDefault="00283DBA" w:rsidP="006455C6">
            <w:pPr>
              <w:tabs>
                <w:tab w:val="center" w:pos="6379"/>
              </w:tabs>
              <w:ind w:right="-2"/>
              <w:jc w:val="both"/>
              <w:rPr>
                <w:rFonts w:ascii="Times New Roman" w:hAnsi="Times New Roman"/>
                <w:sz w:val="24"/>
                <w:szCs w:val="24"/>
              </w:rPr>
            </w:pPr>
          </w:p>
          <w:p w:rsidR="00283DBA" w:rsidRPr="00E56123" w:rsidRDefault="00283DBA" w:rsidP="006455C6">
            <w:pPr>
              <w:tabs>
                <w:tab w:val="center" w:pos="6379"/>
              </w:tabs>
              <w:ind w:right="-2"/>
              <w:jc w:val="both"/>
              <w:rPr>
                <w:rFonts w:ascii="Times New Roman" w:hAnsi="Times New Roman"/>
                <w:sz w:val="24"/>
                <w:szCs w:val="24"/>
              </w:rPr>
            </w:pPr>
            <w:r w:rsidRPr="00E56123">
              <w:rPr>
                <w:rFonts w:ascii="Times New Roman" w:hAnsi="Times New Roman"/>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283DBA" w:rsidRPr="00E56123" w:rsidRDefault="00283DBA" w:rsidP="00283DBA">
      <w:pPr>
        <w:rPr>
          <w:rFonts w:ascii="Times New Roman" w:hAnsi="Times New Roman"/>
          <w:sz w:val="24"/>
          <w:szCs w:val="24"/>
        </w:rPr>
      </w:pPr>
    </w:p>
    <w:p w:rsidR="00727FAA" w:rsidRPr="00280849" w:rsidRDefault="00727FAA">
      <w:pPr>
        <w:rPr>
          <w:rFonts w:ascii="Times New Roman" w:hAnsi="Times New Roman"/>
          <w:sz w:val="24"/>
          <w:szCs w:val="24"/>
        </w:rPr>
      </w:pPr>
      <w:bookmarkStart w:id="0" w:name="_GoBack"/>
      <w:bookmarkEnd w:id="0"/>
    </w:p>
    <w:sectPr w:rsidR="00727FAA" w:rsidRPr="00280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BA"/>
    <w:rsid w:val="00280849"/>
    <w:rsid w:val="00283DBA"/>
    <w:rsid w:val="00727F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35B0"/>
  <w15:chartTrackingRefBased/>
  <w15:docId w15:val="{6C1EDFAB-CAAA-4154-B90C-49042CCD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DBA"/>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283DBA"/>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283DBA"/>
    <w:rPr>
      <w:rFonts w:cs="Times New Roman"/>
      <w:color w:val="0000FF"/>
      <w:u w:val="single"/>
    </w:rPr>
  </w:style>
  <w:style w:type="paragraph" w:styleId="Odsekzoznamu">
    <w:name w:val="List Paragraph"/>
    <w:aliases w:val="body,Odsek zoznamu2,Odsek"/>
    <w:basedOn w:val="Normlny"/>
    <w:link w:val="OdsekzoznamuChar"/>
    <w:uiPriority w:val="34"/>
    <w:qFormat/>
    <w:rsid w:val="00283DBA"/>
    <w:pPr>
      <w:ind w:left="720"/>
      <w:contextualSpacing/>
    </w:pPr>
  </w:style>
  <w:style w:type="character" w:customStyle="1" w:styleId="OdsekzoznamuChar">
    <w:name w:val="Odsek zoznamu Char"/>
    <w:aliases w:val="body Char,Odsek zoznamu2 Char,Odsek Char"/>
    <w:link w:val="Odsekzoznamu"/>
    <w:uiPriority w:val="34"/>
    <w:qFormat/>
    <w:locked/>
    <w:rsid w:val="00283DBA"/>
    <w:rPr>
      <w:rFonts w:eastAsiaTheme="minorEastAsia" w:cs="Times New Roman"/>
      <w:lang w:eastAsia="sk-SK"/>
    </w:rPr>
  </w:style>
  <w:style w:type="paragraph" w:styleId="Hlavika">
    <w:name w:val="header"/>
    <w:basedOn w:val="Normlny"/>
    <w:link w:val="HlavikaChar"/>
    <w:uiPriority w:val="99"/>
    <w:unhideWhenUsed/>
    <w:rsid w:val="00283D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83DBA"/>
    <w:rPr>
      <w:rFonts w:eastAsiaTheme="minorEastAsia" w:cs="Times New Roman"/>
      <w:lang w:eastAsia="sk-SK"/>
    </w:rPr>
  </w:style>
  <w:style w:type="paragraph" w:styleId="Nzov">
    <w:name w:val="Title"/>
    <w:basedOn w:val="Normlny"/>
    <w:link w:val="NzovChar"/>
    <w:qFormat/>
    <w:rsid w:val="00283DBA"/>
    <w:pPr>
      <w:spacing w:after="0" w:line="240" w:lineRule="auto"/>
      <w:jc w:val="center"/>
    </w:pPr>
    <w:rPr>
      <w:rFonts w:ascii="Arial" w:eastAsia="Times New Roman" w:hAnsi="Arial"/>
      <w:sz w:val="24"/>
      <w:szCs w:val="20"/>
    </w:rPr>
  </w:style>
  <w:style w:type="character" w:customStyle="1" w:styleId="NzovChar">
    <w:name w:val="Názov Char"/>
    <w:basedOn w:val="Predvolenpsmoodseku"/>
    <w:link w:val="Nzov"/>
    <w:rsid w:val="00283DBA"/>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283DBA"/>
    <w:pPr>
      <w:spacing w:after="0" w:line="240" w:lineRule="auto"/>
      <w:ind w:firstLine="720"/>
      <w:jc w:val="both"/>
    </w:pPr>
    <w:rPr>
      <w:rFonts w:ascii="Arial" w:eastAsia="Times New Roman" w:hAnsi="Arial"/>
      <w:sz w:val="24"/>
      <w:szCs w:val="20"/>
    </w:rPr>
  </w:style>
  <w:style w:type="character" w:customStyle="1" w:styleId="ZarkazkladnhotextuChar">
    <w:name w:val="Zarážka základného textu Char"/>
    <w:basedOn w:val="Predvolenpsmoodseku"/>
    <w:link w:val="Zarkazkladnhotextu"/>
    <w:uiPriority w:val="99"/>
    <w:semiHidden/>
    <w:rsid w:val="00283DBA"/>
    <w:rPr>
      <w:rFonts w:ascii="Arial" w:eastAsia="Times New Roman" w:hAnsi="Arial" w:cs="Times New Roman"/>
      <w:sz w:val="24"/>
      <w:szCs w:val="20"/>
      <w:lang w:eastAsia="sk-SK"/>
    </w:rPr>
  </w:style>
  <w:style w:type="character" w:styleId="Zstupntext">
    <w:name w:val="Placeholder Text"/>
    <w:basedOn w:val="Predvolenpsmoodseku"/>
    <w:uiPriority w:val="99"/>
    <w:qFormat/>
    <w:rsid w:val="00283DBA"/>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opa.eu/rapid/press-release_IP-14-1158_sk.ht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7937</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Jakubíková Jana</dc:creator>
  <cp:keywords/>
  <dc:description/>
  <cp:lastModifiedBy>Jakubíková Jana</cp:lastModifiedBy>
  <cp:revision>2</cp:revision>
  <dcterms:created xsi:type="dcterms:W3CDTF">2019-02-06T08:07:00Z</dcterms:created>
  <dcterms:modified xsi:type="dcterms:W3CDTF">2019-02-06T08:08:00Z</dcterms:modified>
</cp:coreProperties>
</file>