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01" w:rsidRDefault="00377F01" w:rsidP="00377F01">
      <w:pPr>
        <w:jc w:val="center"/>
        <w:rPr>
          <w:b/>
          <w:bCs/>
          <w:sz w:val="28"/>
          <w:szCs w:val="28"/>
        </w:rPr>
      </w:pPr>
      <w:r>
        <w:rPr>
          <w:b/>
          <w:bCs/>
          <w:sz w:val="28"/>
          <w:szCs w:val="28"/>
        </w:rPr>
        <w:t>Doložka vybraných vplyvov</w:t>
      </w:r>
    </w:p>
    <w:p w:rsidR="00377F01" w:rsidRDefault="00377F01" w:rsidP="00377F01">
      <w:pPr>
        <w:pStyle w:val="Odsekzoznamu"/>
        <w:ind w:left="426"/>
        <w:rPr>
          <w:b/>
        </w:rPr>
      </w:pPr>
    </w:p>
    <w:tbl>
      <w:tblPr>
        <w:tblStyle w:val="Mriekatabuky"/>
        <w:tblW w:w="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77F01" w:rsidTr="00377F0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hideMark/>
          </w:tcPr>
          <w:p w:rsidR="00377F01" w:rsidRDefault="00377F01" w:rsidP="00377F01">
            <w:pPr>
              <w:pStyle w:val="Odsekzoznamu"/>
              <w:numPr>
                <w:ilvl w:val="0"/>
                <w:numId w:val="5"/>
              </w:numPr>
              <w:spacing w:after="0" w:line="240" w:lineRule="auto"/>
              <w:ind w:left="426"/>
              <w:rPr>
                <w:rFonts w:ascii="Times New Roman" w:hAnsi="Times New Roman" w:cs="Times New Roman"/>
                <w:b/>
              </w:rPr>
            </w:pPr>
            <w:r>
              <w:rPr>
                <w:rFonts w:ascii="Times New Roman" w:hAnsi="Times New Roman" w:cs="Times New Roman"/>
                <w:b/>
              </w:rPr>
              <w:t>Základné údaje</w:t>
            </w:r>
          </w:p>
        </w:tc>
      </w:tr>
      <w:tr w:rsidR="00377F01" w:rsidTr="00377F0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hideMark/>
          </w:tcPr>
          <w:p w:rsidR="00377F01" w:rsidRDefault="00377F01">
            <w:pPr>
              <w:pStyle w:val="Odsekzoznamu"/>
              <w:spacing w:after="0"/>
              <w:ind w:left="0"/>
              <w:rPr>
                <w:rFonts w:ascii="Times New Roman" w:hAnsi="Times New Roman" w:cs="Times New Roman"/>
                <w:b/>
              </w:rPr>
            </w:pPr>
            <w:r>
              <w:rPr>
                <w:rFonts w:ascii="Times New Roman" w:hAnsi="Times New Roman" w:cs="Times New Roman"/>
                <w:b/>
              </w:rPr>
              <w:t>Názov materiálu</w:t>
            </w:r>
          </w:p>
        </w:tc>
      </w:tr>
      <w:tr w:rsidR="00377F01" w:rsidTr="00377F01">
        <w:tc>
          <w:tcPr>
            <w:tcW w:w="9180" w:type="dxa"/>
            <w:gridSpan w:val="10"/>
            <w:tcBorders>
              <w:top w:val="single" w:sz="4" w:space="0" w:color="FFFFFF" w:themeColor="background1"/>
              <w:left w:val="single" w:sz="4" w:space="0" w:color="auto"/>
              <w:bottom w:val="single" w:sz="4" w:space="0" w:color="auto"/>
              <w:right w:val="single" w:sz="4" w:space="0" w:color="auto"/>
            </w:tcBorders>
          </w:tcPr>
          <w:p w:rsidR="00377F01" w:rsidRDefault="00377F01">
            <w:pPr>
              <w:rPr>
                <w:lang w:eastAsia="en-US"/>
              </w:rPr>
            </w:pPr>
          </w:p>
          <w:p w:rsidR="00377F01" w:rsidRDefault="00377F01">
            <w:pPr>
              <w:rPr>
                <w:lang w:eastAsia="en-US"/>
              </w:rPr>
            </w:pPr>
            <w:r>
              <w:rPr>
                <w:lang w:eastAsia="en-US"/>
              </w:rPr>
              <w:t>Návrh zákona, ktorým sa mení a dopĺňa zákon č. 328/2002 Z. z. o sociálnom zabezpečení policajtov a vojakov a o zmene a doplnení niektorých zákonov v znení neskorších predpisov</w:t>
            </w:r>
          </w:p>
          <w:p w:rsidR="00377F01" w:rsidRDefault="00377F01">
            <w:pPr>
              <w:rPr>
                <w:lang w:eastAsia="en-US"/>
              </w:rPr>
            </w:pPr>
          </w:p>
        </w:tc>
      </w:tr>
      <w:tr w:rsidR="00377F01" w:rsidTr="00377F0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hideMark/>
          </w:tcPr>
          <w:p w:rsidR="00377F01" w:rsidRDefault="00377F01">
            <w:pPr>
              <w:pStyle w:val="Odsekzoznamu"/>
              <w:spacing w:after="0"/>
              <w:ind w:left="0"/>
              <w:rPr>
                <w:rFonts w:ascii="Times New Roman" w:hAnsi="Times New Roman" w:cs="Times New Roman"/>
                <w:b/>
              </w:rPr>
            </w:pPr>
            <w:r>
              <w:rPr>
                <w:rFonts w:ascii="Times New Roman" w:hAnsi="Times New Roman" w:cs="Times New Roman"/>
                <w:b/>
              </w:rPr>
              <w:t>Predkladateľ (a spolupredkladateľ)</w:t>
            </w:r>
          </w:p>
        </w:tc>
      </w:tr>
      <w:tr w:rsidR="00377F01" w:rsidTr="00377F01">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77F01" w:rsidRPr="004E1F20" w:rsidRDefault="004E1F20">
            <w:pPr>
              <w:rPr>
                <w:strike/>
                <w:lang w:eastAsia="en-US"/>
              </w:rPr>
            </w:pPr>
            <w:r>
              <w:rPr>
                <w:lang w:eastAsia="en-US"/>
              </w:rPr>
              <w:t xml:space="preserve">   </w:t>
            </w:r>
            <w:r w:rsidR="00EB1F43" w:rsidRPr="004E1F20">
              <w:rPr>
                <w:lang w:eastAsia="en-US"/>
              </w:rPr>
              <w:t>Ministerka vnútra Slovenskej republiky</w:t>
            </w:r>
          </w:p>
          <w:p w:rsidR="00377F01" w:rsidRPr="004E1F20" w:rsidRDefault="00377F01">
            <w:pPr>
              <w:rPr>
                <w:lang w:eastAsia="en-US"/>
              </w:rPr>
            </w:pPr>
          </w:p>
        </w:tc>
      </w:tr>
      <w:tr w:rsidR="00377F01" w:rsidTr="00377F01">
        <w:tc>
          <w:tcPr>
            <w:tcW w:w="4212" w:type="dxa"/>
            <w:gridSpan w:val="2"/>
            <w:vMerge w:val="restart"/>
            <w:tcBorders>
              <w:top w:val="single" w:sz="4" w:space="0" w:color="auto"/>
              <w:left w:val="single" w:sz="4" w:space="0" w:color="auto"/>
              <w:bottom w:val="single" w:sz="4" w:space="0" w:color="auto"/>
              <w:right w:val="single" w:sz="4" w:space="0" w:color="auto"/>
            </w:tcBorders>
            <w:shd w:val="clear" w:color="auto" w:fill="E2E2E2"/>
            <w:vAlign w:val="center"/>
            <w:hideMark/>
          </w:tcPr>
          <w:p w:rsidR="00377F01" w:rsidRDefault="00377F01">
            <w:pPr>
              <w:pStyle w:val="Odsekzoznamu"/>
              <w:ind w:left="0"/>
              <w:rPr>
                <w:rFonts w:ascii="Times New Roman" w:hAnsi="Times New Roman" w:cs="Times New Roman"/>
                <w:b/>
              </w:rPr>
            </w:pPr>
            <w:r>
              <w:rPr>
                <w:rFonts w:ascii="Times New Roman" w:hAnsi="Times New Roman" w:cs="Times New Roman"/>
                <w:b/>
              </w:rPr>
              <w:t>Charakter predkladaného materiálu</w:t>
            </w:r>
          </w:p>
        </w:tc>
        <w:sdt>
          <w:sdtPr>
            <w:rPr>
              <w:lang w:eastAsia="en-US"/>
            </w:rPr>
            <w:id w:val="-69890771"/>
          </w:sdt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hideMark/>
              </w:tcPr>
              <w:p w:rsidR="00377F01" w:rsidRDefault="00377F01">
                <w:pPr>
                  <w:jc w:val="center"/>
                  <w:rPr>
                    <w:lang w:eastAsia="en-US"/>
                  </w:rPr>
                </w:pPr>
                <w:r>
                  <w:rPr>
                    <w:rFonts w:ascii="MS Mincho" w:eastAsia="MS Mincho" w:hAnsi="MS Mincho" w:cs="MS Mincho" w:hint="eastAsia"/>
                    <w:lang w:eastAsia="en-US"/>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hideMark/>
          </w:tcPr>
          <w:p w:rsidR="00377F01" w:rsidRDefault="00377F01">
            <w:pPr>
              <w:rPr>
                <w:lang w:eastAsia="en-US"/>
              </w:rPr>
            </w:pPr>
            <w:r>
              <w:rPr>
                <w:lang w:eastAsia="en-US"/>
              </w:rPr>
              <w:t>Materiál nelegislatívnej povahy</w:t>
            </w:r>
          </w:p>
        </w:tc>
      </w:tr>
      <w:tr w:rsidR="00377F01" w:rsidTr="00377F01">
        <w:tc>
          <w:tcPr>
            <w:tcW w:w="9721" w:type="dxa"/>
            <w:gridSpan w:val="2"/>
            <w:vMerge/>
            <w:tcBorders>
              <w:top w:val="single" w:sz="4" w:space="0" w:color="auto"/>
              <w:left w:val="single" w:sz="4" w:space="0" w:color="auto"/>
              <w:bottom w:val="single" w:sz="4" w:space="0" w:color="auto"/>
              <w:right w:val="single" w:sz="4" w:space="0" w:color="auto"/>
            </w:tcBorders>
            <w:vAlign w:val="center"/>
            <w:hideMark/>
          </w:tcPr>
          <w:p w:rsidR="00377F01" w:rsidRDefault="00377F01">
            <w:pPr>
              <w:rPr>
                <w:rFonts w:eastAsiaTheme="minorHAnsi"/>
                <w:b/>
                <w:sz w:val="22"/>
                <w:szCs w:val="22"/>
                <w:lang w:eastAsia="en-US"/>
              </w:rPr>
            </w:pPr>
          </w:p>
        </w:tc>
        <w:sdt>
          <w:sdtPr>
            <w:rPr>
              <w:lang w:eastAsia="en-US"/>
            </w:rPr>
            <w:id w:val="-145588339"/>
          </w:sdt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hideMark/>
              </w:tcPr>
              <w:p w:rsidR="00377F01" w:rsidRDefault="00377F01">
                <w:pPr>
                  <w:jc w:val="center"/>
                  <w:rPr>
                    <w:lang w:eastAsia="en-US"/>
                  </w:rPr>
                </w:pPr>
                <w:r>
                  <w:rPr>
                    <w:rFonts w:ascii="MS Gothic" w:eastAsia="MS Gothic" w:hAnsi="MS Gothic" w:hint="eastAsia"/>
                    <w:lang w:eastAsia="en-US"/>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hideMark/>
          </w:tcPr>
          <w:p w:rsidR="00377F01" w:rsidRDefault="00377F01">
            <w:pPr>
              <w:rPr>
                <w:lang w:eastAsia="en-US"/>
              </w:rPr>
            </w:pPr>
            <w:r>
              <w:rPr>
                <w:lang w:eastAsia="en-US"/>
              </w:rPr>
              <w:t>Materiál legislatívnej povahy</w:t>
            </w:r>
          </w:p>
        </w:tc>
      </w:tr>
      <w:tr w:rsidR="00377F01" w:rsidTr="00377F01">
        <w:tc>
          <w:tcPr>
            <w:tcW w:w="9721" w:type="dxa"/>
            <w:gridSpan w:val="2"/>
            <w:vMerge/>
            <w:tcBorders>
              <w:top w:val="single" w:sz="4" w:space="0" w:color="auto"/>
              <w:left w:val="single" w:sz="4" w:space="0" w:color="auto"/>
              <w:bottom w:val="single" w:sz="4" w:space="0" w:color="auto"/>
              <w:right w:val="single" w:sz="4" w:space="0" w:color="auto"/>
            </w:tcBorders>
            <w:vAlign w:val="center"/>
            <w:hideMark/>
          </w:tcPr>
          <w:p w:rsidR="00377F01" w:rsidRDefault="00377F01">
            <w:pPr>
              <w:rPr>
                <w:rFonts w:eastAsiaTheme="minorHAnsi"/>
                <w:b/>
                <w:sz w:val="22"/>
                <w:szCs w:val="22"/>
                <w:lang w:eastAsia="en-US"/>
              </w:rPr>
            </w:pPr>
          </w:p>
        </w:tc>
        <w:sdt>
          <w:sdtPr>
            <w:rPr>
              <w:lang w:eastAsia="en-US"/>
            </w:rPr>
            <w:id w:val="-1883475976"/>
          </w:sdt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hideMark/>
              </w:tcPr>
              <w:p w:rsidR="00377F01" w:rsidRDefault="00377F01">
                <w:pPr>
                  <w:jc w:val="center"/>
                  <w:rPr>
                    <w:lang w:eastAsia="en-US"/>
                  </w:rPr>
                </w:pPr>
                <w:r>
                  <w:rPr>
                    <w:rFonts w:ascii="MS Mincho" w:eastAsia="MS Mincho" w:hAnsi="MS Mincho" w:cs="MS Mincho" w:hint="eastAsia"/>
                    <w:lang w:eastAsia="en-US"/>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hideMark/>
          </w:tcPr>
          <w:p w:rsidR="00377F01" w:rsidRDefault="00377F01">
            <w:pPr>
              <w:rPr>
                <w:lang w:eastAsia="en-US"/>
              </w:rPr>
            </w:pPr>
            <w:r>
              <w:rPr>
                <w:lang w:eastAsia="en-US"/>
              </w:rPr>
              <w:t>Transpozícia práva EÚ</w:t>
            </w:r>
          </w:p>
        </w:tc>
      </w:tr>
      <w:tr w:rsidR="00377F01" w:rsidTr="00377F0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FFFFFF" w:themeFill="background1"/>
          </w:tcPr>
          <w:p w:rsidR="00377F01" w:rsidRDefault="00377F01">
            <w:pPr>
              <w:rPr>
                <w:i/>
                <w:lang w:eastAsia="en-US"/>
              </w:rPr>
            </w:pPr>
          </w:p>
          <w:p w:rsidR="00377F01" w:rsidRDefault="00377F01">
            <w:pPr>
              <w:rPr>
                <w:lang w:eastAsia="en-US"/>
              </w:rPr>
            </w:pPr>
          </w:p>
          <w:p w:rsidR="00377F01" w:rsidRDefault="00377F01">
            <w:pPr>
              <w:rPr>
                <w:lang w:eastAsia="en-US"/>
              </w:rPr>
            </w:pPr>
          </w:p>
        </w:tc>
      </w:tr>
      <w:tr w:rsidR="00377F01" w:rsidTr="00377F01">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vAlign w:val="center"/>
            <w:hideMark/>
          </w:tcPr>
          <w:p w:rsidR="00377F01" w:rsidRDefault="00377F01">
            <w:pPr>
              <w:pStyle w:val="Odsekzoznamu"/>
              <w:spacing w:after="0"/>
              <w:ind w:left="0"/>
              <w:rPr>
                <w:rFonts w:ascii="Times New Roman" w:hAnsi="Times New Roman" w:cs="Times New Roman"/>
                <w:b/>
              </w:rPr>
            </w:pPr>
            <w:r>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vAlign w:val="center"/>
            <w:hideMark/>
          </w:tcPr>
          <w:p w:rsidR="00377F01" w:rsidRDefault="00377F01">
            <w:pPr>
              <w:rPr>
                <w:i/>
                <w:lang w:eastAsia="en-US"/>
              </w:rPr>
            </w:pPr>
            <w:r>
              <w:rPr>
                <w:i/>
                <w:lang w:eastAsia="en-US"/>
              </w:rPr>
              <w:t>Začiatok: 2</w:t>
            </w:r>
            <w:r w:rsidR="004E1F20">
              <w:rPr>
                <w:i/>
                <w:lang w:eastAsia="en-US"/>
              </w:rPr>
              <w:t>3</w:t>
            </w:r>
            <w:r>
              <w:rPr>
                <w:i/>
                <w:lang w:eastAsia="en-US"/>
              </w:rPr>
              <w:t>.1.2019</w:t>
            </w:r>
          </w:p>
          <w:p w:rsidR="00377F01" w:rsidRDefault="00377F01" w:rsidP="004E1F20">
            <w:pPr>
              <w:rPr>
                <w:i/>
                <w:lang w:eastAsia="en-US"/>
              </w:rPr>
            </w:pPr>
            <w:r>
              <w:rPr>
                <w:i/>
                <w:lang w:eastAsia="en-US"/>
              </w:rPr>
              <w:t xml:space="preserve">Koniec:  </w:t>
            </w:r>
            <w:r w:rsidR="004E1F20">
              <w:rPr>
                <w:i/>
                <w:lang w:eastAsia="en-US"/>
              </w:rPr>
              <w:t>1</w:t>
            </w:r>
            <w:r>
              <w:rPr>
                <w:i/>
                <w:lang w:eastAsia="en-US"/>
              </w:rPr>
              <w:t>.</w:t>
            </w:r>
            <w:r w:rsidR="004E1F20">
              <w:rPr>
                <w:i/>
                <w:lang w:eastAsia="en-US"/>
              </w:rPr>
              <w:t>2</w:t>
            </w:r>
            <w:r>
              <w:rPr>
                <w:i/>
                <w:lang w:eastAsia="en-US"/>
              </w:rPr>
              <w:t>.2019</w:t>
            </w:r>
          </w:p>
        </w:tc>
      </w:tr>
      <w:tr w:rsidR="00377F01" w:rsidTr="00377F01">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vAlign w:val="center"/>
            <w:hideMark/>
          </w:tcPr>
          <w:p w:rsidR="00377F01" w:rsidRDefault="00377F01">
            <w:pPr>
              <w:pStyle w:val="Odsekzoznamu"/>
              <w:spacing w:after="0"/>
              <w:ind w:left="0"/>
              <w:rPr>
                <w:rFonts w:ascii="Times New Roman" w:hAnsi="Times New Roman" w:cs="Times New Roman"/>
                <w:b/>
              </w:rPr>
            </w:pPr>
            <w:r>
              <w:rPr>
                <w:rFonts w:ascii="Times New Roman" w:hAnsi="Times New Roman" w:cs="Times New Roman"/>
                <w:b/>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vAlign w:val="center"/>
            <w:hideMark/>
          </w:tcPr>
          <w:p w:rsidR="00377F01" w:rsidRDefault="00377F01" w:rsidP="008046BF">
            <w:pPr>
              <w:rPr>
                <w:i/>
                <w:lang w:eastAsia="en-US"/>
              </w:rPr>
            </w:pPr>
            <w:r>
              <w:rPr>
                <w:i/>
                <w:lang w:eastAsia="en-US"/>
              </w:rPr>
              <w:t xml:space="preserve"> </w:t>
            </w:r>
            <w:r w:rsidR="008046BF">
              <w:rPr>
                <w:i/>
                <w:lang w:eastAsia="en-US"/>
              </w:rPr>
              <w:t>30.1.2019 – 12.2.2019</w:t>
            </w:r>
            <w:r>
              <w:rPr>
                <w:i/>
                <w:lang w:eastAsia="en-US"/>
              </w:rPr>
              <w:t xml:space="preserve">   </w:t>
            </w:r>
          </w:p>
        </w:tc>
      </w:tr>
      <w:tr w:rsidR="00377F01" w:rsidTr="00377F01">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vAlign w:val="center"/>
            <w:hideMark/>
          </w:tcPr>
          <w:p w:rsidR="00377F01" w:rsidRDefault="00377F01">
            <w:pPr>
              <w:pStyle w:val="Odsekzoznamu"/>
              <w:spacing w:after="0"/>
              <w:ind w:left="0"/>
              <w:rPr>
                <w:rFonts w:ascii="Times New Roman" w:hAnsi="Times New Roman" w:cs="Times New Roman"/>
                <w:b/>
              </w:rPr>
            </w:pPr>
            <w:r>
              <w:rPr>
                <w:rFonts w:ascii="Times New Roman" w:hAnsi="Times New Roman" w:cs="Times New Roman"/>
                <w:b/>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vAlign w:val="center"/>
            <w:hideMark/>
          </w:tcPr>
          <w:p w:rsidR="00377F01" w:rsidRDefault="00377F01">
            <w:pPr>
              <w:rPr>
                <w:i/>
                <w:lang w:eastAsia="en-US"/>
              </w:rPr>
            </w:pPr>
            <w:r>
              <w:rPr>
                <w:i/>
                <w:lang w:eastAsia="en-US"/>
              </w:rPr>
              <w:t xml:space="preserve"> február  2019</w:t>
            </w:r>
          </w:p>
        </w:tc>
      </w:tr>
      <w:tr w:rsidR="00377F01" w:rsidTr="00377F01">
        <w:tc>
          <w:tcPr>
            <w:tcW w:w="9180" w:type="dxa"/>
            <w:gridSpan w:val="10"/>
            <w:tcBorders>
              <w:top w:val="single" w:sz="4" w:space="0" w:color="auto"/>
              <w:left w:val="nil"/>
              <w:bottom w:val="single" w:sz="4" w:space="0" w:color="auto"/>
              <w:right w:val="nil"/>
            </w:tcBorders>
            <w:shd w:val="clear" w:color="auto" w:fill="FFFFFF" w:themeFill="background1"/>
          </w:tcPr>
          <w:p w:rsidR="00377F01" w:rsidRDefault="00377F01">
            <w:pPr>
              <w:rPr>
                <w:lang w:eastAsia="en-US"/>
              </w:rPr>
            </w:pPr>
          </w:p>
        </w:tc>
      </w:tr>
      <w:tr w:rsidR="00377F01" w:rsidTr="00377F0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hideMark/>
          </w:tcPr>
          <w:p w:rsidR="00377F01" w:rsidRDefault="00377F01" w:rsidP="00377F01">
            <w:pPr>
              <w:pStyle w:val="Odsekzoznamu"/>
              <w:spacing w:after="0" w:line="240" w:lineRule="auto"/>
              <w:ind w:left="0"/>
              <w:rPr>
                <w:rFonts w:ascii="Times New Roman" w:hAnsi="Times New Roman" w:cs="Times New Roman"/>
                <w:b/>
              </w:rPr>
            </w:pPr>
            <w:r>
              <w:rPr>
                <w:rFonts w:ascii="Times New Roman" w:hAnsi="Times New Roman" w:cs="Times New Roman"/>
                <w:b/>
              </w:rPr>
              <w:t>Definovanie problému</w:t>
            </w:r>
          </w:p>
        </w:tc>
      </w:tr>
      <w:tr w:rsidR="00377F01" w:rsidTr="00377F01">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hideMark/>
          </w:tcPr>
          <w:p w:rsidR="00377F01" w:rsidRDefault="00377F01" w:rsidP="004E1F20">
            <w:pPr>
              <w:jc w:val="both"/>
              <w:rPr>
                <w:b/>
                <w:lang w:eastAsia="en-US"/>
              </w:rPr>
            </w:pPr>
            <w:r>
              <w:rPr>
                <w:i/>
                <w:lang w:eastAsia="en-US"/>
              </w:rPr>
              <w:t>Predmetom návrhu zákona je zvýšenie</w:t>
            </w:r>
            <w:r w:rsidRPr="00EB1F43">
              <w:rPr>
                <w:i/>
                <w:lang w:eastAsia="en-US"/>
              </w:rPr>
              <w:t xml:space="preserve"> dávok</w:t>
            </w:r>
            <w:r w:rsidR="004E1F20">
              <w:rPr>
                <w:i/>
                <w:lang w:eastAsia="en-US"/>
              </w:rPr>
              <w:t xml:space="preserve"> </w:t>
            </w:r>
            <w:r w:rsidR="00EB1F43">
              <w:rPr>
                <w:i/>
                <w:lang w:eastAsia="en-US"/>
              </w:rPr>
              <w:t xml:space="preserve">výsluhového dôchodku, vdovského </w:t>
            </w:r>
            <w:r w:rsidR="00EB1F43" w:rsidRPr="004E1F20">
              <w:rPr>
                <w:i/>
                <w:lang w:eastAsia="en-US"/>
              </w:rPr>
              <w:t xml:space="preserve">výsluhového </w:t>
            </w:r>
            <w:r w:rsidR="00EB1F43">
              <w:rPr>
                <w:i/>
                <w:lang w:eastAsia="en-US"/>
              </w:rPr>
              <w:t xml:space="preserve">dôchodku, vdoveckého výsluhového dôchodku, invalidného výsluhového dôchodku a sirotského výsluhového dôchodku </w:t>
            </w:r>
            <w:r w:rsidR="00523714" w:rsidRPr="004E1F20">
              <w:rPr>
                <w:i/>
                <w:lang w:eastAsia="en-US"/>
              </w:rPr>
              <w:t xml:space="preserve">(ďalej len „dôchodková dávka výsluhového zabezpečenia“) </w:t>
            </w:r>
            <w:r>
              <w:rPr>
                <w:i/>
                <w:lang w:eastAsia="en-US"/>
              </w:rPr>
              <w:t>pre stanovený</w:t>
            </w:r>
            <w:r w:rsidR="00F036FC">
              <w:rPr>
                <w:i/>
                <w:lang w:eastAsia="en-US"/>
              </w:rPr>
              <w:t xml:space="preserve"> okruh</w:t>
            </w:r>
            <w:r>
              <w:rPr>
                <w:i/>
                <w:lang w:eastAsia="en-US"/>
              </w:rPr>
              <w:t xml:space="preserve"> </w:t>
            </w:r>
            <w:r w:rsidR="00EB1F43" w:rsidRPr="004E1F20">
              <w:rPr>
                <w:i/>
                <w:lang w:eastAsia="en-US"/>
              </w:rPr>
              <w:t>dotknutých subjektov.</w:t>
            </w:r>
          </w:p>
        </w:tc>
      </w:tr>
      <w:tr w:rsidR="00377F01" w:rsidTr="00377F01">
        <w:tc>
          <w:tcPr>
            <w:tcW w:w="9180" w:type="dxa"/>
            <w:gridSpan w:val="10"/>
            <w:tcBorders>
              <w:top w:val="single" w:sz="4" w:space="0" w:color="auto"/>
              <w:left w:val="single" w:sz="4" w:space="0" w:color="auto"/>
              <w:bottom w:val="nil"/>
              <w:right w:val="single" w:sz="4" w:space="0" w:color="auto"/>
            </w:tcBorders>
            <w:shd w:val="clear" w:color="auto" w:fill="E2E2E2"/>
            <w:hideMark/>
          </w:tcPr>
          <w:p w:rsidR="00377F01" w:rsidRDefault="00377F01" w:rsidP="00377F01">
            <w:pPr>
              <w:pStyle w:val="Odsekzoznamu"/>
              <w:spacing w:after="0" w:line="240" w:lineRule="auto"/>
              <w:ind w:left="0"/>
              <w:rPr>
                <w:rFonts w:ascii="Times New Roman" w:hAnsi="Times New Roman" w:cs="Times New Roman"/>
                <w:b/>
              </w:rPr>
            </w:pPr>
            <w:r>
              <w:rPr>
                <w:rFonts w:ascii="Times New Roman" w:hAnsi="Times New Roman" w:cs="Times New Roman"/>
                <w:b/>
              </w:rPr>
              <w:t>Ciele a výsledný stav</w:t>
            </w:r>
          </w:p>
        </w:tc>
      </w:tr>
      <w:tr w:rsidR="00377F01" w:rsidTr="00377F01">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77F01" w:rsidRDefault="00377F01">
            <w:pPr>
              <w:pStyle w:val="Zkladntext"/>
              <w:overflowPunct w:val="0"/>
              <w:autoSpaceDE w:val="0"/>
              <w:autoSpaceDN w:val="0"/>
              <w:adjustRightInd w:val="0"/>
              <w:jc w:val="both"/>
              <w:textAlignment w:val="baseline"/>
              <w:rPr>
                <w:rFonts w:eastAsia="Times New Roman"/>
                <w:i/>
                <w:color w:val="auto"/>
                <w:sz w:val="20"/>
                <w:szCs w:val="20"/>
                <w:lang w:eastAsia="en-US"/>
              </w:rPr>
            </w:pPr>
          </w:p>
          <w:p w:rsidR="00377F01" w:rsidRPr="004E1F20" w:rsidRDefault="00377F01">
            <w:pPr>
              <w:pStyle w:val="Zkladntext"/>
              <w:overflowPunct w:val="0"/>
              <w:autoSpaceDE w:val="0"/>
              <w:autoSpaceDN w:val="0"/>
              <w:adjustRightInd w:val="0"/>
              <w:jc w:val="both"/>
              <w:textAlignment w:val="baseline"/>
              <w:rPr>
                <w:rFonts w:eastAsia="Times New Roman"/>
                <w:i/>
                <w:strike/>
                <w:color w:val="auto"/>
                <w:sz w:val="20"/>
                <w:szCs w:val="20"/>
                <w:lang w:eastAsia="en-US"/>
              </w:rPr>
            </w:pPr>
            <w:r>
              <w:rPr>
                <w:rFonts w:eastAsia="Times New Roman"/>
                <w:i/>
                <w:color w:val="auto"/>
                <w:sz w:val="20"/>
                <w:szCs w:val="20"/>
                <w:lang w:eastAsia="en-US"/>
              </w:rPr>
              <w:t>Cieľom navrhovanej právnej úpravy je zabez</w:t>
            </w:r>
            <w:r w:rsidR="00523714">
              <w:rPr>
                <w:rFonts w:eastAsia="Times New Roman"/>
                <w:i/>
                <w:color w:val="auto"/>
                <w:sz w:val="20"/>
                <w:szCs w:val="20"/>
                <w:lang w:eastAsia="en-US"/>
              </w:rPr>
              <w:t xml:space="preserve">pečiť nový model zvýšenia </w:t>
            </w:r>
            <w:r w:rsidR="00523714">
              <w:rPr>
                <w:i/>
                <w:color w:val="auto"/>
                <w:sz w:val="20"/>
                <w:szCs w:val="20"/>
                <w:lang w:eastAsia="en-US"/>
              </w:rPr>
              <w:t>dôchodkových dávok výsluhového zabezpečenia</w:t>
            </w:r>
            <w:r w:rsidR="00EB1F43" w:rsidRPr="004E1F20">
              <w:rPr>
                <w:i/>
                <w:color w:val="auto"/>
                <w:sz w:val="20"/>
                <w:szCs w:val="20"/>
                <w:lang w:eastAsia="en-US"/>
              </w:rPr>
              <w:t xml:space="preserve"> pre stanovený</w:t>
            </w:r>
            <w:r w:rsidR="00F036FC">
              <w:rPr>
                <w:i/>
                <w:color w:val="auto"/>
                <w:sz w:val="20"/>
                <w:szCs w:val="20"/>
                <w:lang w:eastAsia="en-US"/>
              </w:rPr>
              <w:t xml:space="preserve"> okruh</w:t>
            </w:r>
            <w:r w:rsidR="00EB1F43" w:rsidRPr="004E1F20">
              <w:rPr>
                <w:i/>
                <w:color w:val="auto"/>
                <w:sz w:val="20"/>
                <w:szCs w:val="20"/>
                <w:lang w:eastAsia="en-US"/>
              </w:rPr>
              <w:t xml:space="preserve"> dotknutých subjektov.</w:t>
            </w:r>
          </w:p>
          <w:p w:rsidR="00377F01" w:rsidRDefault="00377F01">
            <w:pPr>
              <w:rPr>
                <w:lang w:eastAsia="en-US"/>
              </w:rPr>
            </w:pPr>
          </w:p>
        </w:tc>
      </w:tr>
      <w:tr w:rsidR="00377F01" w:rsidTr="00377F01">
        <w:tc>
          <w:tcPr>
            <w:tcW w:w="9180" w:type="dxa"/>
            <w:gridSpan w:val="10"/>
            <w:tcBorders>
              <w:top w:val="single" w:sz="4" w:space="0" w:color="auto"/>
              <w:left w:val="single" w:sz="4" w:space="0" w:color="auto"/>
              <w:bottom w:val="nil"/>
              <w:right w:val="single" w:sz="4" w:space="0" w:color="auto"/>
            </w:tcBorders>
            <w:shd w:val="clear" w:color="auto" w:fill="E2E2E2"/>
            <w:hideMark/>
          </w:tcPr>
          <w:p w:rsidR="00377F01" w:rsidRDefault="00377F01" w:rsidP="00377F01">
            <w:pPr>
              <w:pStyle w:val="Odsekzoznamu"/>
              <w:spacing w:after="0" w:line="240" w:lineRule="auto"/>
              <w:ind w:left="0"/>
              <w:rPr>
                <w:rFonts w:ascii="Times New Roman" w:hAnsi="Times New Roman" w:cs="Times New Roman"/>
                <w:b/>
              </w:rPr>
            </w:pPr>
            <w:r>
              <w:rPr>
                <w:rFonts w:ascii="Times New Roman" w:hAnsi="Times New Roman" w:cs="Times New Roman"/>
                <w:b/>
              </w:rPr>
              <w:t>Dotknuté subjekty</w:t>
            </w:r>
          </w:p>
        </w:tc>
      </w:tr>
      <w:tr w:rsidR="00377F01" w:rsidTr="00377F0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77F01" w:rsidRDefault="00377F01">
            <w:pPr>
              <w:rPr>
                <w:i/>
                <w:lang w:eastAsia="en-US"/>
              </w:rPr>
            </w:pPr>
          </w:p>
          <w:p w:rsidR="00377F01" w:rsidRDefault="00377F01">
            <w:pPr>
              <w:jc w:val="both"/>
              <w:rPr>
                <w:i/>
                <w:lang w:eastAsia="en-US"/>
              </w:rPr>
            </w:pPr>
            <w:r>
              <w:rPr>
                <w:i/>
                <w:lang w:eastAsia="en-US"/>
              </w:rPr>
              <w:t>Poberatelia výsluhového dôchodku, vdovského</w:t>
            </w:r>
            <w:r w:rsidR="00EB1F43" w:rsidRPr="00EB1F43">
              <w:rPr>
                <w:i/>
                <w:color w:val="FF0000"/>
                <w:lang w:eastAsia="en-US"/>
              </w:rPr>
              <w:t xml:space="preserve"> </w:t>
            </w:r>
            <w:r w:rsidR="00EB1F43" w:rsidRPr="004E1F20">
              <w:rPr>
                <w:i/>
                <w:lang w:eastAsia="en-US"/>
              </w:rPr>
              <w:t>výsluhového</w:t>
            </w:r>
            <w:r w:rsidRPr="004E1F20">
              <w:rPr>
                <w:i/>
                <w:lang w:eastAsia="en-US"/>
              </w:rPr>
              <w:t xml:space="preserve"> </w:t>
            </w:r>
            <w:r>
              <w:rPr>
                <w:i/>
                <w:lang w:eastAsia="en-US"/>
              </w:rPr>
              <w:t>dôchodku, vdoveckého</w:t>
            </w:r>
            <w:r w:rsidR="00EB1F43" w:rsidRPr="00EB1F43">
              <w:rPr>
                <w:i/>
                <w:color w:val="FF0000"/>
                <w:lang w:eastAsia="en-US"/>
              </w:rPr>
              <w:t xml:space="preserve"> </w:t>
            </w:r>
            <w:r w:rsidR="00EB1F43" w:rsidRPr="004E1F20">
              <w:rPr>
                <w:i/>
                <w:lang w:eastAsia="en-US"/>
              </w:rPr>
              <w:t>výsluhového</w:t>
            </w:r>
            <w:r w:rsidRPr="004E1F20">
              <w:rPr>
                <w:i/>
                <w:lang w:eastAsia="en-US"/>
              </w:rPr>
              <w:t xml:space="preserve"> </w:t>
            </w:r>
            <w:r>
              <w:rPr>
                <w:i/>
                <w:lang w:eastAsia="en-US"/>
              </w:rPr>
              <w:t>dôchodku, invalidného</w:t>
            </w:r>
            <w:r w:rsidR="00EB1F43" w:rsidRPr="00EB1F43">
              <w:rPr>
                <w:i/>
                <w:color w:val="FF0000"/>
                <w:lang w:eastAsia="en-US"/>
              </w:rPr>
              <w:t xml:space="preserve"> </w:t>
            </w:r>
            <w:r w:rsidR="00EB1F43" w:rsidRPr="004E1F20">
              <w:rPr>
                <w:i/>
                <w:lang w:eastAsia="en-US"/>
              </w:rPr>
              <w:t>výsluhového</w:t>
            </w:r>
            <w:r w:rsidRPr="004E1F20">
              <w:rPr>
                <w:i/>
                <w:lang w:eastAsia="en-US"/>
              </w:rPr>
              <w:t xml:space="preserve"> </w:t>
            </w:r>
            <w:r>
              <w:rPr>
                <w:i/>
                <w:lang w:eastAsia="en-US"/>
              </w:rPr>
              <w:t xml:space="preserve">dôchodku a sirotského </w:t>
            </w:r>
            <w:r w:rsidR="00EB1F43" w:rsidRPr="004E1F20">
              <w:rPr>
                <w:i/>
                <w:lang w:eastAsia="en-US"/>
              </w:rPr>
              <w:t xml:space="preserve">výsluhového </w:t>
            </w:r>
            <w:r>
              <w:rPr>
                <w:i/>
                <w:lang w:eastAsia="en-US"/>
              </w:rPr>
              <w:t>dôchodku.</w:t>
            </w:r>
          </w:p>
          <w:p w:rsidR="00377F01" w:rsidRDefault="00377F01">
            <w:pPr>
              <w:pStyle w:val="Odsekzoznamu"/>
              <w:spacing w:after="0" w:line="360" w:lineRule="auto"/>
              <w:ind w:left="0"/>
              <w:jc w:val="both"/>
              <w:rPr>
                <w:i/>
              </w:rPr>
            </w:pPr>
          </w:p>
        </w:tc>
      </w:tr>
      <w:tr w:rsidR="00377F01" w:rsidTr="00377F01">
        <w:tc>
          <w:tcPr>
            <w:tcW w:w="9180" w:type="dxa"/>
            <w:gridSpan w:val="10"/>
            <w:tcBorders>
              <w:top w:val="single" w:sz="4" w:space="0" w:color="auto"/>
              <w:left w:val="single" w:sz="4" w:space="0" w:color="auto"/>
              <w:bottom w:val="nil"/>
              <w:right w:val="single" w:sz="4" w:space="0" w:color="auto"/>
            </w:tcBorders>
            <w:shd w:val="clear" w:color="auto" w:fill="E2E2E2"/>
            <w:hideMark/>
          </w:tcPr>
          <w:p w:rsidR="00377F01" w:rsidRDefault="00377F01" w:rsidP="00377F01">
            <w:pPr>
              <w:pStyle w:val="Odsekzoznamu"/>
              <w:spacing w:after="0" w:line="240" w:lineRule="auto"/>
              <w:ind w:left="0"/>
              <w:rPr>
                <w:rFonts w:ascii="Times New Roman" w:hAnsi="Times New Roman" w:cs="Times New Roman"/>
                <w:b/>
              </w:rPr>
            </w:pPr>
            <w:r>
              <w:rPr>
                <w:rFonts w:ascii="Times New Roman" w:hAnsi="Times New Roman" w:cs="Times New Roman"/>
                <w:b/>
              </w:rPr>
              <w:t>Alternatívne riešenia</w:t>
            </w:r>
          </w:p>
        </w:tc>
      </w:tr>
      <w:tr w:rsidR="00377F01" w:rsidTr="00377F01">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hideMark/>
          </w:tcPr>
          <w:p w:rsidR="00377F01" w:rsidRDefault="00377F01" w:rsidP="00523714">
            <w:pPr>
              <w:jc w:val="both"/>
              <w:rPr>
                <w:i/>
                <w:lang w:eastAsia="en-US"/>
              </w:rPr>
            </w:pPr>
            <w:r>
              <w:rPr>
                <w:i/>
                <w:lang w:eastAsia="en-US"/>
              </w:rPr>
              <w:t xml:space="preserve">Pri zachovaní </w:t>
            </w:r>
            <w:r w:rsidR="00EB1F43" w:rsidRPr="004E1F20">
              <w:rPr>
                <w:i/>
                <w:lang w:eastAsia="en-US"/>
              </w:rPr>
              <w:t xml:space="preserve">súčasného </w:t>
            </w:r>
            <w:r>
              <w:rPr>
                <w:i/>
                <w:lang w:eastAsia="en-US"/>
              </w:rPr>
              <w:t xml:space="preserve">právneho stavu by sa  suma zvýšenia </w:t>
            </w:r>
            <w:r w:rsidR="00602B3C" w:rsidRPr="004E1F20">
              <w:rPr>
                <w:i/>
                <w:lang w:eastAsia="en-US"/>
              </w:rPr>
              <w:t xml:space="preserve">dôchodkových dávok výsluhového zabezpečenia </w:t>
            </w:r>
            <w:r>
              <w:rPr>
                <w:i/>
                <w:lang w:eastAsia="en-US"/>
              </w:rPr>
              <w:t xml:space="preserve">odvíjala od tzv. dôchodcovskej inflácie. Stanovenie nového modelu zvyšovania </w:t>
            </w:r>
            <w:r w:rsidR="00EB1F43" w:rsidRPr="004E1F20">
              <w:rPr>
                <w:i/>
                <w:lang w:eastAsia="en-US"/>
              </w:rPr>
              <w:t xml:space="preserve">týchto </w:t>
            </w:r>
            <w:r>
              <w:rPr>
                <w:i/>
                <w:lang w:eastAsia="en-US"/>
              </w:rPr>
              <w:t>dávok výsluhového zabezpečenia o pevnú sumu zvýšenia  bude</w:t>
            </w:r>
            <w:r w:rsidR="00523714">
              <w:rPr>
                <w:i/>
                <w:lang w:eastAsia="en-US"/>
              </w:rPr>
              <w:t xml:space="preserve"> mať pozitívny vplyv na dotknuté subjekty</w:t>
            </w:r>
            <w:r>
              <w:rPr>
                <w:i/>
                <w:lang w:eastAsia="en-US"/>
              </w:rPr>
              <w:t>. Nezvažovali sa iné alternatívne riešenia.</w:t>
            </w:r>
          </w:p>
          <w:p w:rsidR="00F976E5" w:rsidRDefault="00F976E5" w:rsidP="00523714">
            <w:pPr>
              <w:jc w:val="both"/>
              <w:rPr>
                <w:i/>
                <w:lang w:eastAsia="en-US"/>
              </w:rPr>
            </w:pPr>
          </w:p>
        </w:tc>
      </w:tr>
      <w:tr w:rsidR="00377F01" w:rsidTr="00377F0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hideMark/>
          </w:tcPr>
          <w:p w:rsidR="00377F01" w:rsidRDefault="00377F01" w:rsidP="00377F01">
            <w:pPr>
              <w:pStyle w:val="Odsekzoznamu"/>
              <w:spacing w:after="0" w:line="240" w:lineRule="auto"/>
              <w:ind w:left="0"/>
              <w:rPr>
                <w:rFonts w:ascii="Times New Roman" w:hAnsi="Times New Roman" w:cs="Times New Roman"/>
                <w:b/>
              </w:rPr>
            </w:pPr>
            <w:r>
              <w:rPr>
                <w:rFonts w:ascii="Times New Roman" w:hAnsi="Times New Roman" w:cs="Times New Roman"/>
                <w:b/>
              </w:rPr>
              <w:t>Vykonávacie predpisy</w:t>
            </w:r>
          </w:p>
        </w:tc>
      </w:tr>
      <w:tr w:rsidR="00377F01" w:rsidTr="00377F01">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377F01" w:rsidRDefault="00377F01">
            <w:pPr>
              <w:rPr>
                <w:i/>
                <w:lang w:eastAsia="en-US"/>
              </w:rPr>
            </w:pPr>
            <w:r>
              <w:rPr>
                <w:i/>
                <w:lang w:eastAsia="en-US"/>
              </w:rPr>
              <w:t>Predpokladá sa prijatie/zmena  vykonávacích predpisov?</w:t>
            </w:r>
          </w:p>
          <w:p w:rsidR="00377F01" w:rsidRDefault="00377F01">
            <w:pPr>
              <w:rPr>
                <w:i/>
                <w:lang w:eastAsia="en-US"/>
              </w:rPr>
            </w:pPr>
          </w:p>
        </w:tc>
        <w:tc>
          <w:tcPr>
            <w:tcW w:w="1417" w:type="dxa"/>
            <w:gridSpan w:val="2"/>
            <w:tcBorders>
              <w:top w:val="single" w:sz="4" w:space="0" w:color="FFFFFF" w:themeColor="background1"/>
              <w:left w:val="nil"/>
              <w:bottom w:val="nil"/>
              <w:right w:val="nil"/>
            </w:tcBorders>
            <w:shd w:val="clear" w:color="auto" w:fill="FFFFFF" w:themeFill="background1"/>
            <w:hideMark/>
          </w:tcPr>
          <w:p w:rsidR="00377F01" w:rsidRDefault="008046BF">
            <w:pPr>
              <w:jc w:val="center"/>
              <w:rPr>
                <w:b/>
                <w:lang w:eastAsia="en-US"/>
              </w:rPr>
            </w:pPr>
            <w:sdt>
              <w:sdtPr>
                <w:rPr>
                  <w:b/>
                  <w:lang w:eastAsia="en-US"/>
                </w:rPr>
                <w:id w:val="-1407611648"/>
              </w:sdtPr>
              <w:sdtContent>
                <w:sdt>
                  <w:sdtPr>
                    <w:rPr>
                      <w:lang w:eastAsia="en-US"/>
                    </w:rPr>
                    <w:id w:val="40482934"/>
                  </w:sdtPr>
                  <w:sdtContent>
                    <w:r w:rsidR="00377F01">
                      <w:rPr>
                        <w:rFonts w:ascii="MS Gothic" w:eastAsia="MS Gothic" w:hAnsi="MS Gothic" w:hint="eastAsia"/>
                        <w:lang w:eastAsia="en-US"/>
                      </w:rPr>
                      <w:t>☐</w:t>
                    </w:r>
                  </w:sdtContent>
                </w:sdt>
              </w:sdtContent>
            </w:sdt>
            <w:r w:rsidR="00377F01">
              <w:rPr>
                <w:b/>
                <w:lang w:eastAsia="en-US"/>
              </w:rPr>
              <w:t xml:space="preserve">  </w:t>
            </w:r>
            <w:r w:rsidR="00377F01">
              <w:rPr>
                <w:lang w:eastAsia="en-US"/>
              </w:rPr>
              <w:t>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hideMark/>
          </w:tcPr>
          <w:p w:rsidR="00377F01" w:rsidRDefault="008046BF">
            <w:pPr>
              <w:jc w:val="center"/>
              <w:rPr>
                <w:lang w:eastAsia="en-US"/>
              </w:rPr>
            </w:pPr>
            <w:sdt>
              <w:sdtPr>
                <w:rPr>
                  <w:lang w:eastAsia="en-US"/>
                </w:rPr>
                <w:id w:val="-1625842802"/>
              </w:sdtPr>
              <w:sdtContent>
                <w:sdt>
                  <w:sdtPr>
                    <w:rPr>
                      <w:b/>
                      <w:lang w:eastAsia="en-US"/>
                    </w:rPr>
                    <w:id w:val="1395939066"/>
                  </w:sdtPr>
                  <w:sdtContent>
                    <w:r w:rsidR="00377F01">
                      <w:rPr>
                        <w:rFonts w:ascii="MS Gothic" w:eastAsia="MS Gothic" w:hAnsi="MS Gothic" w:hint="eastAsia"/>
                        <w:b/>
                        <w:lang w:eastAsia="en-US"/>
                      </w:rPr>
                      <w:t>☒</w:t>
                    </w:r>
                  </w:sdtContent>
                </w:sdt>
              </w:sdtContent>
            </w:sdt>
            <w:r w:rsidR="00377F01">
              <w:rPr>
                <w:lang w:eastAsia="en-US"/>
              </w:rPr>
              <w:t xml:space="preserve">  </w:t>
            </w:r>
            <w:r w:rsidR="00377F01">
              <w:rPr>
                <w:b/>
                <w:lang w:eastAsia="en-US"/>
              </w:rPr>
              <w:t>Nie</w:t>
            </w:r>
          </w:p>
        </w:tc>
      </w:tr>
      <w:tr w:rsidR="00377F01" w:rsidTr="00377F0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77F01" w:rsidRDefault="00377F01">
            <w:pPr>
              <w:rPr>
                <w:lang w:eastAsia="en-US"/>
              </w:rPr>
            </w:pPr>
          </w:p>
        </w:tc>
      </w:tr>
      <w:tr w:rsidR="00377F01" w:rsidTr="00377F0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hideMark/>
          </w:tcPr>
          <w:p w:rsidR="00377F01" w:rsidRDefault="00377F01" w:rsidP="00377F01">
            <w:pPr>
              <w:pStyle w:val="Odsekzoznamu"/>
              <w:spacing w:after="0" w:line="240" w:lineRule="auto"/>
              <w:ind w:left="0"/>
              <w:rPr>
                <w:rFonts w:ascii="Times New Roman" w:hAnsi="Times New Roman" w:cs="Times New Roman"/>
                <w:b/>
              </w:rPr>
            </w:pPr>
            <w:r>
              <w:rPr>
                <w:rFonts w:ascii="Times New Roman" w:hAnsi="Times New Roman" w:cs="Times New Roman"/>
                <w:b/>
              </w:rPr>
              <w:t xml:space="preserve">Transpozícia práva EÚ </w:t>
            </w:r>
          </w:p>
        </w:tc>
      </w:tr>
      <w:tr w:rsidR="00377F01" w:rsidTr="00377F01">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377F01" w:rsidRDefault="00377F01">
            <w:pPr>
              <w:rPr>
                <w:i/>
                <w:lang w:eastAsia="en-US"/>
              </w:rPr>
            </w:pPr>
          </w:p>
        </w:tc>
      </w:tr>
      <w:tr w:rsidR="00377F01" w:rsidTr="00377F01">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377F01" w:rsidRDefault="00377F01">
            <w:pPr>
              <w:jc w:val="center"/>
              <w:rPr>
                <w:lang w:eastAsia="en-US"/>
              </w:rPr>
            </w:pPr>
          </w:p>
        </w:tc>
      </w:tr>
      <w:tr w:rsidR="00377F01" w:rsidTr="00377F0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hideMark/>
          </w:tcPr>
          <w:p w:rsidR="00377F01" w:rsidRDefault="00377F01" w:rsidP="00377F01">
            <w:pPr>
              <w:pStyle w:val="Odsekzoznamu"/>
              <w:spacing w:after="0" w:line="240" w:lineRule="auto"/>
              <w:ind w:left="0"/>
              <w:rPr>
                <w:rFonts w:ascii="Times New Roman" w:hAnsi="Times New Roman" w:cs="Times New Roman"/>
                <w:b/>
              </w:rPr>
            </w:pPr>
            <w:r>
              <w:rPr>
                <w:rFonts w:ascii="Times New Roman" w:hAnsi="Times New Roman" w:cs="Times New Roman"/>
                <w:b/>
              </w:rPr>
              <w:t>Preskúmanie účelnosti**</w:t>
            </w:r>
          </w:p>
        </w:tc>
      </w:tr>
      <w:tr w:rsidR="00377F01" w:rsidTr="00377F01">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77F01" w:rsidRDefault="00377F01">
            <w:pPr>
              <w:rPr>
                <w:i/>
                <w:lang w:eastAsia="en-US"/>
              </w:rPr>
            </w:pPr>
          </w:p>
        </w:tc>
      </w:tr>
      <w:tr w:rsidR="00377F01" w:rsidTr="00377F01">
        <w:trPr>
          <w:trHeight w:val="715"/>
        </w:trPr>
        <w:tc>
          <w:tcPr>
            <w:tcW w:w="9180" w:type="dxa"/>
            <w:gridSpan w:val="10"/>
            <w:tcBorders>
              <w:top w:val="single" w:sz="4" w:space="0" w:color="auto"/>
              <w:left w:val="nil"/>
              <w:bottom w:val="nil"/>
              <w:right w:val="nil"/>
            </w:tcBorders>
            <w:shd w:val="clear" w:color="auto" w:fill="FFFFFF" w:themeFill="background1"/>
          </w:tcPr>
          <w:p w:rsidR="00377F01" w:rsidRDefault="00377F01">
            <w:pPr>
              <w:rPr>
                <w:lang w:eastAsia="en-US"/>
              </w:rPr>
            </w:pPr>
          </w:p>
          <w:p w:rsidR="00377F01" w:rsidRDefault="00377F01">
            <w:pPr>
              <w:rPr>
                <w:lang w:eastAsia="en-US"/>
              </w:rPr>
            </w:pPr>
            <w:r>
              <w:rPr>
                <w:lang w:eastAsia="en-US"/>
              </w:rPr>
              <w:t xml:space="preserve">* vyplniť iba v prípade, ak materiál nie je zahrnutý do Plánu práce vlády Slovenskej republiky alebo Plánu        legislatívnych úloh vlády Slovenskej republiky. </w:t>
            </w:r>
          </w:p>
          <w:p w:rsidR="00377F01" w:rsidRDefault="00377F01">
            <w:pPr>
              <w:rPr>
                <w:lang w:eastAsia="en-US"/>
              </w:rPr>
            </w:pPr>
            <w:r>
              <w:rPr>
                <w:lang w:eastAsia="en-US"/>
              </w:rPr>
              <w:t>** nepovinné</w:t>
            </w:r>
          </w:p>
        </w:tc>
      </w:tr>
      <w:tr w:rsidR="00377F01" w:rsidTr="00377F01">
        <w:tc>
          <w:tcPr>
            <w:tcW w:w="9180" w:type="dxa"/>
            <w:gridSpan w:val="10"/>
            <w:tcBorders>
              <w:top w:val="nil"/>
              <w:left w:val="nil"/>
              <w:bottom w:val="single" w:sz="4" w:space="0" w:color="auto"/>
              <w:right w:val="nil"/>
            </w:tcBorders>
            <w:shd w:val="clear" w:color="auto" w:fill="FFFFFF" w:themeFill="background1"/>
          </w:tcPr>
          <w:p w:rsidR="00377F01" w:rsidRDefault="00377F01">
            <w:pPr>
              <w:rPr>
                <w:b/>
                <w:lang w:eastAsia="en-US"/>
              </w:rPr>
            </w:pPr>
          </w:p>
        </w:tc>
      </w:tr>
      <w:tr w:rsidR="00377F01" w:rsidTr="00377F01">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hideMark/>
          </w:tcPr>
          <w:p w:rsidR="00377F01" w:rsidRDefault="00377F01" w:rsidP="00377F01">
            <w:pPr>
              <w:pStyle w:val="Odsekzoznamu"/>
              <w:spacing w:after="0" w:line="240" w:lineRule="auto"/>
              <w:ind w:left="0"/>
              <w:rPr>
                <w:rFonts w:ascii="Times New Roman" w:hAnsi="Times New Roman" w:cs="Times New Roman"/>
                <w:b/>
              </w:rPr>
            </w:pPr>
            <w:r>
              <w:rPr>
                <w:rFonts w:ascii="Times New Roman" w:hAnsi="Times New Roman" w:cs="Times New Roman"/>
                <w:b/>
              </w:rPr>
              <w:lastRenderedPageBreak/>
              <w:t>Vplyvy navrhovaného materiálu</w:t>
            </w:r>
          </w:p>
        </w:tc>
      </w:tr>
      <w:tr w:rsidR="00377F01" w:rsidTr="00377F01">
        <w:tc>
          <w:tcPr>
            <w:tcW w:w="3812" w:type="dxa"/>
            <w:tcBorders>
              <w:top w:val="single" w:sz="4" w:space="0" w:color="auto"/>
              <w:left w:val="single" w:sz="4" w:space="0" w:color="auto"/>
              <w:bottom w:val="nil"/>
              <w:right w:val="single" w:sz="4" w:space="0" w:color="auto"/>
            </w:tcBorders>
            <w:shd w:val="clear" w:color="auto" w:fill="E2E2E2"/>
            <w:hideMark/>
          </w:tcPr>
          <w:p w:rsidR="00377F01" w:rsidRDefault="00377F01">
            <w:pPr>
              <w:rPr>
                <w:b/>
                <w:lang w:eastAsia="en-US"/>
              </w:rPr>
            </w:pPr>
            <w:r>
              <w:rPr>
                <w:b/>
                <w:lang w:eastAsia="en-US"/>
              </w:rPr>
              <w:t>Vplyvy na rozpočet verejnej správy</w:t>
            </w:r>
          </w:p>
        </w:tc>
        <w:sdt>
          <w:sdtPr>
            <w:rPr>
              <w:b/>
            </w:rPr>
            <w:id w:val="1121575439"/>
          </w:sdtPr>
          <w:sdtContent>
            <w:sdt>
              <w:sdtPr>
                <w:rPr>
                  <w:b/>
                </w:rPr>
                <w:id w:val="284631574"/>
              </w:sdtPr>
              <w:sdtEndPr>
                <w:rPr>
                  <w:lang w:eastAsia="en-US"/>
                </w:rPr>
              </w:sdtEndPr>
              <w:sdtContent>
                <w:tc>
                  <w:tcPr>
                    <w:tcW w:w="541" w:type="dxa"/>
                    <w:gridSpan w:val="2"/>
                    <w:tcBorders>
                      <w:top w:val="single" w:sz="4" w:space="0" w:color="auto"/>
                      <w:left w:val="single" w:sz="4" w:space="0" w:color="auto"/>
                      <w:bottom w:val="single" w:sz="4" w:space="0" w:color="auto"/>
                      <w:right w:val="nil"/>
                    </w:tcBorders>
                    <w:hideMark/>
                  </w:tcPr>
                  <w:p w:rsidR="00377F01" w:rsidRDefault="00377F01">
                    <w:pPr>
                      <w:jc w:val="center"/>
                      <w:rPr>
                        <w:b/>
                        <w:lang w:eastAsia="en-US"/>
                      </w:rPr>
                    </w:pPr>
                    <w:r>
                      <w:rPr>
                        <w:rFonts w:ascii="MS Gothic" w:eastAsia="MS Gothic" w:hAnsi="MS Gothic" w:hint="eastAsia"/>
                        <w:b/>
                        <w:lang w:eastAsia="en-US"/>
                      </w:rPr>
                      <w:t>☒</w:t>
                    </w:r>
                  </w:p>
                </w:tc>
              </w:sdtContent>
            </w:sdt>
          </w:sdtContent>
        </w:sdt>
        <w:tc>
          <w:tcPr>
            <w:tcW w:w="1281" w:type="dxa"/>
            <w:gridSpan w:val="2"/>
            <w:tcBorders>
              <w:top w:val="single" w:sz="4" w:space="0" w:color="auto"/>
              <w:left w:val="nil"/>
              <w:bottom w:val="single" w:sz="4" w:space="0" w:color="auto"/>
              <w:right w:val="nil"/>
            </w:tcBorders>
            <w:hideMark/>
          </w:tcPr>
          <w:p w:rsidR="00377F01" w:rsidRDefault="00377F01">
            <w:pPr>
              <w:rPr>
                <w:b/>
                <w:lang w:eastAsia="en-US"/>
              </w:rPr>
            </w:pPr>
            <w:r>
              <w:rPr>
                <w:b/>
                <w:lang w:eastAsia="en-US"/>
              </w:rPr>
              <w:t>Pozitívne</w:t>
            </w:r>
          </w:p>
        </w:tc>
        <w:sdt>
          <w:sdtPr>
            <w:rPr>
              <w:lang w:eastAsia="en-US"/>
            </w:rPr>
            <w:id w:val="-916405887"/>
          </w:sdtPr>
          <w:sdtContent>
            <w:tc>
              <w:tcPr>
                <w:tcW w:w="569" w:type="dxa"/>
                <w:tcBorders>
                  <w:top w:val="single" w:sz="4" w:space="0" w:color="auto"/>
                  <w:left w:val="nil"/>
                  <w:bottom w:val="single" w:sz="4" w:space="0" w:color="auto"/>
                  <w:right w:val="nil"/>
                </w:tcBorders>
                <w:hideMark/>
              </w:tcPr>
              <w:p w:rsidR="00377F01" w:rsidRDefault="00377F01">
                <w:pPr>
                  <w:jc w:val="center"/>
                  <w:rPr>
                    <w:lang w:eastAsia="en-US"/>
                  </w:rPr>
                </w:pPr>
                <w:r>
                  <w:rPr>
                    <w:rFonts w:ascii="MS Mincho" w:eastAsia="MS Mincho" w:hAnsi="MS Mincho" w:cs="MS Mincho" w:hint="eastAsia"/>
                    <w:lang w:eastAsia="en-US"/>
                  </w:rPr>
                  <w:t>☐</w:t>
                </w:r>
              </w:p>
            </w:tc>
          </w:sdtContent>
        </w:sdt>
        <w:tc>
          <w:tcPr>
            <w:tcW w:w="1133" w:type="dxa"/>
            <w:tcBorders>
              <w:top w:val="single" w:sz="4" w:space="0" w:color="auto"/>
              <w:left w:val="nil"/>
              <w:bottom w:val="single" w:sz="4" w:space="0" w:color="auto"/>
              <w:right w:val="nil"/>
            </w:tcBorders>
            <w:hideMark/>
          </w:tcPr>
          <w:p w:rsidR="00377F01" w:rsidRDefault="00377F01">
            <w:pPr>
              <w:rPr>
                <w:lang w:eastAsia="en-US"/>
              </w:rPr>
            </w:pPr>
            <w:r>
              <w:rPr>
                <w:lang w:eastAsia="en-US"/>
              </w:rPr>
              <w:t xml:space="preserve">Žiadne      </w:t>
            </w:r>
          </w:p>
        </w:tc>
        <w:sdt>
          <w:sdtPr>
            <w:rPr>
              <w:b/>
            </w:rPr>
            <w:id w:val="-853649096"/>
          </w:sdtPr>
          <w:sdtContent>
            <w:sdt>
              <w:sdtPr>
                <w:rPr>
                  <w:b/>
                </w:rPr>
                <w:id w:val="409673950"/>
              </w:sdtPr>
              <w:sdtEndPr>
                <w:rPr>
                  <w:lang w:eastAsia="en-US"/>
                </w:rPr>
              </w:sdtEndPr>
              <w:sdtContent>
                <w:tc>
                  <w:tcPr>
                    <w:tcW w:w="547" w:type="dxa"/>
                    <w:gridSpan w:val="2"/>
                    <w:tcBorders>
                      <w:top w:val="single" w:sz="4" w:space="0" w:color="auto"/>
                      <w:left w:val="nil"/>
                      <w:bottom w:val="single" w:sz="4" w:space="0" w:color="auto"/>
                      <w:right w:val="nil"/>
                    </w:tcBorders>
                    <w:hideMark/>
                  </w:tcPr>
                  <w:p w:rsidR="00377F01" w:rsidRDefault="00377F01">
                    <w:pPr>
                      <w:ind w:right="-108"/>
                      <w:jc w:val="center"/>
                      <w:rPr>
                        <w:lang w:eastAsia="en-US"/>
                      </w:rPr>
                    </w:pPr>
                    <w:r>
                      <w:rPr>
                        <w:rFonts w:ascii="MS Mincho" w:eastAsia="MS Mincho" w:hAnsi="MS Mincho" w:cs="MS Mincho" w:hint="eastAsia"/>
                        <w:lang w:eastAsia="en-US"/>
                      </w:rPr>
                      <w:t>☐</w:t>
                    </w:r>
                  </w:p>
                </w:tc>
              </w:sdtContent>
            </w:sdt>
          </w:sdtContent>
        </w:sdt>
        <w:tc>
          <w:tcPr>
            <w:tcW w:w="1297" w:type="dxa"/>
            <w:tcBorders>
              <w:top w:val="single" w:sz="4" w:space="0" w:color="auto"/>
              <w:left w:val="nil"/>
              <w:bottom w:val="single" w:sz="4" w:space="0" w:color="auto"/>
              <w:right w:val="single" w:sz="4" w:space="0" w:color="auto"/>
            </w:tcBorders>
            <w:hideMark/>
          </w:tcPr>
          <w:p w:rsidR="00377F01" w:rsidRDefault="00377F01">
            <w:pPr>
              <w:rPr>
                <w:lang w:eastAsia="en-US"/>
              </w:rPr>
            </w:pPr>
            <w:r>
              <w:rPr>
                <w:lang w:eastAsia="en-US"/>
              </w:rPr>
              <w:t>Negatívne</w:t>
            </w:r>
          </w:p>
        </w:tc>
      </w:tr>
      <w:tr w:rsidR="00377F01" w:rsidTr="00377F01">
        <w:tc>
          <w:tcPr>
            <w:tcW w:w="3812" w:type="dxa"/>
            <w:tcBorders>
              <w:top w:val="nil"/>
              <w:left w:val="single" w:sz="4" w:space="0" w:color="auto"/>
              <w:bottom w:val="single" w:sz="4" w:space="0" w:color="000000" w:themeColor="text1"/>
              <w:right w:val="single" w:sz="4" w:space="0" w:color="auto"/>
            </w:tcBorders>
            <w:shd w:val="clear" w:color="auto" w:fill="E2E2E2"/>
            <w:hideMark/>
          </w:tcPr>
          <w:p w:rsidR="00377F01" w:rsidRDefault="00377F01">
            <w:pPr>
              <w:rPr>
                <w:lang w:eastAsia="en-US"/>
              </w:rPr>
            </w:pPr>
            <w:r>
              <w:rPr>
                <w:lang w:eastAsia="en-US"/>
              </w:rPr>
              <w:t xml:space="preserve"> z toho rozpočtovo zabezpečené vplyvy</w:t>
            </w:r>
          </w:p>
        </w:tc>
        <w:sdt>
          <w:sdtPr>
            <w:rPr>
              <w:b/>
              <w:lang w:eastAsia="en-US"/>
            </w:rPr>
            <w:id w:val="-2073729125"/>
          </w:sdtPr>
          <w:sdtContent>
            <w:tc>
              <w:tcPr>
                <w:tcW w:w="541" w:type="dxa"/>
                <w:gridSpan w:val="2"/>
                <w:tcBorders>
                  <w:top w:val="single" w:sz="4" w:space="0" w:color="auto"/>
                  <w:left w:val="single" w:sz="4" w:space="0" w:color="auto"/>
                  <w:bottom w:val="single" w:sz="4" w:space="0" w:color="auto"/>
                  <w:right w:val="nil"/>
                </w:tcBorders>
                <w:hideMark/>
              </w:tcPr>
              <w:p w:rsidR="00377F01" w:rsidRDefault="00377F01">
                <w:pPr>
                  <w:jc w:val="center"/>
                  <w:rPr>
                    <w:b/>
                    <w:lang w:eastAsia="en-US"/>
                  </w:rPr>
                </w:pPr>
                <w:r>
                  <w:rPr>
                    <w:rFonts w:ascii="MS Gothic" w:eastAsia="MS Gothic" w:hAnsi="MS Gothic" w:hint="eastAsia"/>
                    <w:b/>
                    <w:lang w:eastAsia="en-US"/>
                  </w:rPr>
                  <w:t>☒</w:t>
                </w:r>
              </w:p>
            </w:tc>
          </w:sdtContent>
        </w:sdt>
        <w:tc>
          <w:tcPr>
            <w:tcW w:w="1281" w:type="dxa"/>
            <w:gridSpan w:val="2"/>
            <w:tcBorders>
              <w:top w:val="single" w:sz="4" w:space="0" w:color="auto"/>
              <w:left w:val="nil"/>
              <w:bottom w:val="single" w:sz="4" w:space="0" w:color="auto"/>
              <w:right w:val="nil"/>
            </w:tcBorders>
            <w:hideMark/>
          </w:tcPr>
          <w:p w:rsidR="00377F01" w:rsidRDefault="00377F01">
            <w:pPr>
              <w:rPr>
                <w:b/>
                <w:lang w:eastAsia="en-US"/>
              </w:rPr>
            </w:pPr>
            <w:r>
              <w:rPr>
                <w:b/>
                <w:lang w:eastAsia="en-US"/>
              </w:rPr>
              <w:t>Áno</w:t>
            </w:r>
          </w:p>
        </w:tc>
        <w:sdt>
          <w:sdtPr>
            <w:rPr>
              <w:lang w:eastAsia="en-US"/>
            </w:rPr>
            <w:id w:val="-54388876"/>
          </w:sdtPr>
          <w:sdtContent>
            <w:tc>
              <w:tcPr>
                <w:tcW w:w="569" w:type="dxa"/>
                <w:tcBorders>
                  <w:top w:val="single" w:sz="4" w:space="0" w:color="auto"/>
                  <w:left w:val="nil"/>
                  <w:bottom w:val="single" w:sz="4" w:space="0" w:color="auto"/>
                  <w:right w:val="nil"/>
                </w:tcBorders>
                <w:hideMark/>
              </w:tcPr>
              <w:p w:rsidR="00377F01" w:rsidRDefault="00377F01">
                <w:pPr>
                  <w:jc w:val="center"/>
                  <w:rPr>
                    <w:lang w:eastAsia="en-US"/>
                  </w:rPr>
                </w:pPr>
                <w:r>
                  <w:rPr>
                    <w:rFonts w:ascii="MS Gothic" w:eastAsia="MS Gothic" w:hAnsi="MS Gothic" w:hint="eastAsia"/>
                    <w:lang w:eastAsia="en-US"/>
                  </w:rPr>
                  <w:t>☐</w:t>
                </w:r>
              </w:p>
            </w:tc>
          </w:sdtContent>
        </w:sdt>
        <w:tc>
          <w:tcPr>
            <w:tcW w:w="1133" w:type="dxa"/>
            <w:tcBorders>
              <w:top w:val="single" w:sz="4" w:space="0" w:color="auto"/>
              <w:left w:val="nil"/>
              <w:bottom w:val="single" w:sz="4" w:space="0" w:color="auto"/>
              <w:right w:val="nil"/>
            </w:tcBorders>
            <w:hideMark/>
          </w:tcPr>
          <w:p w:rsidR="00377F01" w:rsidRDefault="00377F01">
            <w:pPr>
              <w:rPr>
                <w:lang w:eastAsia="en-US"/>
              </w:rPr>
            </w:pPr>
            <w:r>
              <w:rPr>
                <w:lang w:eastAsia="en-US"/>
              </w:rPr>
              <w:t>Nie</w:t>
            </w:r>
          </w:p>
        </w:tc>
        <w:sdt>
          <w:sdtPr>
            <w:rPr>
              <w:lang w:eastAsia="en-US"/>
            </w:rPr>
            <w:id w:val="361940775"/>
          </w:sdtPr>
          <w:sdtContent>
            <w:tc>
              <w:tcPr>
                <w:tcW w:w="547" w:type="dxa"/>
                <w:gridSpan w:val="2"/>
                <w:tcBorders>
                  <w:top w:val="single" w:sz="4" w:space="0" w:color="auto"/>
                  <w:left w:val="nil"/>
                  <w:bottom w:val="single" w:sz="4" w:space="0" w:color="auto"/>
                  <w:right w:val="nil"/>
                </w:tcBorders>
                <w:hideMark/>
              </w:tcPr>
              <w:p w:rsidR="00377F01" w:rsidRDefault="00377F01">
                <w:pPr>
                  <w:ind w:right="-108"/>
                  <w:jc w:val="center"/>
                  <w:rPr>
                    <w:lang w:eastAsia="en-US"/>
                  </w:rPr>
                </w:pPr>
                <w:r>
                  <w:rPr>
                    <w:rFonts w:ascii="MS Mincho" w:eastAsia="MS Mincho" w:hAnsi="MS Mincho" w:cs="MS Mincho" w:hint="eastAsia"/>
                    <w:lang w:eastAsia="en-US"/>
                  </w:rPr>
                  <w:t>☐</w:t>
                </w:r>
              </w:p>
            </w:tc>
          </w:sdtContent>
        </w:sdt>
        <w:tc>
          <w:tcPr>
            <w:tcW w:w="1297" w:type="dxa"/>
            <w:tcBorders>
              <w:top w:val="single" w:sz="4" w:space="0" w:color="auto"/>
              <w:left w:val="nil"/>
              <w:bottom w:val="single" w:sz="4" w:space="0" w:color="auto"/>
              <w:right w:val="single" w:sz="4" w:space="0" w:color="auto"/>
            </w:tcBorders>
            <w:hideMark/>
          </w:tcPr>
          <w:p w:rsidR="00377F01" w:rsidRDefault="00377F01">
            <w:pPr>
              <w:rPr>
                <w:lang w:eastAsia="en-US"/>
              </w:rPr>
            </w:pPr>
            <w:r>
              <w:rPr>
                <w:lang w:eastAsia="en-US"/>
              </w:rPr>
              <w:t>Čiastočne</w:t>
            </w:r>
          </w:p>
        </w:tc>
      </w:tr>
      <w:tr w:rsidR="00377F01" w:rsidTr="00377F01">
        <w:tc>
          <w:tcPr>
            <w:tcW w:w="3812" w:type="dxa"/>
            <w:tcBorders>
              <w:top w:val="single" w:sz="4" w:space="0" w:color="000000" w:themeColor="text1"/>
              <w:left w:val="single" w:sz="4" w:space="0" w:color="auto"/>
              <w:bottom w:val="nil"/>
              <w:right w:val="single" w:sz="4" w:space="0" w:color="auto"/>
            </w:tcBorders>
            <w:shd w:val="clear" w:color="auto" w:fill="E2E2E2"/>
            <w:hideMark/>
          </w:tcPr>
          <w:p w:rsidR="00377F01" w:rsidRDefault="00377F01">
            <w:pPr>
              <w:rPr>
                <w:b/>
                <w:lang w:eastAsia="en-US"/>
              </w:rPr>
            </w:pPr>
            <w:r>
              <w:rPr>
                <w:b/>
                <w:lang w:eastAsia="en-US"/>
              </w:rPr>
              <w:t>Vplyvy na podnikateľské prostredie</w:t>
            </w:r>
          </w:p>
        </w:tc>
        <w:sdt>
          <w:sdtPr>
            <w:rPr>
              <w:lang w:eastAsia="en-US"/>
            </w:rPr>
            <w:id w:val="1328319843"/>
          </w:sdtPr>
          <w:sdtContent>
            <w:tc>
              <w:tcPr>
                <w:tcW w:w="541" w:type="dxa"/>
                <w:gridSpan w:val="2"/>
                <w:tcBorders>
                  <w:top w:val="single" w:sz="4" w:space="0" w:color="auto"/>
                  <w:left w:val="single" w:sz="4" w:space="0" w:color="auto"/>
                  <w:bottom w:val="single" w:sz="4" w:space="0" w:color="auto"/>
                  <w:right w:val="nil"/>
                </w:tcBorders>
                <w:hideMark/>
              </w:tcPr>
              <w:p w:rsidR="00377F01" w:rsidRDefault="00377F01">
                <w:pPr>
                  <w:jc w:val="center"/>
                  <w:rPr>
                    <w:lang w:eastAsia="en-US"/>
                  </w:rPr>
                </w:pPr>
                <w:r>
                  <w:rPr>
                    <w:rFonts w:ascii="MS Gothic" w:eastAsia="MS Gothic" w:hAnsi="MS Gothic" w:hint="eastAsia"/>
                    <w:lang w:eastAsia="en-US"/>
                  </w:rPr>
                  <w:t>☐</w:t>
                </w:r>
              </w:p>
            </w:tc>
          </w:sdtContent>
        </w:sdt>
        <w:tc>
          <w:tcPr>
            <w:tcW w:w="1281" w:type="dxa"/>
            <w:gridSpan w:val="2"/>
            <w:tcBorders>
              <w:top w:val="single" w:sz="4" w:space="0" w:color="auto"/>
              <w:left w:val="nil"/>
              <w:bottom w:val="single" w:sz="4" w:space="0" w:color="auto"/>
              <w:right w:val="nil"/>
            </w:tcBorders>
            <w:hideMark/>
          </w:tcPr>
          <w:p w:rsidR="00377F01" w:rsidRDefault="00377F01">
            <w:pPr>
              <w:ind w:right="-108"/>
              <w:rPr>
                <w:lang w:eastAsia="en-US"/>
              </w:rPr>
            </w:pPr>
            <w:r>
              <w:rPr>
                <w:lang w:eastAsia="en-US"/>
              </w:rPr>
              <w:t>Pozitívne</w:t>
            </w:r>
          </w:p>
        </w:tc>
        <w:sdt>
          <w:sdtPr>
            <w:rPr>
              <w:b/>
              <w:lang w:eastAsia="en-US"/>
            </w:rPr>
            <w:id w:val="1564608664"/>
          </w:sdtPr>
          <w:sdtContent>
            <w:tc>
              <w:tcPr>
                <w:tcW w:w="569" w:type="dxa"/>
                <w:tcBorders>
                  <w:top w:val="single" w:sz="4" w:space="0" w:color="auto"/>
                  <w:left w:val="nil"/>
                  <w:bottom w:val="single" w:sz="4" w:space="0" w:color="auto"/>
                  <w:right w:val="nil"/>
                </w:tcBorders>
                <w:hideMark/>
              </w:tcPr>
              <w:p w:rsidR="00377F01" w:rsidRDefault="00377F01">
                <w:pPr>
                  <w:jc w:val="center"/>
                  <w:rPr>
                    <w:b/>
                    <w:lang w:eastAsia="en-US"/>
                  </w:rPr>
                </w:pPr>
                <w:r>
                  <w:rPr>
                    <w:rFonts w:ascii="MS Gothic" w:eastAsia="MS Gothic" w:hAnsi="MS Gothic" w:hint="eastAsia"/>
                    <w:b/>
                    <w:lang w:eastAsia="en-US"/>
                  </w:rPr>
                  <w:t>☒</w:t>
                </w:r>
              </w:p>
            </w:tc>
          </w:sdtContent>
        </w:sdt>
        <w:tc>
          <w:tcPr>
            <w:tcW w:w="1133" w:type="dxa"/>
            <w:tcBorders>
              <w:top w:val="single" w:sz="4" w:space="0" w:color="auto"/>
              <w:left w:val="nil"/>
              <w:bottom w:val="single" w:sz="4" w:space="0" w:color="auto"/>
              <w:right w:val="nil"/>
            </w:tcBorders>
            <w:hideMark/>
          </w:tcPr>
          <w:p w:rsidR="00377F01" w:rsidRDefault="00377F01">
            <w:pPr>
              <w:rPr>
                <w:b/>
                <w:lang w:eastAsia="en-US"/>
              </w:rPr>
            </w:pPr>
            <w:r>
              <w:rPr>
                <w:b/>
                <w:lang w:eastAsia="en-US"/>
              </w:rPr>
              <w:t>Žiadne</w:t>
            </w:r>
          </w:p>
        </w:tc>
        <w:sdt>
          <w:sdtPr>
            <w:rPr>
              <w:lang w:eastAsia="en-US"/>
            </w:rPr>
            <w:id w:val="2173546"/>
          </w:sdtPr>
          <w:sdtContent>
            <w:tc>
              <w:tcPr>
                <w:tcW w:w="547" w:type="dxa"/>
                <w:gridSpan w:val="2"/>
                <w:tcBorders>
                  <w:top w:val="single" w:sz="4" w:space="0" w:color="auto"/>
                  <w:left w:val="nil"/>
                  <w:bottom w:val="single" w:sz="4" w:space="0" w:color="auto"/>
                  <w:right w:val="nil"/>
                </w:tcBorders>
                <w:hideMark/>
              </w:tcPr>
              <w:p w:rsidR="00377F01" w:rsidRDefault="00377F01">
                <w:pPr>
                  <w:jc w:val="center"/>
                  <w:rPr>
                    <w:lang w:eastAsia="en-US"/>
                  </w:rPr>
                </w:pPr>
                <w:r>
                  <w:rPr>
                    <w:rFonts w:ascii="MS Mincho" w:eastAsia="MS Mincho" w:hAnsi="MS Mincho" w:cs="MS Mincho" w:hint="eastAsia"/>
                    <w:lang w:eastAsia="en-US"/>
                  </w:rPr>
                  <w:t>☐</w:t>
                </w:r>
              </w:p>
            </w:tc>
          </w:sdtContent>
        </w:sdt>
        <w:tc>
          <w:tcPr>
            <w:tcW w:w="1297" w:type="dxa"/>
            <w:tcBorders>
              <w:top w:val="single" w:sz="4" w:space="0" w:color="auto"/>
              <w:left w:val="nil"/>
              <w:bottom w:val="single" w:sz="4" w:space="0" w:color="auto"/>
              <w:right w:val="single" w:sz="4" w:space="0" w:color="auto"/>
            </w:tcBorders>
            <w:hideMark/>
          </w:tcPr>
          <w:p w:rsidR="00377F01" w:rsidRDefault="00377F01">
            <w:pPr>
              <w:rPr>
                <w:lang w:eastAsia="en-US"/>
              </w:rPr>
            </w:pPr>
            <w:r>
              <w:rPr>
                <w:lang w:eastAsia="en-US"/>
              </w:rPr>
              <w:t>Negatívne</w:t>
            </w:r>
          </w:p>
        </w:tc>
      </w:tr>
      <w:tr w:rsidR="00377F01" w:rsidTr="00377F01">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hideMark/>
          </w:tcPr>
          <w:p w:rsidR="00377F01" w:rsidRDefault="00377F01">
            <w:pPr>
              <w:rPr>
                <w:lang w:eastAsia="en-US"/>
              </w:rPr>
            </w:pPr>
            <w:r>
              <w:rPr>
                <w:lang w:eastAsia="en-US"/>
              </w:rPr>
              <w:t>z toho vplyvy na MSP</w:t>
            </w:r>
          </w:p>
        </w:tc>
        <w:sdt>
          <w:sdtPr>
            <w:rPr>
              <w:lang w:eastAsia="en-US"/>
            </w:rPr>
            <w:id w:val="1931938095"/>
          </w:sdtPr>
          <w:sdtContent>
            <w:tc>
              <w:tcPr>
                <w:tcW w:w="541" w:type="dxa"/>
                <w:gridSpan w:val="2"/>
                <w:tcBorders>
                  <w:top w:val="single" w:sz="4" w:space="0" w:color="auto"/>
                  <w:left w:val="single" w:sz="4" w:space="0" w:color="000000" w:themeColor="text1"/>
                  <w:bottom w:val="single" w:sz="4" w:space="0" w:color="auto"/>
                  <w:right w:val="nil"/>
                </w:tcBorders>
                <w:hideMark/>
              </w:tcPr>
              <w:p w:rsidR="00377F01" w:rsidRDefault="00377F01">
                <w:pPr>
                  <w:jc w:val="center"/>
                  <w:rPr>
                    <w:lang w:eastAsia="en-US"/>
                  </w:rPr>
                </w:pPr>
                <w:r>
                  <w:rPr>
                    <w:rFonts w:ascii="MS Mincho" w:eastAsia="MS Mincho" w:hAnsi="MS Mincho" w:cs="MS Mincho" w:hint="eastAsia"/>
                    <w:lang w:eastAsia="en-US"/>
                  </w:rPr>
                  <w:t>☐</w:t>
                </w:r>
              </w:p>
            </w:tc>
          </w:sdtContent>
        </w:sdt>
        <w:tc>
          <w:tcPr>
            <w:tcW w:w="1281" w:type="dxa"/>
            <w:gridSpan w:val="2"/>
            <w:tcBorders>
              <w:top w:val="single" w:sz="4" w:space="0" w:color="auto"/>
              <w:left w:val="nil"/>
              <w:bottom w:val="single" w:sz="4" w:space="0" w:color="auto"/>
              <w:right w:val="nil"/>
            </w:tcBorders>
            <w:hideMark/>
          </w:tcPr>
          <w:p w:rsidR="00377F01" w:rsidRDefault="00377F01">
            <w:pPr>
              <w:ind w:right="-108"/>
              <w:rPr>
                <w:lang w:eastAsia="en-US"/>
              </w:rPr>
            </w:pPr>
            <w:r>
              <w:rPr>
                <w:lang w:eastAsia="en-US"/>
              </w:rPr>
              <w:t>Pozitívne</w:t>
            </w:r>
          </w:p>
        </w:tc>
        <w:sdt>
          <w:sdtPr>
            <w:rPr>
              <w:b/>
              <w:lang w:eastAsia="en-US"/>
            </w:rPr>
            <w:id w:val="-1696063787"/>
          </w:sdtPr>
          <w:sdtContent>
            <w:tc>
              <w:tcPr>
                <w:tcW w:w="569" w:type="dxa"/>
                <w:tcBorders>
                  <w:top w:val="single" w:sz="4" w:space="0" w:color="auto"/>
                  <w:left w:val="nil"/>
                  <w:bottom w:val="single" w:sz="4" w:space="0" w:color="auto"/>
                  <w:right w:val="nil"/>
                </w:tcBorders>
                <w:hideMark/>
              </w:tcPr>
              <w:p w:rsidR="00377F01" w:rsidRDefault="00377F01">
                <w:pPr>
                  <w:jc w:val="center"/>
                  <w:rPr>
                    <w:b/>
                    <w:lang w:eastAsia="en-US"/>
                  </w:rPr>
                </w:pPr>
                <w:r>
                  <w:rPr>
                    <w:rFonts w:ascii="MS Gothic" w:eastAsia="MS Gothic" w:hAnsi="MS Gothic" w:hint="eastAsia"/>
                    <w:b/>
                    <w:lang w:eastAsia="en-US"/>
                  </w:rPr>
                  <w:t>☒</w:t>
                </w:r>
              </w:p>
            </w:tc>
          </w:sdtContent>
        </w:sdt>
        <w:tc>
          <w:tcPr>
            <w:tcW w:w="1133" w:type="dxa"/>
            <w:tcBorders>
              <w:top w:val="single" w:sz="4" w:space="0" w:color="auto"/>
              <w:left w:val="nil"/>
              <w:bottom w:val="single" w:sz="4" w:space="0" w:color="auto"/>
              <w:right w:val="nil"/>
            </w:tcBorders>
            <w:hideMark/>
          </w:tcPr>
          <w:p w:rsidR="00377F01" w:rsidRDefault="00377F01">
            <w:pPr>
              <w:rPr>
                <w:b/>
                <w:lang w:eastAsia="en-US"/>
              </w:rPr>
            </w:pPr>
            <w:r>
              <w:rPr>
                <w:b/>
                <w:lang w:eastAsia="en-US"/>
              </w:rPr>
              <w:t>Žiadne</w:t>
            </w:r>
          </w:p>
        </w:tc>
        <w:sdt>
          <w:sdtPr>
            <w:rPr>
              <w:lang w:eastAsia="en-US"/>
            </w:rPr>
            <w:id w:val="671765022"/>
          </w:sdtPr>
          <w:sdtContent>
            <w:tc>
              <w:tcPr>
                <w:tcW w:w="547" w:type="dxa"/>
                <w:gridSpan w:val="2"/>
                <w:tcBorders>
                  <w:top w:val="single" w:sz="4" w:space="0" w:color="auto"/>
                  <w:left w:val="nil"/>
                  <w:bottom w:val="single" w:sz="4" w:space="0" w:color="auto"/>
                  <w:right w:val="nil"/>
                </w:tcBorders>
                <w:hideMark/>
              </w:tcPr>
              <w:p w:rsidR="00377F01" w:rsidRDefault="00377F01">
                <w:pPr>
                  <w:jc w:val="center"/>
                  <w:rPr>
                    <w:lang w:eastAsia="en-US"/>
                  </w:rPr>
                </w:pPr>
                <w:r>
                  <w:rPr>
                    <w:rFonts w:ascii="MS Mincho" w:eastAsia="MS Mincho" w:hAnsi="MS Mincho" w:cs="MS Mincho" w:hint="eastAsia"/>
                    <w:lang w:eastAsia="en-US"/>
                  </w:rPr>
                  <w:t>☐</w:t>
                </w:r>
              </w:p>
            </w:tc>
          </w:sdtContent>
        </w:sdt>
        <w:tc>
          <w:tcPr>
            <w:tcW w:w="1297" w:type="dxa"/>
            <w:tcBorders>
              <w:top w:val="single" w:sz="4" w:space="0" w:color="auto"/>
              <w:left w:val="nil"/>
              <w:bottom w:val="single" w:sz="4" w:space="0" w:color="auto"/>
              <w:right w:val="single" w:sz="4" w:space="0" w:color="auto"/>
            </w:tcBorders>
            <w:hideMark/>
          </w:tcPr>
          <w:p w:rsidR="00377F01" w:rsidRDefault="00377F01">
            <w:pPr>
              <w:rPr>
                <w:lang w:eastAsia="en-US"/>
              </w:rPr>
            </w:pPr>
            <w:r>
              <w:rPr>
                <w:lang w:eastAsia="en-US"/>
              </w:rPr>
              <w:t>Negatívne</w:t>
            </w:r>
          </w:p>
        </w:tc>
      </w:tr>
      <w:tr w:rsidR="00377F01" w:rsidTr="00377F01">
        <w:tc>
          <w:tcPr>
            <w:tcW w:w="3812" w:type="dxa"/>
            <w:tcBorders>
              <w:top w:val="single" w:sz="4" w:space="0" w:color="000000" w:themeColor="text1"/>
              <w:left w:val="single" w:sz="4" w:space="0" w:color="auto"/>
              <w:bottom w:val="single" w:sz="4" w:space="0" w:color="auto"/>
              <w:right w:val="single" w:sz="4" w:space="0" w:color="auto"/>
            </w:tcBorders>
            <w:shd w:val="clear" w:color="auto" w:fill="E2E2E2"/>
            <w:hideMark/>
          </w:tcPr>
          <w:p w:rsidR="00377F01" w:rsidRDefault="00377F01">
            <w:pPr>
              <w:rPr>
                <w:b/>
                <w:lang w:eastAsia="en-US"/>
              </w:rPr>
            </w:pPr>
            <w:r>
              <w:rPr>
                <w:b/>
                <w:lang w:eastAsia="en-US"/>
              </w:rPr>
              <w:t>Sociálne vplyvy</w:t>
            </w:r>
          </w:p>
        </w:tc>
        <w:sdt>
          <w:sdtPr>
            <w:rPr>
              <w:b/>
              <w:lang w:eastAsia="en-US"/>
            </w:rPr>
            <w:id w:val="449357865"/>
          </w:sdtPr>
          <w:sdtContent>
            <w:tc>
              <w:tcPr>
                <w:tcW w:w="541" w:type="dxa"/>
                <w:gridSpan w:val="2"/>
                <w:tcBorders>
                  <w:top w:val="single" w:sz="4" w:space="0" w:color="auto"/>
                  <w:left w:val="single" w:sz="4" w:space="0" w:color="auto"/>
                  <w:bottom w:val="single" w:sz="4" w:space="0" w:color="auto"/>
                  <w:right w:val="nil"/>
                </w:tcBorders>
                <w:hideMark/>
              </w:tcPr>
              <w:p w:rsidR="00377F01" w:rsidRDefault="00377F01">
                <w:pPr>
                  <w:jc w:val="center"/>
                  <w:rPr>
                    <w:b/>
                    <w:lang w:eastAsia="en-US"/>
                  </w:rPr>
                </w:pPr>
                <w:r>
                  <w:rPr>
                    <w:rFonts w:ascii="MS Gothic" w:eastAsia="MS Gothic" w:hAnsi="MS Gothic" w:hint="eastAsia"/>
                    <w:b/>
                    <w:lang w:eastAsia="en-US"/>
                  </w:rPr>
                  <w:t>☒</w:t>
                </w:r>
              </w:p>
            </w:tc>
          </w:sdtContent>
        </w:sdt>
        <w:tc>
          <w:tcPr>
            <w:tcW w:w="1281" w:type="dxa"/>
            <w:gridSpan w:val="2"/>
            <w:tcBorders>
              <w:top w:val="single" w:sz="4" w:space="0" w:color="auto"/>
              <w:left w:val="nil"/>
              <w:bottom w:val="single" w:sz="4" w:space="0" w:color="auto"/>
              <w:right w:val="nil"/>
            </w:tcBorders>
            <w:hideMark/>
          </w:tcPr>
          <w:p w:rsidR="00377F01" w:rsidRDefault="00377F01">
            <w:pPr>
              <w:ind w:right="-108"/>
              <w:rPr>
                <w:b/>
                <w:lang w:eastAsia="en-US"/>
              </w:rPr>
            </w:pPr>
            <w:r>
              <w:rPr>
                <w:b/>
                <w:lang w:eastAsia="en-US"/>
              </w:rPr>
              <w:t>Pozitívne</w:t>
            </w:r>
          </w:p>
        </w:tc>
        <w:sdt>
          <w:sdtPr>
            <w:rPr>
              <w:lang w:eastAsia="en-US"/>
            </w:rPr>
            <w:id w:val="-1719425362"/>
          </w:sdtPr>
          <w:sdtContent>
            <w:tc>
              <w:tcPr>
                <w:tcW w:w="569" w:type="dxa"/>
                <w:tcBorders>
                  <w:top w:val="single" w:sz="4" w:space="0" w:color="auto"/>
                  <w:left w:val="nil"/>
                  <w:bottom w:val="single" w:sz="4" w:space="0" w:color="auto"/>
                  <w:right w:val="nil"/>
                </w:tcBorders>
                <w:hideMark/>
              </w:tcPr>
              <w:p w:rsidR="00377F01" w:rsidRDefault="00377F01">
                <w:pPr>
                  <w:jc w:val="center"/>
                  <w:rPr>
                    <w:lang w:eastAsia="en-US"/>
                  </w:rPr>
                </w:pPr>
                <w:r>
                  <w:rPr>
                    <w:rFonts w:ascii="MS Gothic" w:eastAsia="MS Gothic" w:hAnsi="MS Gothic" w:hint="eastAsia"/>
                    <w:lang w:eastAsia="en-US"/>
                  </w:rPr>
                  <w:t>☐</w:t>
                </w:r>
              </w:p>
            </w:tc>
          </w:sdtContent>
        </w:sdt>
        <w:tc>
          <w:tcPr>
            <w:tcW w:w="1133" w:type="dxa"/>
            <w:tcBorders>
              <w:top w:val="single" w:sz="4" w:space="0" w:color="auto"/>
              <w:left w:val="nil"/>
              <w:bottom w:val="single" w:sz="4" w:space="0" w:color="auto"/>
              <w:right w:val="nil"/>
            </w:tcBorders>
            <w:hideMark/>
          </w:tcPr>
          <w:p w:rsidR="00377F01" w:rsidRDefault="00377F01">
            <w:pPr>
              <w:rPr>
                <w:lang w:eastAsia="en-US"/>
              </w:rPr>
            </w:pPr>
            <w:r>
              <w:rPr>
                <w:lang w:eastAsia="en-US"/>
              </w:rPr>
              <w:t>Žiadne</w:t>
            </w:r>
          </w:p>
        </w:tc>
        <w:sdt>
          <w:sdtPr>
            <w:rPr>
              <w:lang w:eastAsia="en-US"/>
            </w:rPr>
            <w:id w:val="-870833546"/>
          </w:sdtPr>
          <w:sdtContent>
            <w:tc>
              <w:tcPr>
                <w:tcW w:w="547" w:type="dxa"/>
                <w:gridSpan w:val="2"/>
                <w:tcBorders>
                  <w:top w:val="single" w:sz="4" w:space="0" w:color="auto"/>
                  <w:left w:val="nil"/>
                  <w:bottom w:val="single" w:sz="4" w:space="0" w:color="auto"/>
                  <w:right w:val="nil"/>
                </w:tcBorders>
                <w:hideMark/>
              </w:tcPr>
              <w:p w:rsidR="00377F01" w:rsidRDefault="00377F01">
                <w:pPr>
                  <w:jc w:val="center"/>
                  <w:rPr>
                    <w:lang w:eastAsia="en-US"/>
                  </w:rPr>
                </w:pPr>
                <w:r>
                  <w:rPr>
                    <w:rFonts w:ascii="MS Mincho" w:eastAsia="MS Mincho" w:hAnsi="MS Mincho" w:cs="MS Mincho" w:hint="eastAsia"/>
                    <w:lang w:eastAsia="en-US"/>
                  </w:rPr>
                  <w:t>☐</w:t>
                </w:r>
              </w:p>
            </w:tc>
          </w:sdtContent>
        </w:sdt>
        <w:tc>
          <w:tcPr>
            <w:tcW w:w="1297" w:type="dxa"/>
            <w:tcBorders>
              <w:top w:val="single" w:sz="4" w:space="0" w:color="auto"/>
              <w:left w:val="nil"/>
              <w:bottom w:val="single" w:sz="4" w:space="0" w:color="auto"/>
              <w:right w:val="single" w:sz="4" w:space="0" w:color="auto"/>
            </w:tcBorders>
            <w:hideMark/>
          </w:tcPr>
          <w:p w:rsidR="00377F01" w:rsidRDefault="00377F01">
            <w:pPr>
              <w:rPr>
                <w:lang w:eastAsia="en-US"/>
              </w:rPr>
            </w:pPr>
            <w:r>
              <w:rPr>
                <w:lang w:eastAsia="en-US"/>
              </w:rPr>
              <w:t>Negatívne</w:t>
            </w:r>
          </w:p>
        </w:tc>
      </w:tr>
      <w:tr w:rsidR="00377F01" w:rsidTr="00377F01">
        <w:tc>
          <w:tcPr>
            <w:tcW w:w="3812" w:type="dxa"/>
            <w:tcBorders>
              <w:top w:val="single" w:sz="4" w:space="0" w:color="auto"/>
              <w:left w:val="single" w:sz="4" w:space="0" w:color="auto"/>
              <w:bottom w:val="single" w:sz="4" w:space="0" w:color="auto"/>
              <w:right w:val="single" w:sz="4" w:space="0" w:color="auto"/>
            </w:tcBorders>
            <w:shd w:val="clear" w:color="auto" w:fill="E2E2E2"/>
            <w:hideMark/>
          </w:tcPr>
          <w:p w:rsidR="00377F01" w:rsidRDefault="00377F01">
            <w:pPr>
              <w:rPr>
                <w:b/>
                <w:lang w:eastAsia="en-US"/>
              </w:rPr>
            </w:pPr>
            <w:r>
              <w:rPr>
                <w:b/>
                <w:lang w:eastAsia="en-US"/>
              </w:rPr>
              <w:t>Vplyvy na životné prostredie</w:t>
            </w:r>
          </w:p>
        </w:tc>
        <w:sdt>
          <w:sdtPr>
            <w:rPr>
              <w:lang w:eastAsia="en-US"/>
            </w:rPr>
            <w:id w:val="304755157"/>
          </w:sdtPr>
          <w:sdtContent>
            <w:tc>
              <w:tcPr>
                <w:tcW w:w="541" w:type="dxa"/>
                <w:gridSpan w:val="2"/>
                <w:tcBorders>
                  <w:top w:val="single" w:sz="4" w:space="0" w:color="auto"/>
                  <w:left w:val="single" w:sz="4" w:space="0" w:color="auto"/>
                  <w:bottom w:val="single" w:sz="4" w:space="0" w:color="auto"/>
                  <w:right w:val="nil"/>
                </w:tcBorders>
                <w:hideMark/>
              </w:tcPr>
              <w:p w:rsidR="00377F01" w:rsidRDefault="00377F01">
                <w:pPr>
                  <w:jc w:val="center"/>
                  <w:rPr>
                    <w:lang w:eastAsia="en-US"/>
                  </w:rPr>
                </w:pPr>
                <w:r>
                  <w:rPr>
                    <w:rFonts w:ascii="MS Gothic" w:eastAsia="MS Gothic" w:hAnsi="MS Gothic" w:hint="eastAsia"/>
                    <w:lang w:eastAsia="en-US"/>
                  </w:rPr>
                  <w:t>☐</w:t>
                </w:r>
              </w:p>
            </w:tc>
          </w:sdtContent>
        </w:sdt>
        <w:tc>
          <w:tcPr>
            <w:tcW w:w="1281" w:type="dxa"/>
            <w:gridSpan w:val="2"/>
            <w:tcBorders>
              <w:top w:val="single" w:sz="4" w:space="0" w:color="auto"/>
              <w:left w:val="nil"/>
              <w:bottom w:val="single" w:sz="4" w:space="0" w:color="auto"/>
              <w:right w:val="nil"/>
            </w:tcBorders>
            <w:hideMark/>
          </w:tcPr>
          <w:p w:rsidR="00377F01" w:rsidRDefault="00377F01">
            <w:pPr>
              <w:ind w:right="-108"/>
              <w:rPr>
                <w:lang w:eastAsia="en-US"/>
              </w:rPr>
            </w:pPr>
            <w:r>
              <w:rPr>
                <w:lang w:eastAsia="en-US"/>
              </w:rPr>
              <w:t>Pozitívne</w:t>
            </w:r>
          </w:p>
        </w:tc>
        <w:sdt>
          <w:sdtPr>
            <w:rPr>
              <w:b/>
              <w:lang w:eastAsia="en-US"/>
            </w:rPr>
            <w:id w:val="235136192"/>
          </w:sdtPr>
          <w:sdtContent>
            <w:tc>
              <w:tcPr>
                <w:tcW w:w="569" w:type="dxa"/>
                <w:tcBorders>
                  <w:top w:val="single" w:sz="4" w:space="0" w:color="auto"/>
                  <w:left w:val="nil"/>
                  <w:bottom w:val="single" w:sz="4" w:space="0" w:color="auto"/>
                  <w:right w:val="nil"/>
                </w:tcBorders>
                <w:hideMark/>
              </w:tcPr>
              <w:p w:rsidR="00377F01" w:rsidRDefault="00377F01">
                <w:pPr>
                  <w:jc w:val="center"/>
                  <w:rPr>
                    <w:b/>
                    <w:lang w:eastAsia="en-US"/>
                  </w:rPr>
                </w:pPr>
                <w:r>
                  <w:rPr>
                    <w:rFonts w:ascii="MS Gothic" w:eastAsia="MS Gothic" w:hAnsi="MS Gothic" w:hint="eastAsia"/>
                    <w:b/>
                    <w:lang w:eastAsia="en-US"/>
                  </w:rPr>
                  <w:t>☒</w:t>
                </w:r>
              </w:p>
            </w:tc>
          </w:sdtContent>
        </w:sdt>
        <w:tc>
          <w:tcPr>
            <w:tcW w:w="1133" w:type="dxa"/>
            <w:tcBorders>
              <w:top w:val="single" w:sz="4" w:space="0" w:color="auto"/>
              <w:left w:val="nil"/>
              <w:bottom w:val="single" w:sz="4" w:space="0" w:color="auto"/>
              <w:right w:val="nil"/>
            </w:tcBorders>
            <w:hideMark/>
          </w:tcPr>
          <w:p w:rsidR="00377F01" w:rsidRDefault="00377F01">
            <w:pPr>
              <w:rPr>
                <w:b/>
                <w:lang w:eastAsia="en-US"/>
              </w:rPr>
            </w:pPr>
            <w:r>
              <w:rPr>
                <w:b/>
                <w:lang w:eastAsia="en-US"/>
              </w:rPr>
              <w:t>Žiadne</w:t>
            </w:r>
          </w:p>
        </w:tc>
        <w:sdt>
          <w:sdtPr>
            <w:rPr>
              <w:lang w:eastAsia="en-US"/>
            </w:rPr>
            <w:id w:val="-131020046"/>
          </w:sdtPr>
          <w:sdtContent>
            <w:tc>
              <w:tcPr>
                <w:tcW w:w="547" w:type="dxa"/>
                <w:gridSpan w:val="2"/>
                <w:tcBorders>
                  <w:top w:val="single" w:sz="4" w:space="0" w:color="auto"/>
                  <w:left w:val="nil"/>
                  <w:bottom w:val="single" w:sz="4" w:space="0" w:color="auto"/>
                  <w:right w:val="nil"/>
                </w:tcBorders>
                <w:hideMark/>
              </w:tcPr>
              <w:p w:rsidR="00377F01" w:rsidRDefault="00377F01">
                <w:pPr>
                  <w:jc w:val="center"/>
                  <w:rPr>
                    <w:lang w:eastAsia="en-US"/>
                  </w:rPr>
                </w:pPr>
                <w:r>
                  <w:rPr>
                    <w:rFonts w:ascii="MS Mincho" w:eastAsia="MS Mincho" w:hAnsi="MS Mincho" w:cs="MS Mincho" w:hint="eastAsia"/>
                    <w:lang w:eastAsia="en-US"/>
                  </w:rPr>
                  <w:t>☐</w:t>
                </w:r>
              </w:p>
            </w:tc>
          </w:sdtContent>
        </w:sdt>
        <w:tc>
          <w:tcPr>
            <w:tcW w:w="1297" w:type="dxa"/>
            <w:tcBorders>
              <w:top w:val="single" w:sz="4" w:space="0" w:color="auto"/>
              <w:left w:val="nil"/>
              <w:bottom w:val="single" w:sz="4" w:space="0" w:color="auto"/>
              <w:right w:val="single" w:sz="4" w:space="0" w:color="auto"/>
            </w:tcBorders>
            <w:hideMark/>
          </w:tcPr>
          <w:p w:rsidR="00377F01" w:rsidRDefault="00377F01">
            <w:pPr>
              <w:rPr>
                <w:lang w:eastAsia="en-US"/>
              </w:rPr>
            </w:pPr>
            <w:r>
              <w:rPr>
                <w:lang w:eastAsia="en-US"/>
              </w:rPr>
              <w:t>Negatívne</w:t>
            </w:r>
          </w:p>
        </w:tc>
      </w:tr>
      <w:tr w:rsidR="00377F01" w:rsidTr="00377F01">
        <w:tc>
          <w:tcPr>
            <w:tcW w:w="3812" w:type="dxa"/>
            <w:tcBorders>
              <w:top w:val="single" w:sz="4" w:space="0" w:color="auto"/>
              <w:left w:val="single" w:sz="4" w:space="0" w:color="auto"/>
              <w:bottom w:val="single" w:sz="4" w:space="0" w:color="auto"/>
              <w:right w:val="single" w:sz="4" w:space="0" w:color="auto"/>
            </w:tcBorders>
            <w:shd w:val="clear" w:color="auto" w:fill="E2E2E2"/>
            <w:hideMark/>
          </w:tcPr>
          <w:p w:rsidR="00377F01" w:rsidRDefault="00377F01">
            <w:pPr>
              <w:rPr>
                <w:b/>
                <w:lang w:eastAsia="en-US"/>
              </w:rPr>
            </w:pPr>
            <w:r>
              <w:rPr>
                <w:b/>
                <w:lang w:eastAsia="en-US"/>
              </w:rPr>
              <w:t>Vplyvy na informatizáciu</w:t>
            </w:r>
          </w:p>
        </w:tc>
        <w:sdt>
          <w:sdtPr>
            <w:rPr>
              <w:lang w:eastAsia="en-US"/>
            </w:rPr>
            <w:id w:val="-940751000"/>
          </w:sdtPr>
          <w:sdtContent>
            <w:tc>
              <w:tcPr>
                <w:tcW w:w="541" w:type="dxa"/>
                <w:gridSpan w:val="2"/>
                <w:tcBorders>
                  <w:top w:val="single" w:sz="4" w:space="0" w:color="auto"/>
                  <w:left w:val="single" w:sz="4" w:space="0" w:color="auto"/>
                  <w:bottom w:val="single" w:sz="4" w:space="0" w:color="auto"/>
                  <w:right w:val="nil"/>
                </w:tcBorders>
                <w:hideMark/>
              </w:tcPr>
              <w:p w:rsidR="00377F01" w:rsidRDefault="00377F01">
                <w:pPr>
                  <w:jc w:val="center"/>
                  <w:rPr>
                    <w:lang w:eastAsia="en-US"/>
                  </w:rPr>
                </w:pPr>
                <w:r>
                  <w:rPr>
                    <w:rFonts w:ascii="MS Gothic" w:eastAsia="MS Gothic" w:hAnsi="MS Gothic" w:hint="eastAsia"/>
                    <w:lang w:eastAsia="en-US"/>
                  </w:rPr>
                  <w:t>☐</w:t>
                </w:r>
              </w:p>
            </w:tc>
          </w:sdtContent>
        </w:sdt>
        <w:tc>
          <w:tcPr>
            <w:tcW w:w="1281" w:type="dxa"/>
            <w:gridSpan w:val="2"/>
            <w:tcBorders>
              <w:top w:val="single" w:sz="4" w:space="0" w:color="auto"/>
              <w:left w:val="nil"/>
              <w:bottom w:val="single" w:sz="4" w:space="0" w:color="auto"/>
              <w:right w:val="nil"/>
            </w:tcBorders>
            <w:hideMark/>
          </w:tcPr>
          <w:p w:rsidR="00377F01" w:rsidRDefault="00377F01">
            <w:pPr>
              <w:ind w:right="-108"/>
              <w:rPr>
                <w:lang w:eastAsia="en-US"/>
              </w:rPr>
            </w:pPr>
            <w:r>
              <w:rPr>
                <w:lang w:eastAsia="en-US"/>
              </w:rPr>
              <w:t>Pozitívne</w:t>
            </w:r>
          </w:p>
        </w:tc>
        <w:sdt>
          <w:sdtPr>
            <w:rPr>
              <w:b/>
              <w:lang w:eastAsia="en-US"/>
            </w:rPr>
            <w:id w:val="-1126152168"/>
          </w:sdtPr>
          <w:sdtContent>
            <w:tc>
              <w:tcPr>
                <w:tcW w:w="569" w:type="dxa"/>
                <w:tcBorders>
                  <w:top w:val="single" w:sz="4" w:space="0" w:color="auto"/>
                  <w:left w:val="nil"/>
                  <w:bottom w:val="single" w:sz="4" w:space="0" w:color="auto"/>
                  <w:right w:val="nil"/>
                </w:tcBorders>
                <w:hideMark/>
              </w:tcPr>
              <w:p w:rsidR="00377F01" w:rsidRDefault="00377F01">
                <w:pPr>
                  <w:jc w:val="center"/>
                  <w:rPr>
                    <w:b/>
                    <w:lang w:eastAsia="en-US"/>
                  </w:rPr>
                </w:pPr>
                <w:r>
                  <w:rPr>
                    <w:rFonts w:ascii="MS Gothic" w:eastAsia="MS Gothic" w:hAnsi="MS Gothic" w:hint="eastAsia"/>
                    <w:b/>
                    <w:lang w:eastAsia="en-US"/>
                  </w:rPr>
                  <w:t>☒</w:t>
                </w:r>
              </w:p>
            </w:tc>
          </w:sdtContent>
        </w:sdt>
        <w:tc>
          <w:tcPr>
            <w:tcW w:w="1133" w:type="dxa"/>
            <w:tcBorders>
              <w:top w:val="single" w:sz="4" w:space="0" w:color="auto"/>
              <w:left w:val="nil"/>
              <w:bottom w:val="single" w:sz="4" w:space="0" w:color="auto"/>
              <w:right w:val="nil"/>
            </w:tcBorders>
            <w:hideMark/>
          </w:tcPr>
          <w:p w:rsidR="00377F01" w:rsidRDefault="00377F01">
            <w:pPr>
              <w:rPr>
                <w:b/>
                <w:lang w:eastAsia="en-US"/>
              </w:rPr>
            </w:pPr>
            <w:r>
              <w:rPr>
                <w:b/>
                <w:lang w:eastAsia="en-US"/>
              </w:rPr>
              <w:t>Žiadne</w:t>
            </w:r>
          </w:p>
        </w:tc>
        <w:sdt>
          <w:sdtPr>
            <w:rPr>
              <w:lang w:eastAsia="en-US"/>
            </w:rPr>
            <w:id w:val="378831873"/>
          </w:sdtPr>
          <w:sdtContent>
            <w:tc>
              <w:tcPr>
                <w:tcW w:w="547" w:type="dxa"/>
                <w:gridSpan w:val="2"/>
                <w:tcBorders>
                  <w:top w:val="single" w:sz="4" w:space="0" w:color="auto"/>
                  <w:left w:val="nil"/>
                  <w:bottom w:val="single" w:sz="4" w:space="0" w:color="auto"/>
                  <w:right w:val="nil"/>
                </w:tcBorders>
                <w:hideMark/>
              </w:tcPr>
              <w:p w:rsidR="00377F01" w:rsidRDefault="00377F01">
                <w:pPr>
                  <w:jc w:val="center"/>
                  <w:rPr>
                    <w:lang w:eastAsia="en-US"/>
                  </w:rPr>
                </w:pPr>
                <w:r>
                  <w:rPr>
                    <w:rFonts w:ascii="MS Mincho" w:eastAsia="MS Mincho" w:hAnsi="MS Mincho" w:cs="MS Mincho" w:hint="eastAsia"/>
                    <w:lang w:eastAsia="en-US"/>
                  </w:rPr>
                  <w:t>☐</w:t>
                </w:r>
              </w:p>
            </w:tc>
          </w:sdtContent>
        </w:sdt>
        <w:tc>
          <w:tcPr>
            <w:tcW w:w="1297" w:type="dxa"/>
            <w:tcBorders>
              <w:top w:val="single" w:sz="4" w:space="0" w:color="auto"/>
              <w:left w:val="nil"/>
              <w:bottom w:val="single" w:sz="4" w:space="0" w:color="auto"/>
              <w:right w:val="single" w:sz="4" w:space="0" w:color="auto"/>
            </w:tcBorders>
            <w:hideMark/>
          </w:tcPr>
          <w:p w:rsidR="00377F01" w:rsidRDefault="00377F01">
            <w:pPr>
              <w:rPr>
                <w:lang w:eastAsia="en-US"/>
              </w:rPr>
            </w:pPr>
            <w:r>
              <w:rPr>
                <w:lang w:eastAsia="en-US"/>
              </w:rPr>
              <w:t>Negatívne</w:t>
            </w:r>
          </w:p>
        </w:tc>
      </w:tr>
    </w:tbl>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377F01" w:rsidTr="00377F01">
        <w:tc>
          <w:tcPr>
            <w:tcW w:w="3812" w:type="dxa"/>
            <w:tcBorders>
              <w:top w:val="single" w:sz="4" w:space="0" w:color="auto"/>
              <w:left w:val="single" w:sz="4" w:space="0" w:color="auto"/>
              <w:bottom w:val="nil"/>
              <w:right w:val="single" w:sz="4" w:space="0" w:color="auto"/>
            </w:tcBorders>
            <w:shd w:val="clear" w:color="auto" w:fill="E2E2E2"/>
            <w:hideMark/>
          </w:tcPr>
          <w:p w:rsidR="00377F01" w:rsidRDefault="00377F01">
            <w:pPr>
              <w:spacing w:line="276" w:lineRule="auto"/>
              <w:rPr>
                <w:b/>
                <w:lang w:eastAsia="en-US"/>
              </w:rPr>
            </w:pPr>
            <w:r>
              <w:rPr>
                <w:rFonts w:eastAsia="Calibri"/>
                <w:b/>
                <w:lang w:eastAsia="en-US"/>
              </w:rPr>
              <w:t>Vplyvy na služby verejnej správy pre občana, z toho</w:t>
            </w:r>
          </w:p>
        </w:tc>
        <w:tc>
          <w:tcPr>
            <w:tcW w:w="541" w:type="dxa"/>
            <w:tcBorders>
              <w:top w:val="single" w:sz="4" w:space="0" w:color="auto"/>
              <w:left w:val="single" w:sz="4" w:space="0" w:color="auto"/>
              <w:bottom w:val="nil"/>
              <w:right w:val="nil"/>
            </w:tcBorders>
          </w:tcPr>
          <w:p w:rsidR="00377F01" w:rsidRDefault="00377F01">
            <w:pPr>
              <w:spacing w:line="276" w:lineRule="auto"/>
              <w:jc w:val="center"/>
              <w:rPr>
                <w:rFonts w:eastAsia="MS Mincho"/>
                <w:b/>
                <w:lang w:eastAsia="en-US"/>
              </w:rPr>
            </w:pPr>
          </w:p>
        </w:tc>
        <w:tc>
          <w:tcPr>
            <w:tcW w:w="1281" w:type="dxa"/>
            <w:tcBorders>
              <w:top w:val="single" w:sz="4" w:space="0" w:color="auto"/>
              <w:left w:val="nil"/>
              <w:bottom w:val="nil"/>
              <w:right w:val="nil"/>
            </w:tcBorders>
          </w:tcPr>
          <w:p w:rsidR="00377F01" w:rsidRDefault="00377F01">
            <w:pPr>
              <w:spacing w:line="276" w:lineRule="auto"/>
              <w:ind w:right="-108"/>
              <w:rPr>
                <w:b/>
                <w:lang w:eastAsia="en-US"/>
              </w:rPr>
            </w:pPr>
          </w:p>
        </w:tc>
        <w:tc>
          <w:tcPr>
            <w:tcW w:w="569" w:type="dxa"/>
            <w:tcBorders>
              <w:top w:val="single" w:sz="4" w:space="0" w:color="auto"/>
              <w:left w:val="nil"/>
              <w:bottom w:val="nil"/>
              <w:right w:val="nil"/>
            </w:tcBorders>
          </w:tcPr>
          <w:p w:rsidR="00377F01" w:rsidRDefault="00377F01">
            <w:pPr>
              <w:spacing w:line="276" w:lineRule="auto"/>
              <w:jc w:val="center"/>
              <w:rPr>
                <w:rFonts w:eastAsia="MS Mincho"/>
                <w:b/>
                <w:lang w:eastAsia="en-US"/>
              </w:rPr>
            </w:pPr>
          </w:p>
        </w:tc>
        <w:tc>
          <w:tcPr>
            <w:tcW w:w="1133" w:type="dxa"/>
            <w:tcBorders>
              <w:top w:val="single" w:sz="4" w:space="0" w:color="auto"/>
              <w:left w:val="nil"/>
              <w:bottom w:val="nil"/>
              <w:right w:val="nil"/>
            </w:tcBorders>
          </w:tcPr>
          <w:p w:rsidR="00377F01" w:rsidRDefault="00377F01">
            <w:pPr>
              <w:spacing w:line="276" w:lineRule="auto"/>
              <w:rPr>
                <w:b/>
                <w:lang w:eastAsia="en-US"/>
              </w:rPr>
            </w:pPr>
          </w:p>
        </w:tc>
        <w:tc>
          <w:tcPr>
            <w:tcW w:w="547" w:type="dxa"/>
            <w:tcBorders>
              <w:top w:val="single" w:sz="4" w:space="0" w:color="auto"/>
              <w:left w:val="nil"/>
              <w:bottom w:val="nil"/>
              <w:right w:val="nil"/>
            </w:tcBorders>
          </w:tcPr>
          <w:p w:rsidR="00377F01" w:rsidRDefault="00377F01">
            <w:pPr>
              <w:spacing w:line="276" w:lineRule="auto"/>
              <w:jc w:val="center"/>
              <w:rPr>
                <w:rFonts w:eastAsia="MS Mincho"/>
                <w:b/>
                <w:lang w:eastAsia="en-US"/>
              </w:rPr>
            </w:pPr>
          </w:p>
        </w:tc>
        <w:tc>
          <w:tcPr>
            <w:tcW w:w="1297" w:type="dxa"/>
            <w:tcBorders>
              <w:top w:val="single" w:sz="4" w:space="0" w:color="auto"/>
              <w:left w:val="nil"/>
              <w:bottom w:val="nil"/>
              <w:right w:val="single" w:sz="4" w:space="0" w:color="auto"/>
            </w:tcBorders>
          </w:tcPr>
          <w:p w:rsidR="00377F01" w:rsidRDefault="00377F01">
            <w:pPr>
              <w:spacing w:line="276" w:lineRule="auto"/>
              <w:rPr>
                <w:b/>
                <w:lang w:eastAsia="en-US"/>
              </w:rPr>
            </w:pPr>
          </w:p>
        </w:tc>
      </w:tr>
      <w:tr w:rsidR="00377F01" w:rsidTr="00377F01">
        <w:tc>
          <w:tcPr>
            <w:tcW w:w="3812" w:type="dxa"/>
            <w:tcBorders>
              <w:top w:val="nil"/>
              <w:left w:val="single" w:sz="4" w:space="0" w:color="auto"/>
              <w:bottom w:val="nil"/>
              <w:right w:val="single" w:sz="4" w:space="0" w:color="auto"/>
            </w:tcBorders>
            <w:shd w:val="clear" w:color="auto" w:fill="E2E2E2"/>
            <w:hideMark/>
          </w:tcPr>
          <w:p w:rsidR="00377F01" w:rsidRDefault="00377F01">
            <w:pPr>
              <w:spacing w:line="276" w:lineRule="auto"/>
              <w:rPr>
                <w:rFonts w:eastAsia="Calibri"/>
                <w:b/>
                <w:lang w:eastAsia="en-US"/>
              </w:rPr>
            </w:pPr>
            <w:r>
              <w:rPr>
                <w:rFonts w:eastAsia="Calibri"/>
                <w:b/>
                <w:lang w:eastAsia="en-US"/>
              </w:rPr>
              <w:t xml:space="preserve">    vplyvy služieb verejnej správy na občana</w:t>
            </w:r>
          </w:p>
        </w:tc>
        <w:sdt>
          <w:sdtPr>
            <w:rPr>
              <w:lang w:eastAsia="en-US"/>
            </w:rPr>
            <w:id w:val="-1688362683"/>
          </w:sdtPr>
          <w:sdtContent>
            <w:tc>
              <w:tcPr>
                <w:tcW w:w="541" w:type="dxa"/>
                <w:tcBorders>
                  <w:top w:val="nil"/>
                  <w:left w:val="single" w:sz="4" w:space="0" w:color="auto"/>
                  <w:bottom w:val="nil"/>
                  <w:right w:val="nil"/>
                </w:tcBorders>
                <w:hideMark/>
              </w:tcPr>
              <w:p w:rsidR="00377F01" w:rsidRDefault="00377F01">
                <w:pPr>
                  <w:spacing w:line="276" w:lineRule="auto"/>
                  <w:jc w:val="center"/>
                  <w:rPr>
                    <w:lang w:eastAsia="en-US"/>
                  </w:rPr>
                </w:pPr>
                <w:r>
                  <w:rPr>
                    <w:rFonts w:ascii="MS Gothic" w:eastAsia="MS Gothic" w:hAnsi="MS Gothic" w:hint="eastAsia"/>
                    <w:lang w:eastAsia="en-US"/>
                  </w:rPr>
                  <w:t>☐</w:t>
                </w:r>
              </w:p>
            </w:tc>
          </w:sdtContent>
        </w:sdt>
        <w:tc>
          <w:tcPr>
            <w:tcW w:w="1281" w:type="dxa"/>
            <w:tcBorders>
              <w:top w:val="nil"/>
              <w:left w:val="nil"/>
              <w:bottom w:val="nil"/>
              <w:right w:val="nil"/>
            </w:tcBorders>
            <w:hideMark/>
          </w:tcPr>
          <w:p w:rsidR="00377F01" w:rsidRDefault="00377F01">
            <w:pPr>
              <w:spacing w:line="276" w:lineRule="auto"/>
              <w:ind w:right="-108"/>
              <w:rPr>
                <w:lang w:eastAsia="en-US"/>
              </w:rPr>
            </w:pPr>
            <w:r>
              <w:rPr>
                <w:lang w:eastAsia="en-US"/>
              </w:rPr>
              <w:t>Pozitívne</w:t>
            </w:r>
          </w:p>
        </w:tc>
        <w:sdt>
          <w:sdtPr>
            <w:rPr>
              <w:b/>
              <w:lang w:eastAsia="en-US"/>
            </w:rPr>
            <w:id w:val="884985506"/>
          </w:sdtPr>
          <w:sdtContent>
            <w:tc>
              <w:tcPr>
                <w:tcW w:w="569" w:type="dxa"/>
                <w:tcBorders>
                  <w:top w:val="nil"/>
                  <w:left w:val="nil"/>
                  <w:bottom w:val="nil"/>
                  <w:right w:val="nil"/>
                </w:tcBorders>
                <w:hideMark/>
              </w:tcPr>
              <w:p w:rsidR="00377F01" w:rsidRDefault="00377F01">
                <w:pPr>
                  <w:spacing w:line="276" w:lineRule="auto"/>
                  <w:jc w:val="center"/>
                  <w:rPr>
                    <w:b/>
                    <w:lang w:eastAsia="en-US"/>
                  </w:rPr>
                </w:pPr>
                <w:r>
                  <w:rPr>
                    <w:rFonts w:ascii="MS Gothic" w:eastAsia="MS Gothic" w:hAnsi="MS Gothic" w:hint="eastAsia"/>
                    <w:b/>
                    <w:lang w:eastAsia="en-US"/>
                  </w:rPr>
                  <w:t>☒</w:t>
                </w:r>
              </w:p>
            </w:tc>
          </w:sdtContent>
        </w:sdt>
        <w:tc>
          <w:tcPr>
            <w:tcW w:w="1133" w:type="dxa"/>
            <w:tcBorders>
              <w:top w:val="nil"/>
              <w:left w:val="nil"/>
              <w:bottom w:val="nil"/>
              <w:right w:val="nil"/>
            </w:tcBorders>
            <w:hideMark/>
          </w:tcPr>
          <w:p w:rsidR="00377F01" w:rsidRDefault="00377F01">
            <w:pPr>
              <w:spacing w:line="276" w:lineRule="auto"/>
              <w:rPr>
                <w:b/>
                <w:lang w:eastAsia="en-US"/>
              </w:rPr>
            </w:pPr>
            <w:r>
              <w:rPr>
                <w:b/>
                <w:lang w:eastAsia="en-US"/>
              </w:rPr>
              <w:t>Žiadne</w:t>
            </w:r>
          </w:p>
        </w:tc>
        <w:sdt>
          <w:sdtPr>
            <w:rPr>
              <w:lang w:eastAsia="en-US"/>
            </w:rPr>
            <w:id w:val="-2146805846"/>
          </w:sdtPr>
          <w:sdtContent>
            <w:tc>
              <w:tcPr>
                <w:tcW w:w="547" w:type="dxa"/>
                <w:tcBorders>
                  <w:top w:val="nil"/>
                  <w:left w:val="nil"/>
                  <w:bottom w:val="nil"/>
                  <w:right w:val="nil"/>
                </w:tcBorders>
                <w:hideMark/>
              </w:tcPr>
              <w:p w:rsidR="00377F01" w:rsidRDefault="00377F01">
                <w:pPr>
                  <w:spacing w:line="276" w:lineRule="auto"/>
                  <w:jc w:val="center"/>
                  <w:rPr>
                    <w:lang w:eastAsia="en-US"/>
                  </w:rPr>
                </w:pPr>
                <w:r>
                  <w:rPr>
                    <w:rFonts w:ascii="MS Mincho" w:eastAsia="MS Mincho" w:hAnsi="MS Mincho" w:cs="MS Mincho" w:hint="eastAsia"/>
                    <w:lang w:eastAsia="en-US"/>
                  </w:rPr>
                  <w:t>☐</w:t>
                </w:r>
              </w:p>
            </w:tc>
          </w:sdtContent>
        </w:sdt>
        <w:tc>
          <w:tcPr>
            <w:tcW w:w="1297" w:type="dxa"/>
            <w:tcBorders>
              <w:top w:val="nil"/>
              <w:left w:val="nil"/>
              <w:bottom w:val="nil"/>
              <w:right w:val="single" w:sz="4" w:space="0" w:color="auto"/>
            </w:tcBorders>
            <w:hideMark/>
          </w:tcPr>
          <w:p w:rsidR="00377F01" w:rsidRDefault="00377F01">
            <w:pPr>
              <w:spacing w:line="276" w:lineRule="auto"/>
              <w:rPr>
                <w:lang w:eastAsia="en-US"/>
              </w:rPr>
            </w:pPr>
            <w:r>
              <w:rPr>
                <w:lang w:eastAsia="en-US"/>
              </w:rPr>
              <w:t>Negatívne</w:t>
            </w:r>
          </w:p>
        </w:tc>
      </w:tr>
      <w:tr w:rsidR="00377F01" w:rsidTr="00377F01">
        <w:tc>
          <w:tcPr>
            <w:tcW w:w="3812" w:type="dxa"/>
            <w:tcBorders>
              <w:top w:val="nil"/>
              <w:left w:val="single" w:sz="4" w:space="0" w:color="auto"/>
              <w:bottom w:val="single" w:sz="4" w:space="0" w:color="auto"/>
              <w:right w:val="single" w:sz="4" w:space="0" w:color="auto"/>
            </w:tcBorders>
            <w:shd w:val="clear" w:color="auto" w:fill="E2E2E2"/>
            <w:hideMark/>
          </w:tcPr>
          <w:p w:rsidR="00377F01" w:rsidRDefault="00377F01">
            <w:pPr>
              <w:spacing w:line="276" w:lineRule="auto"/>
              <w:rPr>
                <w:rFonts w:eastAsia="Calibri"/>
                <w:b/>
                <w:lang w:eastAsia="en-US"/>
              </w:rPr>
            </w:pPr>
            <w:r>
              <w:rPr>
                <w:rFonts w:eastAsia="Calibri"/>
                <w:b/>
                <w:lang w:eastAsia="en-US"/>
              </w:rPr>
              <w:t xml:space="preserve">    vplyvy na procesy služieb vo verejnej správe</w:t>
            </w:r>
          </w:p>
        </w:tc>
        <w:sdt>
          <w:sdtPr>
            <w:rPr>
              <w:lang w:eastAsia="en-US"/>
            </w:rPr>
            <w:id w:val="-113984565"/>
          </w:sdtPr>
          <w:sdtContent>
            <w:tc>
              <w:tcPr>
                <w:tcW w:w="541" w:type="dxa"/>
                <w:tcBorders>
                  <w:top w:val="nil"/>
                  <w:left w:val="single" w:sz="4" w:space="0" w:color="auto"/>
                  <w:bottom w:val="single" w:sz="4" w:space="0" w:color="auto"/>
                  <w:right w:val="nil"/>
                </w:tcBorders>
                <w:hideMark/>
              </w:tcPr>
              <w:p w:rsidR="00377F01" w:rsidRDefault="00377F01">
                <w:pPr>
                  <w:spacing w:line="276" w:lineRule="auto"/>
                  <w:jc w:val="center"/>
                  <w:rPr>
                    <w:lang w:eastAsia="en-US"/>
                  </w:rPr>
                </w:pPr>
                <w:r>
                  <w:rPr>
                    <w:rFonts w:ascii="MS Gothic" w:eastAsia="MS Gothic" w:hAnsi="MS Gothic" w:hint="eastAsia"/>
                    <w:lang w:eastAsia="en-US"/>
                  </w:rPr>
                  <w:t>☐</w:t>
                </w:r>
              </w:p>
            </w:tc>
          </w:sdtContent>
        </w:sdt>
        <w:tc>
          <w:tcPr>
            <w:tcW w:w="1281" w:type="dxa"/>
            <w:tcBorders>
              <w:top w:val="nil"/>
              <w:left w:val="nil"/>
              <w:bottom w:val="single" w:sz="4" w:space="0" w:color="auto"/>
              <w:right w:val="nil"/>
            </w:tcBorders>
            <w:hideMark/>
          </w:tcPr>
          <w:p w:rsidR="00377F01" w:rsidRDefault="00377F01">
            <w:pPr>
              <w:spacing w:line="276" w:lineRule="auto"/>
              <w:ind w:right="-108"/>
              <w:rPr>
                <w:lang w:eastAsia="en-US"/>
              </w:rPr>
            </w:pPr>
            <w:r>
              <w:rPr>
                <w:lang w:eastAsia="en-US"/>
              </w:rPr>
              <w:t>Pozitívne</w:t>
            </w:r>
          </w:p>
        </w:tc>
        <w:sdt>
          <w:sdtPr>
            <w:rPr>
              <w:b/>
              <w:lang w:eastAsia="en-US"/>
            </w:rPr>
            <w:id w:val="-1325040833"/>
          </w:sdtPr>
          <w:sdtContent>
            <w:tc>
              <w:tcPr>
                <w:tcW w:w="569" w:type="dxa"/>
                <w:tcBorders>
                  <w:top w:val="nil"/>
                  <w:left w:val="nil"/>
                  <w:bottom w:val="single" w:sz="4" w:space="0" w:color="auto"/>
                  <w:right w:val="nil"/>
                </w:tcBorders>
                <w:hideMark/>
              </w:tcPr>
              <w:p w:rsidR="00377F01" w:rsidRDefault="00377F01">
                <w:pPr>
                  <w:spacing w:line="276" w:lineRule="auto"/>
                  <w:jc w:val="center"/>
                  <w:rPr>
                    <w:b/>
                    <w:lang w:eastAsia="en-US"/>
                  </w:rPr>
                </w:pPr>
                <w:r>
                  <w:rPr>
                    <w:rFonts w:ascii="MS Gothic" w:eastAsia="MS Gothic" w:hAnsi="MS Gothic" w:hint="eastAsia"/>
                    <w:b/>
                    <w:lang w:eastAsia="en-US"/>
                  </w:rPr>
                  <w:t>☒</w:t>
                </w:r>
              </w:p>
            </w:tc>
          </w:sdtContent>
        </w:sdt>
        <w:tc>
          <w:tcPr>
            <w:tcW w:w="1133" w:type="dxa"/>
            <w:tcBorders>
              <w:top w:val="nil"/>
              <w:left w:val="nil"/>
              <w:bottom w:val="single" w:sz="4" w:space="0" w:color="auto"/>
              <w:right w:val="nil"/>
            </w:tcBorders>
            <w:hideMark/>
          </w:tcPr>
          <w:p w:rsidR="00377F01" w:rsidRDefault="00377F01">
            <w:pPr>
              <w:spacing w:line="276" w:lineRule="auto"/>
              <w:rPr>
                <w:b/>
                <w:lang w:eastAsia="en-US"/>
              </w:rPr>
            </w:pPr>
            <w:r>
              <w:rPr>
                <w:b/>
                <w:lang w:eastAsia="en-US"/>
              </w:rPr>
              <w:t>Žiadne</w:t>
            </w:r>
          </w:p>
        </w:tc>
        <w:sdt>
          <w:sdtPr>
            <w:rPr>
              <w:lang w:eastAsia="en-US"/>
            </w:rPr>
            <w:id w:val="2018029189"/>
          </w:sdtPr>
          <w:sdtContent>
            <w:tc>
              <w:tcPr>
                <w:tcW w:w="547" w:type="dxa"/>
                <w:tcBorders>
                  <w:top w:val="nil"/>
                  <w:left w:val="nil"/>
                  <w:bottom w:val="single" w:sz="4" w:space="0" w:color="auto"/>
                  <w:right w:val="nil"/>
                </w:tcBorders>
                <w:hideMark/>
              </w:tcPr>
              <w:p w:rsidR="00377F01" w:rsidRDefault="00377F01">
                <w:pPr>
                  <w:spacing w:line="276" w:lineRule="auto"/>
                  <w:jc w:val="center"/>
                  <w:rPr>
                    <w:lang w:eastAsia="en-US"/>
                  </w:rPr>
                </w:pPr>
                <w:r>
                  <w:rPr>
                    <w:rFonts w:ascii="MS Mincho" w:eastAsia="MS Mincho" w:hAnsi="MS Mincho" w:cs="MS Mincho" w:hint="eastAsia"/>
                    <w:lang w:eastAsia="en-US"/>
                  </w:rPr>
                  <w:t>☐</w:t>
                </w:r>
              </w:p>
            </w:tc>
          </w:sdtContent>
        </w:sdt>
        <w:tc>
          <w:tcPr>
            <w:tcW w:w="1297" w:type="dxa"/>
            <w:tcBorders>
              <w:top w:val="nil"/>
              <w:left w:val="nil"/>
              <w:bottom w:val="single" w:sz="4" w:space="0" w:color="auto"/>
              <w:right w:val="single" w:sz="4" w:space="0" w:color="auto"/>
            </w:tcBorders>
            <w:hideMark/>
          </w:tcPr>
          <w:p w:rsidR="00377F01" w:rsidRDefault="00377F01">
            <w:pPr>
              <w:spacing w:line="276" w:lineRule="auto"/>
              <w:rPr>
                <w:lang w:eastAsia="en-US"/>
              </w:rPr>
            </w:pPr>
            <w:r>
              <w:rPr>
                <w:lang w:eastAsia="en-US"/>
              </w:rPr>
              <w:t>Negatívne</w:t>
            </w:r>
          </w:p>
        </w:tc>
      </w:tr>
    </w:tbl>
    <w:p w:rsidR="00377F01" w:rsidRDefault="00377F01" w:rsidP="00377F01">
      <w:pPr>
        <w:ind w:right="141"/>
        <w:rPr>
          <w:b/>
        </w:rPr>
      </w:pPr>
    </w:p>
    <w:tbl>
      <w:tblPr>
        <w:tblStyle w:val="Mriekatabuky"/>
        <w:tblW w:w="0" w:type="dxa"/>
        <w:tblLayout w:type="fixed"/>
        <w:tblLook w:val="04A0" w:firstRow="1" w:lastRow="0" w:firstColumn="1" w:lastColumn="0" w:noHBand="0" w:noVBand="1"/>
      </w:tblPr>
      <w:tblGrid>
        <w:gridCol w:w="9176"/>
      </w:tblGrid>
      <w:tr w:rsidR="00377F01" w:rsidTr="00377F01">
        <w:tc>
          <w:tcPr>
            <w:tcW w:w="9176" w:type="dxa"/>
            <w:tcBorders>
              <w:top w:val="single" w:sz="4" w:space="0" w:color="auto"/>
              <w:left w:val="single" w:sz="4" w:space="0" w:color="auto"/>
              <w:bottom w:val="nil"/>
              <w:right w:val="single" w:sz="4" w:space="0" w:color="auto"/>
            </w:tcBorders>
            <w:shd w:val="clear" w:color="auto" w:fill="E2E2E2"/>
            <w:hideMark/>
          </w:tcPr>
          <w:p w:rsidR="00377F01" w:rsidRDefault="00377F01" w:rsidP="00377F01">
            <w:pPr>
              <w:pStyle w:val="Odsekzoznamu"/>
              <w:spacing w:after="0" w:line="240" w:lineRule="auto"/>
              <w:ind w:left="0"/>
              <w:rPr>
                <w:rFonts w:ascii="Times New Roman" w:hAnsi="Times New Roman" w:cs="Times New Roman"/>
                <w:b/>
              </w:rPr>
            </w:pPr>
            <w:r>
              <w:rPr>
                <w:rFonts w:ascii="Times New Roman" w:hAnsi="Times New Roman" w:cs="Times New Roman"/>
                <w:b/>
              </w:rPr>
              <w:t>Poznámky</w:t>
            </w:r>
          </w:p>
        </w:tc>
      </w:tr>
      <w:tr w:rsidR="00377F01" w:rsidTr="00377F01">
        <w:trPr>
          <w:trHeight w:val="713"/>
        </w:trPr>
        <w:tc>
          <w:tcPr>
            <w:tcW w:w="9176" w:type="dxa"/>
            <w:tcBorders>
              <w:top w:val="nil"/>
              <w:left w:val="single" w:sz="4" w:space="0" w:color="auto"/>
              <w:bottom w:val="single" w:sz="4" w:space="0" w:color="FFFFFF" w:themeColor="background1"/>
              <w:right w:val="single" w:sz="4" w:space="0" w:color="auto"/>
            </w:tcBorders>
          </w:tcPr>
          <w:p w:rsidR="00377F01" w:rsidRDefault="00377F01">
            <w:pPr>
              <w:jc w:val="both"/>
              <w:rPr>
                <w:u w:val="single"/>
                <w:lang w:eastAsia="en-US"/>
              </w:rPr>
            </w:pPr>
          </w:p>
          <w:p w:rsidR="00377F01" w:rsidRDefault="00377F01">
            <w:pPr>
              <w:jc w:val="both"/>
              <w:rPr>
                <w:color w:val="000000" w:themeColor="text1"/>
                <w:lang w:eastAsia="en-US"/>
              </w:rPr>
            </w:pPr>
            <w:r>
              <w:rPr>
                <w:u w:val="single"/>
                <w:lang w:eastAsia="en-US"/>
              </w:rPr>
              <w:t>Vplyvy na rozpočet verejnej správy</w:t>
            </w:r>
            <w:r>
              <w:rPr>
                <w:lang w:eastAsia="en-US"/>
              </w:rPr>
              <w:t xml:space="preserve"> – </w:t>
            </w:r>
            <w:r w:rsidRPr="004E1F20">
              <w:rPr>
                <w:i/>
                <w:color w:val="000000" w:themeColor="text1"/>
                <w:lang w:eastAsia="en-US"/>
              </w:rPr>
              <w:t xml:space="preserve">celkový vplyv na rozpočet útvarov sociálneho zabezpečenia a Vojenského úradu sociálneho zabezpečenia bude </w:t>
            </w:r>
            <w:r w:rsidRPr="004E1F20">
              <w:rPr>
                <w:i/>
                <w:lang w:eastAsia="en-US"/>
              </w:rPr>
              <w:t>pozitívny</w:t>
            </w:r>
            <w:r w:rsidR="00EB1F43" w:rsidRPr="004E1F20">
              <w:rPr>
                <w:i/>
                <w:lang w:eastAsia="en-US"/>
              </w:rPr>
              <w:t>,</w:t>
            </w:r>
            <w:r w:rsidRPr="004E1F20">
              <w:rPr>
                <w:i/>
                <w:lang w:eastAsia="en-US"/>
              </w:rPr>
              <w:t xml:space="preserve"> z dôvodu zníženia výdavkov osobitných účtov na zvýšenie </w:t>
            </w:r>
            <w:r w:rsidR="00602B3C" w:rsidRPr="004E1F20">
              <w:rPr>
                <w:i/>
                <w:lang w:eastAsia="en-US"/>
              </w:rPr>
              <w:t>dôchodkových dávok</w:t>
            </w:r>
            <w:r w:rsidR="00602B3C" w:rsidRPr="004E1F20">
              <w:rPr>
                <w:i/>
                <w:color w:val="FF0000"/>
                <w:lang w:eastAsia="en-US"/>
              </w:rPr>
              <w:t xml:space="preserve"> </w:t>
            </w:r>
            <w:r w:rsidR="00602B3C" w:rsidRPr="004E1F20">
              <w:rPr>
                <w:i/>
                <w:lang w:eastAsia="en-US"/>
              </w:rPr>
              <w:t>výsluhového zabezpečenia</w:t>
            </w:r>
            <w:r w:rsidR="004E1F20">
              <w:rPr>
                <w:lang w:eastAsia="en-US"/>
              </w:rPr>
              <w:t>.</w:t>
            </w:r>
          </w:p>
          <w:p w:rsidR="00377F01" w:rsidRPr="004E1F20" w:rsidRDefault="00377F01">
            <w:pPr>
              <w:jc w:val="both"/>
              <w:rPr>
                <w:i/>
                <w:lang w:eastAsia="en-US"/>
              </w:rPr>
            </w:pPr>
            <w:r>
              <w:rPr>
                <w:u w:val="single"/>
                <w:lang w:eastAsia="en-US"/>
              </w:rPr>
              <w:t>Sociálne vplyvy</w:t>
            </w:r>
            <w:r>
              <w:rPr>
                <w:lang w:eastAsia="en-US"/>
              </w:rPr>
              <w:t xml:space="preserve"> – </w:t>
            </w:r>
            <w:r w:rsidRPr="004E1F20">
              <w:rPr>
                <w:i/>
                <w:lang w:eastAsia="en-US"/>
              </w:rPr>
              <w:t xml:space="preserve">pozitívny vplyv na výšku nominálnych hodnôt </w:t>
            </w:r>
            <w:r w:rsidR="004E1F20" w:rsidRPr="004E1F20">
              <w:rPr>
                <w:i/>
                <w:lang w:eastAsia="en-US"/>
              </w:rPr>
              <w:t>dôchodkových</w:t>
            </w:r>
            <w:r w:rsidR="00602B3C" w:rsidRPr="004E1F20">
              <w:rPr>
                <w:i/>
                <w:lang w:eastAsia="en-US"/>
              </w:rPr>
              <w:t xml:space="preserve"> dávok výsluhového zabezpečenia </w:t>
            </w:r>
            <w:r w:rsidRPr="004E1F20">
              <w:rPr>
                <w:i/>
                <w:lang w:eastAsia="en-US"/>
              </w:rPr>
              <w:t>u </w:t>
            </w:r>
            <w:r w:rsidR="00234429" w:rsidRPr="004E1F20">
              <w:rPr>
                <w:i/>
                <w:lang w:eastAsia="en-US"/>
              </w:rPr>
              <w:t>dotknutých subjektov.</w:t>
            </w:r>
          </w:p>
          <w:p w:rsidR="00377F01" w:rsidRDefault="00377F01">
            <w:pPr>
              <w:pStyle w:val="Odsekzoznamu"/>
              <w:spacing w:after="0" w:line="240" w:lineRule="auto"/>
              <w:ind w:left="0"/>
              <w:rPr>
                <w:rFonts w:ascii="Times New Roman" w:hAnsi="Times New Roman" w:cs="Times New Roman"/>
                <w:b/>
              </w:rPr>
            </w:pPr>
          </w:p>
        </w:tc>
      </w:tr>
      <w:tr w:rsidR="00377F01" w:rsidTr="00377F01">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hideMark/>
          </w:tcPr>
          <w:p w:rsidR="00377F01" w:rsidRDefault="00377F01" w:rsidP="00377F01">
            <w:pPr>
              <w:pStyle w:val="Odsekzoznamu"/>
              <w:spacing w:after="0" w:line="240" w:lineRule="auto"/>
              <w:ind w:left="0"/>
              <w:rPr>
                <w:rFonts w:ascii="Times New Roman" w:hAnsi="Times New Roman" w:cs="Times New Roman"/>
                <w:b/>
              </w:rPr>
            </w:pPr>
            <w:r>
              <w:rPr>
                <w:rFonts w:ascii="Times New Roman" w:hAnsi="Times New Roman" w:cs="Times New Roman"/>
                <w:b/>
              </w:rPr>
              <w:t>Kontakt na spracovateľa</w:t>
            </w:r>
          </w:p>
        </w:tc>
      </w:tr>
      <w:tr w:rsidR="00377F01" w:rsidTr="00377F01">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hideMark/>
          </w:tcPr>
          <w:p w:rsidR="00377F01" w:rsidRDefault="00377F01">
            <w:pPr>
              <w:rPr>
                <w:lang w:eastAsia="en-US"/>
              </w:rPr>
            </w:pPr>
            <w:r>
              <w:rPr>
                <w:lang w:eastAsia="en-US"/>
              </w:rPr>
              <w:t xml:space="preserve">JUDr. Ivan </w:t>
            </w:r>
            <w:proofErr w:type="spellStart"/>
            <w:r>
              <w:rPr>
                <w:lang w:eastAsia="en-US"/>
              </w:rPr>
              <w:t>Fufaľ</w:t>
            </w:r>
            <w:proofErr w:type="spellEnd"/>
          </w:p>
          <w:p w:rsidR="00377F01" w:rsidRDefault="008046BF">
            <w:pPr>
              <w:rPr>
                <w:lang w:eastAsia="en-US"/>
              </w:rPr>
            </w:pPr>
            <w:hyperlink r:id="rId9" w:history="1">
              <w:r w:rsidR="00377F01">
                <w:rPr>
                  <w:rStyle w:val="Hypertextovprepojenie"/>
                  <w:lang w:eastAsia="en-US"/>
                </w:rPr>
                <w:t>ivan.fufal@minv.sk</w:t>
              </w:r>
            </w:hyperlink>
          </w:p>
          <w:p w:rsidR="00377F01" w:rsidRDefault="00377F01">
            <w:pPr>
              <w:rPr>
                <w:lang w:eastAsia="en-US"/>
              </w:rPr>
            </w:pPr>
            <w:r>
              <w:rPr>
                <w:lang w:eastAsia="en-US"/>
              </w:rPr>
              <w:t>09610 56 800</w:t>
            </w:r>
          </w:p>
        </w:tc>
      </w:tr>
      <w:tr w:rsidR="00377F01" w:rsidTr="00377F01">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hideMark/>
          </w:tcPr>
          <w:p w:rsidR="00377F01" w:rsidRDefault="00377F01" w:rsidP="00377F01">
            <w:pPr>
              <w:pStyle w:val="Odsekzoznamu"/>
              <w:spacing w:after="0" w:line="240" w:lineRule="auto"/>
              <w:ind w:left="0"/>
              <w:rPr>
                <w:rFonts w:ascii="Times New Roman" w:hAnsi="Times New Roman" w:cs="Times New Roman"/>
                <w:b/>
              </w:rPr>
            </w:pPr>
            <w:r>
              <w:rPr>
                <w:rFonts w:ascii="Times New Roman" w:hAnsi="Times New Roman" w:cs="Times New Roman"/>
                <w:b/>
              </w:rPr>
              <w:t>Zdroje</w:t>
            </w:r>
          </w:p>
        </w:tc>
      </w:tr>
      <w:tr w:rsidR="00377F01" w:rsidTr="00377F01">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hideMark/>
          </w:tcPr>
          <w:p w:rsidR="00377F01" w:rsidRDefault="00377F01">
            <w:pPr>
              <w:rPr>
                <w:lang w:eastAsia="en-US"/>
              </w:rPr>
            </w:pPr>
            <w:r>
              <w:rPr>
                <w:lang w:eastAsia="en-US"/>
              </w:rPr>
              <w:t xml:space="preserve"> údaje útvarov sociálneho zabezpečenia a Vojenského úradu sociálneho zabezpečenia, </w:t>
            </w:r>
          </w:p>
          <w:p w:rsidR="00377F01" w:rsidRDefault="00377F01">
            <w:pPr>
              <w:rPr>
                <w:lang w:eastAsia="en-US"/>
              </w:rPr>
            </w:pPr>
            <w:r>
              <w:rPr>
                <w:lang w:eastAsia="en-US"/>
              </w:rPr>
              <w:t xml:space="preserve"> údaje Sociálnej poisťovne o priemernej výške dôchodkových dávok ku dňu 30.06.2018</w:t>
            </w:r>
          </w:p>
          <w:p w:rsidR="00377F01" w:rsidRDefault="00377F01">
            <w:pPr>
              <w:rPr>
                <w:lang w:eastAsia="en-US"/>
              </w:rPr>
            </w:pPr>
            <w:r>
              <w:rPr>
                <w:lang w:eastAsia="en-US"/>
              </w:rPr>
              <w:t xml:space="preserve"> Inštitút finančnej politiky - Makroekonomická prognóza 46. zasadnutie výboru pre makroekonomické  </w:t>
            </w:r>
          </w:p>
          <w:p w:rsidR="00377F01" w:rsidRDefault="00377F01">
            <w:pPr>
              <w:rPr>
                <w:lang w:eastAsia="en-US"/>
              </w:rPr>
            </w:pPr>
            <w:r>
              <w:rPr>
                <w:lang w:eastAsia="en-US"/>
              </w:rPr>
              <w:t xml:space="preserve"> prognózy (september 2018) </w:t>
            </w:r>
          </w:p>
          <w:p w:rsidR="00377F01" w:rsidRDefault="00377F01">
            <w:pPr>
              <w:rPr>
                <w:b/>
                <w:lang w:eastAsia="en-US"/>
              </w:rPr>
            </w:pPr>
            <w:r>
              <w:rPr>
                <w:lang w:eastAsia="en-US"/>
              </w:rPr>
              <w:t xml:space="preserve"> </w:t>
            </w:r>
          </w:p>
        </w:tc>
      </w:tr>
      <w:tr w:rsidR="00377F01" w:rsidTr="00377F01">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hideMark/>
          </w:tcPr>
          <w:p w:rsidR="00377F01" w:rsidRDefault="00377F01" w:rsidP="00377F01">
            <w:pPr>
              <w:pStyle w:val="Odsekzoznamu"/>
              <w:spacing w:after="0" w:line="240" w:lineRule="auto"/>
              <w:ind w:left="0"/>
              <w:rPr>
                <w:rFonts w:ascii="Times New Roman" w:hAnsi="Times New Roman" w:cs="Times New Roman"/>
                <w:b/>
              </w:rPr>
            </w:pPr>
            <w:r>
              <w:rPr>
                <w:rFonts w:ascii="Times New Roman" w:hAnsi="Times New Roman" w:cs="Times New Roman"/>
                <w:b/>
              </w:rPr>
              <w:t>Stanovisko Komisie pre posudzovanie vybraných vplyvov z PPK</w:t>
            </w:r>
          </w:p>
        </w:tc>
      </w:tr>
      <w:tr w:rsidR="00377F01" w:rsidTr="00377F01">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77F01" w:rsidRDefault="00377F01">
            <w:pPr>
              <w:jc w:val="both"/>
              <w:rPr>
                <w:lang w:eastAsia="en-US"/>
              </w:rPr>
            </w:pPr>
          </w:p>
          <w:p w:rsidR="00377F01" w:rsidRDefault="00377F01">
            <w:pPr>
              <w:jc w:val="both"/>
              <w:rPr>
                <w:lang w:eastAsia="en-US"/>
              </w:rPr>
            </w:pPr>
          </w:p>
          <w:p w:rsidR="00377F01" w:rsidRDefault="00377F01">
            <w:pPr>
              <w:jc w:val="both"/>
              <w:rPr>
                <w:lang w:eastAsia="en-US"/>
              </w:rPr>
            </w:pPr>
          </w:p>
        </w:tc>
      </w:tr>
    </w:tbl>
    <w:p w:rsidR="00377F01" w:rsidRDefault="00377F01" w:rsidP="00377F01">
      <w:pPr>
        <w:rPr>
          <w:b/>
        </w:rPr>
      </w:pPr>
    </w:p>
    <w:p w:rsidR="00377F01" w:rsidRDefault="00377F01" w:rsidP="00377F01">
      <w:pPr>
        <w:rPr>
          <w:b/>
        </w:rPr>
      </w:pPr>
    </w:p>
    <w:p w:rsidR="00377F01" w:rsidRDefault="00377F01" w:rsidP="00377F01"/>
    <w:p w:rsidR="00B37580" w:rsidRDefault="00B37580">
      <w:pPr>
        <w:spacing w:after="200" w:line="276" w:lineRule="auto"/>
      </w:pPr>
      <w:r>
        <w:br w:type="page"/>
      </w:r>
    </w:p>
    <w:p w:rsidR="00B37580" w:rsidRPr="00B37580" w:rsidRDefault="00B37580" w:rsidP="00B37580">
      <w:pPr>
        <w:jc w:val="center"/>
        <w:rPr>
          <w:b/>
          <w:bCs/>
          <w:sz w:val="28"/>
          <w:szCs w:val="28"/>
        </w:rPr>
      </w:pPr>
      <w:r w:rsidRPr="00B37580">
        <w:rPr>
          <w:b/>
          <w:bCs/>
          <w:sz w:val="28"/>
          <w:szCs w:val="28"/>
        </w:rPr>
        <w:lastRenderedPageBreak/>
        <w:t>Analýza vplyvov na rozpočet verejnej správy,</w:t>
      </w:r>
    </w:p>
    <w:p w:rsidR="00B37580" w:rsidRPr="00B37580" w:rsidRDefault="00B37580" w:rsidP="00B37580">
      <w:pPr>
        <w:jc w:val="center"/>
        <w:rPr>
          <w:b/>
          <w:bCs/>
          <w:sz w:val="28"/>
          <w:szCs w:val="28"/>
        </w:rPr>
      </w:pPr>
      <w:r w:rsidRPr="00B37580">
        <w:rPr>
          <w:b/>
          <w:bCs/>
          <w:sz w:val="28"/>
          <w:szCs w:val="28"/>
        </w:rPr>
        <w:t>na zamestnanosť vo verejnej správe a financovanie návrhu</w:t>
      </w:r>
    </w:p>
    <w:p w:rsidR="00B37580" w:rsidRPr="00B37580" w:rsidRDefault="00B37580" w:rsidP="00B37580">
      <w:pPr>
        <w:rPr>
          <w:b/>
          <w:bCs/>
          <w:sz w:val="24"/>
          <w:szCs w:val="24"/>
        </w:rPr>
      </w:pPr>
    </w:p>
    <w:p w:rsidR="00B37580" w:rsidRPr="00B37580" w:rsidRDefault="00B37580" w:rsidP="00B37580">
      <w:pPr>
        <w:rPr>
          <w:b/>
          <w:bCs/>
          <w:sz w:val="24"/>
          <w:szCs w:val="24"/>
        </w:rPr>
      </w:pPr>
      <w:r w:rsidRPr="00B37580">
        <w:rPr>
          <w:b/>
          <w:bCs/>
          <w:sz w:val="24"/>
          <w:szCs w:val="24"/>
        </w:rPr>
        <w:t>2.1 Zhrnutie vplyvov na rozpočet verejnej správy v návrhu</w:t>
      </w:r>
    </w:p>
    <w:p w:rsidR="00B37580" w:rsidRPr="00B37580" w:rsidRDefault="00B37580" w:rsidP="00B37580">
      <w:pPr>
        <w:jc w:val="right"/>
      </w:pPr>
      <w:r w:rsidRPr="00B37580">
        <w:t xml:space="preserve">Tabuľka č. 1 </w:t>
      </w:r>
    </w:p>
    <w:tbl>
      <w:tblPr>
        <w:tblW w:w="14449" w:type="dxa"/>
        <w:tblInd w:w="55" w:type="dxa"/>
        <w:tblCellMar>
          <w:left w:w="70" w:type="dxa"/>
          <w:right w:w="70" w:type="dxa"/>
        </w:tblCellMar>
        <w:tblLook w:val="04A0" w:firstRow="1" w:lastRow="0" w:firstColumn="1" w:lastColumn="0" w:noHBand="0" w:noVBand="1"/>
      </w:tblPr>
      <w:tblGrid>
        <w:gridCol w:w="4835"/>
        <w:gridCol w:w="1134"/>
        <w:gridCol w:w="1215"/>
        <w:gridCol w:w="1215"/>
        <w:gridCol w:w="1215"/>
        <w:gridCol w:w="4835"/>
      </w:tblGrid>
      <w:tr w:rsidR="00B37580" w:rsidRPr="00B37580" w:rsidTr="008046BF">
        <w:trPr>
          <w:gridAfter w:val="1"/>
          <w:wAfter w:w="4835" w:type="dxa"/>
          <w:trHeight w:val="392"/>
        </w:trPr>
        <w:tc>
          <w:tcPr>
            <w:tcW w:w="4835"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B37580" w:rsidRPr="00B37580" w:rsidRDefault="00B37580" w:rsidP="00B37580">
            <w:pPr>
              <w:jc w:val="center"/>
              <w:rPr>
                <w:rFonts w:ascii="Arial Narrow" w:hAnsi="Arial Narrow"/>
                <w:b/>
                <w:bCs/>
                <w:color w:val="000000"/>
              </w:rPr>
            </w:pPr>
            <w:bookmarkStart w:id="0" w:name="RANGE!B42"/>
            <w:bookmarkEnd w:id="0"/>
            <w:r w:rsidRPr="00B37580">
              <w:rPr>
                <w:rFonts w:ascii="Arial Narrow" w:hAnsi="Arial Narrow"/>
                <w:b/>
                <w:bCs/>
                <w:color w:val="000000"/>
              </w:rPr>
              <w:t>Vplyvy na rozpočet verejnej správy</w:t>
            </w:r>
          </w:p>
        </w:tc>
        <w:tc>
          <w:tcPr>
            <w:tcW w:w="4779" w:type="dxa"/>
            <w:gridSpan w:val="4"/>
            <w:tcBorders>
              <w:top w:val="single" w:sz="8" w:space="0" w:color="auto"/>
              <w:left w:val="nil"/>
              <w:bottom w:val="single" w:sz="8" w:space="0" w:color="auto"/>
              <w:right w:val="single" w:sz="8" w:space="0" w:color="000000"/>
            </w:tcBorders>
            <w:shd w:val="clear" w:color="000000" w:fill="BFBFBF"/>
            <w:vAlign w:val="center"/>
            <w:hideMark/>
          </w:tcPr>
          <w:p w:rsidR="00B37580" w:rsidRPr="00B37580" w:rsidRDefault="00B37580" w:rsidP="00B37580">
            <w:pPr>
              <w:jc w:val="center"/>
              <w:rPr>
                <w:rFonts w:ascii="Arial Narrow" w:hAnsi="Arial Narrow"/>
                <w:b/>
                <w:bCs/>
                <w:color w:val="000000"/>
              </w:rPr>
            </w:pPr>
            <w:r w:rsidRPr="00B37580">
              <w:rPr>
                <w:rFonts w:ascii="Arial Narrow" w:hAnsi="Arial Narrow"/>
                <w:b/>
                <w:bCs/>
                <w:color w:val="000000"/>
              </w:rPr>
              <w:t xml:space="preserve">Vplyv na rozpočet verejnej správy v eurách </w:t>
            </w:r>
          </w:p>
          <w:p w:rsidR="00B37580" w:rsidRPr="00B37580" w:rsidRDefault="00B37580" w:rsidP="00B37580">
            <w:pPr>
              <w:jc w:val="center"/>
              <w:rPr>
                <w:rFonts w:ascii="Arial Narrow" w:hAnsi="Arial Narrow"/>
                <w:b/>
                <w:bCs/>
                <w:color w:val="000000"/>
              </w:rPr>
            </w:pPr>
            <w:r w:rsidRPr="00B37580">
              <w:rPr>
                <w:b/>
                <w:bCs/>
              </w:rPr>
              <w:t>(</w:t>
            </w:r>
            <w:proofErr w:type="spellStart"/>
            <w:r w:rsidRPr="00B37580">
              <w:rPr>
                <w:b/>
                <w:bCs/>
              </w:rPr>
              <w:t>cash</w:t>
            </w:r>
            <w:proofErr w:type="spellEnd"/>
            <w:r w:rsidRPr="00B37580">
              <w:rPr>
                <w:b/>
                <w:bCs/>
              </w:rPr>
              <w:t xml:space="preserve"> = ESA2010)</w:t>
            </w:r>
          </w:p>
        </w:tc>
      </w:tr>
      <w:tr w:rsidR="00B37580" w:rsidRPr="00B37580" w:rsidTr="008046BF">
        <w:trPr>
          <w:gridAfter w:val="1"/>
          <w:wAfter w:w="4835" w:type="dxa"/>
          <w:trHeight w:val="62"/>
        </w:trPr>
        <w:tc>
          <w:tcPr>
            <w:tcW w:w="4835" w:type="dxa"/>
            <w:vMerge/>
            <w:tcBorders>
              <w:top w:val="single" w:sz="8" w:space="0" w:color="auto"/>
              <w:left w:val="single" w:sz="8" w:space="0" w:color="auto"/>
              <w:bottom w:val="single" w:sz="8" w:space="0" w:color="000000"/>
              <w:right w:val="single" w:sz="8" w:space="0" w:color="auto"/>
            </w:tcBorders>
            <w:vAlign w:val="center"/>
            <w:hideMark/>
          </w:tcPr>
          <w:p w:rsidR="00B37580" w:rsidRPr="00B37580" w:rsidRDefault="00B37580" w:rsidP="00B37580">
            <w:pPr>
              <w:rPr>
                <w:rFonts w:ascii="Arial Narrow" w:hAnsi="Arial Narrow"/>
                <w:b/>
                <w:bCs/>
                <w:color w:val="000000"/>
              </w:rPr>
            </w:pPr>
          </w:p>
        </w:tc>
        <w:tc>
          <w:tcPr>
            <w:tcW w:w="1134" w:type="dxa"/>
            <w:tcBorders>
              <w:top w:val="nil"/>
              <w:left w:val="nil"/>
              <w:bottom w:val="single" w:sz="8" w:space="0" w:color="auto"/>
              <w:right w:val="single" w:sz="8" w:space="0" w:color="auto"/>
            </w:tcBorders>
            <w:shd w:val="clear" w:color="000000" w:fill="BFBFBF"/>
            <w:vAlign w:val="center"/>
            <w:hideMark/>
          </w:tcPr>
          <w:p w:rsidR="00B37580" w:rsidRPr="00B37580" w:rsidRDefault="00B37580" w:rsidP="00B37580">
            <w:pPr>
              <w:jc w:val="center"/>
              <w:rPr>
                <w:rFonts w:ascii="Arial Narrow" w:hAnsi="Arial Narrow"/>
                <w:b/>
                <w:bCs/>
                <w:color w:val="000000"/>
              </w:rPr>
            </w:pPr>
            <w:r w:rsidRPr="00B37580">
              <w:rPr>
                <w:rFonts w:ascii="Arial Narrow" w:hAnsi="Arial Narrow"/>
                <w:b/>
                <w:bCs/>
                <w:color w:val="000000"/>
              </w:rPr>
              <w:t>2019</w:t>
            </w:r>
          </w:p>
        </w:tc>
        <w:tc>
          <w:tcPr>
            <w:tcW w:w="1215" w:type="dxa"/>
            <w:tcBorders>
              <w:top w:val="nil"/>
              <w:left w:val="nil"/>
              <w:bottom w:val="single" w:sz="8" w:space="0" w:color="auto"/>
              <w:right w:val="single" w:sz="8" w:space="0" w:color="auto"/>
            </w:tcBorders>
            <w:shd w:val="clear" w:color="000000" w:fill="BFBFBF"/>
            <w:vAlign w:val="center"/>
            <w:hideMark/>
          </w:tcPr>
          <w:p w:rsidR="00B37580" w:rsidRPr="00B37580" w:rsidRDefault="00B37580" w:rsidP="00B37580">
            <w:pPr>
              <w:jc w:val="center"/>
              <w:rPr>
                <w:rFonts w:ascii="Arial Narrow" w:hAnsi="Arial Narrow"/>
                <w:b/>
                <w:bCs/>
                <w:color w:val="000000"/>
              </w:rPr>
            </w:pPr>
            <w:r w:rsidRPr="00B37580">
              <w:rPr>
                <w:rFonts w:ascii="Arial Narrow" w:hAnsi="Arial Narrow"/>
                <w:b/>
                <w:bCs/>
                <w:color w:val="000000"/>
              </w:rPr>
              <w:t>2020</w:t>
            </w:r>
          </w:p>
        </w:tc>
        <w:tc>
          <w:tcPr>
            <w:tcW w:w="1215" w:type="dxa"/>
            <w:tcBorders>
              <w:top w:val="nil"/>
              <w:left w:val="nil"/>
              <w:bottom w:val="single" w:sz="8" w:space="0" w:color="auto"/>
              <w:right w:val="single" w:sz="8" w:space="0" w:color="auto"/>
            </w:tcBorders>
            <w:shd w:val="clear" w:color="000000" w:fill="BFBFBF"/>
            <w:vAlign w:val="center"/>
            <w:hideMark/>
          </w:tcPr>
          <w:p w:rsidR="00B37580" w:rsidRPr="00B37580" w:rsidRDefault="00B37580" w:rsidP="00B37580">
            <w:pPr>
              <w:jc w:val="center"/>
              <w:rPr>
                <w:rFonts w:ascii="Arial Narrow" w:hAnsi="Arial Narrow"/>
                <w:b/>
                <w:bCs/>
                <w:color w:val="000000"/>
              </w:rPr>
            </w:pPr>
            <w:r w:rsidRPr="00B37580">
              <w:rPr>
                <w:rFonts w:ascii="Arial Narrow" w:hAnsi="Arial Narrow"/>
                <w:b/>
                <w:bCs/>
                <w:color w:val="000000"/>
              </w:rPr>
              <w:t>2021</w:t>
            </w:r>
          </w:p>
        </w:tc>
        <w:tc>
          <w:tcPr>
            <w:tcW w:w="1215" w:type="dxa"/>
            <w:tcBorders>
              <w:top w:val="nil"/>
              <w:left w:val="nil"/>
              <w:bottom w:val="single" w:sz="8" w:space="0" w:color="auto"/>
              <w:right w:val="single" w:sz="8" w:space="0" w:color="auto"/>
            </w:tcBorders>
            <w:shd w:val="clear" w:color="000000" w:fill="BFBFBF"/>
            <w:vAlign w:val="center"/>
            <w:hideMark/>
          </w:tcPr>
          <w:p w:rsidR="00B37580" w:rsidRPr="00B37580" w:rsidRDefault="00B37580" w:rsidP="00B37580">
            <w:pPr>
              <w:jc w:val="center"/>
              <w:rPr>
                <w:rFonts w:ascii="Arial Narrow" w:hAnsi="Arial Narrow"/>
                <w:b/>
                <w:bCs/>
                <w:color w:val="000000"/>
              </w:rPr>
            </w:pPr>
            <w:r w:rsidRPr="00B37580">
              <w:rPr>
                <w:rFonts w:ascii="Arial Narrow" w:hAnsi="Arial Narrow"/>
                <w:b/>
                <w:bCs/>
                <w:color w:val="000000"/>
              </w:rPr>
              <w:t>2022</w:t>
            </w:r>
          </w:p>
        </w:tc>
      </w:tr>
      <w:tr w:rsidR="00B37580" w:rsidRPr="00B37580" w:rsidTr="008046BF">
        <w:trPr>
          <w:gridAfter w:val="1"/>
          <w:wAfter w:w="4835" w:type="dxa"/>
          <w:trHeight w:val="232"/>
        </w:trPr>
        <w:tc>
          <w:tcPr>
            <w:tcW w:w="4835" w:type="dxa"/>
            <w:tcBorders>
              <w:top w:val="nil"/>
              <w:left w:val="single" w:sz="8" w:space="0" w:color="auto"/>
              <w:bottom w:val="single" w:sz="8" w:space="0" w:color="auto"/>
              <w:right w:val="single" w:sz="8" w:space="0" w:color="auto"/>
            </w:tcBorders>
            <w:shd w:val="clear" w:color="000000" w:fill="C0C0C0"/>
            <w:noWrap/>
            <w:vAlign w:val="center"/>
            <w:hideMark/>
          </w:tcPr>
          <w:p w:rsidR="00B37580" w:rsidRPr="00B37580" w:rsidRDefault="00B37580" w:rsidP="00B37580">
            <w:pPr>
              <w:rPr>
                <w:rFonts w:ascii="Arial Narrow" w:hAnsi="Arial Narrow"/>
                <w:b/>
                <w:bCs/>
                <w:color w:val="000000"/>
              </w:rPr>
            </w:pPr>
            <w:r w:rsidRPr="00B37580">
              <w:rPr>
                <w:rFonts w:ascii="Arial Narrow" w:hAnsi="Arial Narrow"/>
                <w:b/>
                <w:bCs/>
                <w:color w:val="000000"/>
              </w:rPr>
              <w:t>Príjmy verejnej správy celkom</w:t>
            </w:r>
          </w:p>
        </w:tc>
        <w:tc>
          <w:tcPr>
            <w:tcW w:w="1134" w:type="dxa"/>
            <w:tcBorders>
              <w:top w:val="nil"/>
              <w:left w:val="nil"/>
              <w:bottom w:val="single" w:sz="8" w:space="0" w:color="auto"/>
              <w:right w:val="single" w:sz="8" w:space="0" w:color="auto"/>
            </w:tcBorders>
            <w:shd w:val="clear" w:color="000000" w:fill="C0C0C0"/>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shd w:val="clear" w:color="000000" w:fill="C0C0C0"/>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shd w:val="clear" w:color="000000" w:fill="C0C0C0"/>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shd w:val="clear" w:color="000000" w:fill="C0C0C0"/>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r>
      <w:tr w:rsidR="00B37580" w:rsidRPr="00B37580" w:rsidTr="008046BF">
        <w:trPr>
          <w:gridAfter w:val="1"/>
          <w:wAfter w:w="4835" w:type="dxa"/>
          <w:trHeight w:val="238"/>
        </w:trPr>
        <w:tc>
          <w:tcPr>
            <w:tcW w:w="4835" w:type="dxa"/>
            <w:tcBorders>
              <w:top w:val="nil"/>
              <w:left w:val="single" w:sz="8" w:space="0" w:color="auto"/>
              <w:bottom w:val="single" w:sz="8" w:space="0" w:color="auto"/>
              <w:right w:val="single" w:sz="8" w:space="0" w:color="auto"/>
            </w:tcBorders>
            <w:noWrap/>
            <w:vAlign w:val="center"/>
            <w:hideMark/>
          </w:tcPr>
          <w:p w:rsidR="00B37580" w:rsidRPr="00B37580" w:rsidRDefault="00B37580" w:rsidP="00B37580">
            <w:pPr>
              <w:rPr>
                <w:rFonts w:ascii="Arial Narrow" w:hAnsi="Arial Narrow"/>
                <w:color w:val="000000"/>
              </w:rPr>
            </w:pPr>
            <w:r w:rsidRPr="00B37580">
              <w:rPr>
                <w:rFonts w:ascii="Arial Narrow" w:hAnsi="Arial Narrow"/>
                <w:color w:val="000000"/>
              </w:rPr>
              <w:t>v tom: za každý subjekt verejnej správy zvlášť</w:t>
            </w:r>
          </w:p>
        </w:tc>
        <w:tc>
          <w:tcPr>
            <w:tcW w:w="1134"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color w:val="000000"/>
              </w:rPr>
            </w:pPr>
            <w:r w:rsidRPr="00B37580">
              <w:rPr>
                <w:rFonts w:ascii="Arial Narrow" w:hAnsi="Arial Narrow"/>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color w:val="000000"/>
              </w:rPr>
            </w:pPr>
            <w:r w:rsidRPr="00B37580">
              <w:rPr>
                <w:rFonts w:ascii="Arial Narrow" w:hAnsi="Arial Narrow"/>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color w:val="000000"/>
              </w:rPr>
            </w:pPr>
            <w:r w:rsidRPr="00B37580">
              <w:rPr>
                <w:rFonts w:ascii="Arial Narrow" w:hAnsi="Arial Narrow"/>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color w:val="000000"/>
              </w:rPr>
            </w:pPr>
            <w:r w:rsidRPr="00B37580">
              <w:rPr>
                <w:rFonts w:ascii="Arial Narrow" w:hAnsi="Arial Narrow"/>
                <w:color w:val="000000"/>
              </w:rPr>
              <w:t>0</w:t>
            </w:r>
          </w:p>
        </w:tc>
      </w:tr>
      <w:tr w:rsidR="00B37580" w:rsidRPr="00B37580" w:rsidTr="008046BF">
        <w:trPr>
          <w:gridAfter w:val="1"/>
          <w:wAfter w:w="4835" w:type="dxa"/>
          <w:trHeight w:val="188"/>
        </w:trPr>
        <w:tc>
          <w:tcPr>
            <w:tcW w:w="4835" w:type="dxa"/>
            <w:tcBorders>
              <w:top w:val="nil"/>
              <w:left w:val="single" w:sz="8" w:space="0" w:color="auto"/>
              <w:bottom w:val="single" w:sz="8" w:space="0" w:color="auto"/>
              <w:right w:val="single" w:sz="8" w:space="0" w:color="auto"/>
            </w:tcBorders>
            <w:noWrap/>
            <w:vAlign w:val="center"/>
            <w:hideMark/>
          </w:tcPr>
          <w:p w:rsidR="00B37580" w:rsidRPr="00B37580" w:rsidRDefault="00B37580" w:rsidP="00B37580">
            <w:pPr>
              <w:rPr>
                <w:rFonts w:ascii="Arial Narrow" w:hAnsi="Arial Narrow"/>
                <w:b/>
                <w:bCs/>
                <w:i/>
                <w:iCs/>
                <w:color w:val="000000"/>
              </w:rPr>
            </w:pPr>
            <w:r w:rsidRPr="00B37580">
              <w:rPr>
                <w:rFonts w:ascii="Arial Narrow" w:hAnsi="Arial Narrow"/>
                <w:b/>
                <w:bCs/>
                <w:i/>
                <w:iCs/>
                <w:color w:val="000000"/>
              </w:rPr>
              <w:t xml:space="preserve">z toho:  </w:t>
            </w:r>
          </w:p>
        </w:tc>
        <w:tc>
          <w:tcPr>
            <w:tcW w:w="1134"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 </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 </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 </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 </w:t>
            </w:r>
          </w:p>
        </w:tc>
      </w:tr>
      <w:tr w:rsidR="00B37580" w:rsidRPr="00B37580" w:rsidTr="008046BF">
        <w:trPr>
          <w:gridAfter w:val="1"/>
          <w:wAfter w:w="4835" w:type="dxa"/>
          <w:trHeight w:val="189"/>
        </w:trPr>
        <w:tc>
          <w:tcPr>
            <w:tcW w:w="4835" w:type="dxa"/>
            <w:tcBorders>
              <w:top w:val="nil"/>
              <w:left w:val="single" w:sz="8" w:space="0" w:color="auto"/>
              <w:bottom w:val="single" w:sz="8" w:space="0" w:color="auto"/>
              <w:right w:val="single" w:sz="8" w:space="0" w:color="auto"/>
            </w:tcBorders>
            <w:noWrap/>
            <w:vAlign w:val="center"/>
            <w:hideMark/>
          </w:tcPr>
          <w:p w:rsidR="00B37580" w:rsidRPr="00B37580" w:rsidRDefault="00B37580" w:rsidP="00B37580">
            <w:pPr>
              <w:rPr>
                <w:rFonts w:ascii="Arial Narrow" w:hAnsi="Arial Narrow"/>
                <w:b/>
                <w:bCs/>
                <w:i/>
                <w:iCs/>
                <w:color w:val="000000"/>
              </w:rPr>
            </w:pPr>
            <w:r w:rsidRPr="00B37580">
              <w:rPr>
                <w:rFonts w:ascii="Arial Narrow" w:hAnsi="Arial Narrow"/>
                <w:b/>
                <w:bCs/>
                <w:i/>
                <w:iCs/>
                <w:color w:val="000000"/>
              </w:rPr>
              <w:t>- vplyv na ŠR</w:t>
            </w:r>
          </w:p>
        </w:tc>
        <w:tc>
          <w:tcPr>
            <w:tcW w:w="1134"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r>
      <w:tr w:rsidR="00B37580" w:rsidRPr="00B37580" w:rsidTr="008046BF">
        <w:trPr>
          <w:gridAfter w:val="1"/>
          <w:wAfter w:w="4835" w:type="dxa"/>
          <w:trHeight w:val="176"/>
        </w:trPr>
        <w:tc>
          <w:tcPr>
            <w:tcW w:w="4835" w:type="dxa"/>
            <w:tcBorders>
              <w:top w:val="nil"/>
              <w:left w:val="single" w:sz="8" w:space="0" w:color="auto"/>
              <w:bottom w:val="single" w:sz="8" w:space="0" w:color="auto"/>
              <w:right w:val="single" w:sz="8" w:space="0" w:color="auto"/>
            </w:tcBorders>
            <w:noWrap/>
            <w:vAlign w:val="center"/>
            <w:hideMark/>
          </w:tcPr>
          <w:p w:rsidR="00B37580" w:rsidRPr="00B37580" w:rsidRDefault="00B37580" w:rsidP="00B37580">
            <w:pPr>
              <w:rPr>
                <w:rFonts w:ascii="Arial Narrow" w:hAnsi="Arial Narrow"/>
                <w:i/>
                <w:iCs/>
                <w:color w:val="000000"/>
              </w:rPr>
            </w:pPr>
            <w:r w:rsidRPr="00B37580">
              <w:rPr>
                <w:rFonts w:ascii="Arial Narrow" w:hAnsi="Arial Narrow"/>
                <w:i/>
                <w:iCs/>
                <w:color w:val="000000"/>
              </w:rPr>
              <w:t>Rozpočtové prostriedky</w:t>
            </w:r>
          </w:p>
        </w:tc>
        <w:tc>
          <w:tcPr>
            <w:tcW w:w="1134"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r>
      <w:tr w:rsidR="00B37580" w:rsidRPr="00B37580" w:rsidTr="008046BF">
        <w:trPr>
          <w:gridAfter w:val="1"/>
          <w:wAfter w:w="4835" w:type="dxa"/>
          <w:trHeight w:val="224"/>
        </w:trPr>
        <w:tc>
          <w:tcPr>
            <w:tcW w:w="4835" w:type="dxa"/>
            <w:tcBorders>
              <w:top w:val="nil"/>
              <w:left w:val="single" w:sz="8" w:space="0" w:color="auto"/>
              <w:bottom w:val="single" w:sz="8" w:space="0" w:color="auto"/>
              <w:right w:val="single" w:sz="8" w:space="0" w:color="auto"/>
            </w:tcBorders>
            <w:noWrap/>
            <w:vAlign w:val="center"/>
            <w:hideMark/>
          </w:tcPr>
          <w:p w:rsidR="00B37580" w:rsidRPr="00B37580" w:rsidRDefault="00B37580" w:rsidP="00B37580">
            <w:pPr>
              <w:rPr>
                <w:rFonts w:ascii="Arial Narrow" w:hAnsi="Arial Narrow"/>
                <w:i/>
                <w:iCs/>
                <w:color w:val="000000"/>
              </w:rPr>
            </w:pPr>
            <w:r w:rsidRPr="00B37580">
              <w:rPr>
                <w:rFonts w:ascii="Arial Narrow" w:hAnsi="Arial Narrow"/>
                <w:i/>
                <w:iCs/>
                <w:color w:val="000000"/>
              </w:rPr>
              <w:t>EÚ zdroje</w:t>
            </w:r>
          </w:p>
        </w:tc>
        <w:tc>
          <w:tcPr>
            <w:tcW w:w="1134"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color w:val="000000"/>
              </w:rPr>
            </w:pPr>
            <w:r w:rsidRPr="00B37580">
              <w:rPr>
                <w:rFonts w:ascii="Arial Narrow" w:hAnsi="Arial Narrow"/>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color w:val="000000"/>
              </w:rPr>
            </w:pPr>
            <w:r w:rsidRPr="00B37580">
              <w:rPr>
                <w:rFonts w:ascii="Arial Narrow" w:hAnsi="Arial Narrow"/>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color w:val="000000"/>
              </w:rPr>
            </w:pPr>
            <w:r w:rsidRPr="00B37580">
              <w:rPr>
                <w:rFonts w:ascii="Arial Narrow" w:hAnsi="Arial Narrow"/>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color w:val="000000"/>
              </w:rPr>
            </w:pPr>
            <w:r w:rsidRPr="00B37580">
              <w:rPr>
                <w:rFonts w:ascii="Arial Narrow" w:hAnsi="Arial Narrow"/>
                <w:color w:val="000000"/>
              </w:rPr>
              <w:t>0</w:t>
            </w:r>
          </w:p>
        </w:tc>
      </w:tr>
      <w:tr w:rsidR="00B37580" w:rsidRPr="00B37580" w:rsidTr="008046BF">
        <w:trPr>
          <w:gridAfter w:val="1"/>
          <w:wAfter w:w="4835" w:type="dxa"/>
          <w:trHeight w:val="172"/>
        </w:trPr>
        <w:tc>
          <w:tcPr>
            <w:tcW w:w="4835" w:type="dxa"/>
            <w:tcBorders>
              <w:top w:val="nil"/>
              <w:left w:val="single" w:sz="8" w:space="0" w:color="auto"/>
              <w:bottom w:val="single" w:sz="8" w:space="0" w:color="auto"/>
              <w:right w:val="single" w:sz="8" w:space="0" w:color="auto"/>
            </w:tcBorders>
            <w:noWrap/>
            <w:vAlign w:val="center"/>
            <w:hideMark/>
          </w:tcPr>
          <w:p w:rsidR="00B37580" w:rsidRPr="00B37580" w:rsidRDefault="00B37580" w:rsidP="00B37580">
            <w:pPr>
              <w:rPr>
                <w:rFonts w:ascii="Arial Narrow" w:hAnsi="Arial Narrow"/>
                <w:b/>
                <w:bCs/>
                <w:i/>
                <w:iCs/>
                <w:color w:val="000000"/>
              </w:rPr>
            </w:pPr>
            <w:r w:rsidRPr="00B37580">
              <w:rPr>
                <w:rFonts w:ascii="Arial Narrow" w:hAnsi="Arial Narrow"/>
                <w:b/>
                <w:bCs/>
                <w:i/>
                <w:iCs/>
                <w:color w:val="000000"/>
              </w:rPr>
              <w:t>- vplyv na obce</w:t>
            </w:r>
          </w:p>
        </w:tc>
        <w:tc>
          <w:tcPr>
            <w:tcW w:w="1134"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r>
      <w:tr w:rsidR="00B37580" w:rsidRPr="00B37580" w:rsidTr="008046BF">
        <w:trPr>
          <w:gridAfter w:val="1"/>
          <w:wAfter w:w="4835" w:type="dxa"/>
          <w:trHeight w:val="286"/>
        </w:trPr>
        <w:tc>
          <w:tcPr>
            <w:tcW w:w="4835" w:type="dxa"/>
            <w:tcBorders>
              <w:top w:val="nil"/>
              <w:left w:val="single" w:sz="8" w:space="0" w:color="auto"/>
              <w:bottom w:val="single" w:sz="8" w:space="0" w:color="auto"/>
              <w:right w:val="single" w:sz="8" w:space="0" w:color="auto"/>
            </w:tcBorders>
            <w:noWrap/>
            <w:vAlign w:val="center"/>
            <w:hideMark/>
          </w:tcPr>
          <w:p w:rsidR="00B37580" w:rsidRPr="00B37580" w:rsidRDefault="00B37580" w:rsidP="00B37580">
            <w:pPr>
              <w:rPr>
                <w:rFonts w:ascii="Arial Narrow" w:hAnsi="Arial Narrow"/>
                <w:b/>
                <w:bCs/>
                <w:i/>
                <w:iCs/>
                <w:color w:val="000000"/>
              </w:rPr>
            </w:pPr>
            <w:r w:rsidRPr="00B37580">
              <w:rPr>
                <w:rFonts w:ascii="Arial Narrow" w:hAnsi="Arial Narrow"/>
                <w:b/>
                <w:bCs/>
                <w:i/>
                <w:iCs/>
                <w:color w:val="000000"/>
              </w:rPr>
              <w:t>- vplyv na vyššie územné celky</w:t>
            </w:r>
          </w:p>
        </w:tc>
        <w:tc>
          <w:tcPr>
            <w:tcW w:w="1134"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r>
      <w:tr w:rsidR="00B37580" w:rsidRPr="00B37580" w:rsidTr="008046BF">
        <w:trPr>
          <w:gridAfter w:val="1"/>
          <w:wAfter w:w="4835" w:type="dxa"/>
          <w:trHeight w:val="280"/>
        </w:trPr>
        <w:tc>
          <w:tcPr>
            <w:tcW w:w="4835" w:type="dxa"/>
            <w:tcBorders>
              <w:top w:val="nil"/>
              <w:left w:val="single" w:sz="8" w:space="0" w:color="auto"/>
              <w:bottom w:val="single" w:sz="8" w:space="0" w:color="auto"/>
              <w:right w:val="single" w:sz="8" w:space="0" w:color="auto"/>
            </w:tcBorders>
            <w:noWrap/>
            <w:vAlign w:val="center"/>
            <w:hideMark/>
          </w:tcPr>
          <w:p w:rsidR="00B37580" w:rsidRPr="00B37580" w:rsidRDefault="00B37580" w:rsidP="00B37580">
            <w:pPr>
              <w:rPr>
                <w:rFonts w:ascii="Arial Narrow" w:hAnsi="Arial Narrow"/>
                <w:b/>
                <w:bCs/>
                <w:i/>
                <w:iCs/>
                <w:color w:val="000000"/>
              </w:rPr>
            </w:pPr>
            <w:r w:rsidRPr="00B37580">
              <w:rPr>
                <w:rFonts w:ascii="Arial Narrow" w:hAnsi="Arial Narrow"/>
                <w:b/>
                <w:bCs/>
                <w:i/>
                <w:iCs/>
                <w:color w:val="000000"/>
              </w:rPr>
              <w:t>- vplyv na útvary sociálneho zabezpečenia</w:t>
            </w:r>
          </w:p>
        </w:tc>
        <w:tc>
          <w:tcPr>
            <w:tcW w:w="1134"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r>
      <w:tr w:rsidR="00B37580" w:rsidRPr="00B37580" w:rsidTr="008046BF">
        <w:trPr>
          <w:gridAfter w:val="1"/>
          <w:wAfter w:w="4835" w:type="dxa"/>
          <w:trHeight w:val="209"/>
        </w:trPr>
        <w:tc>
          <w:tcPr>
            <w:tcW w:w="4835" w:type="dxa"/>
            <w:tcBorders>
              <w:top w:val="nil"/>
              <w:left w:val="single" w:sz="8" w:space="0" w:color="auto"/>
              <w:bottom w:val="single" w:sz="8" w:space="0" w:color="auto"/>
              <w:right w:val="single" w:sz="8" w:space="0" w:color="auto"/>
            </w:tcBorders>
            <w:shd w:val="clear" w:color="000000" w:fill="C0C0C0"/>
            <w:noWrap/>
            <w:vAlign w:val="center"/>
            <w:hideMark/>
          </w:tcPr>
          <w:p w:rsidR="00B37580" w:rsidRPr="00B37580" w:rsidRDefault="00B37580" w:rsidP="00B37580">
            <w:pPr>
              <w:rPr>
                <w:rFonts w:ascii="Arial Narrow" w:hAnsi="Arial Narrow"/>
                <w:b/>
                <w:bCs/>
              </w:rPr>
            </w:pPr>
            <w:r w:rsidRPr="00B37580">
              <w:rPr>
                <w:rFonts w:ascii="Arial Narrow" w:hAnsi="Arial Narrow"/>
                <w:b/>
                <w:bCs/>
              </w:rPr>
              <w:t>Výdavky verejnej správy celkom</w:t>
            </w:r>
          </w:p>
        </w:tc>
        <w:tc>
          <w:tcPr>
            <w:tcW w:w="1134" w:type="dxa"/>
            <w:tcBorders>
              <w:top w:val="nil"/>
              <w:left w:val="nil"/>
              <w:bottom w:val="single" w:sz="8" w:space="0" w:color="auto"/>
              <w:right w:val="single" w:sz="8" w:space="0" w:color="auto"/>
            </w:tcBorders>
            <w:shd w:val="clear" w:color="000000" w:fill="C0C0C0"/>
            <w:noWrap/>
            <w:vAlign w:val="bottom"/>
            <w:hideMark/>
          </w:tcPr>
          <w:p w:rsidR="00B37580" w:rsidRPr="00B37580" w:rsidRDefault="00B37580" w:rsidP="00B37580">
            <w:pPr>
              <w:jc w:val="right"/>
              <w:rPr>
                <w:rFonts w:ascii="Arial Narrow" w:hAnsi="Arial Narrow" w:cs="Calibri"/>
                <w:b/>
                <w:lang w:eastAsia="en-US"/>
              </w:rPr>
            </w:pPr>
            <w:r w:rsidRPr="00B37580">
              <w:rPr>
                <w:rFonts w:ascii="Arial Narrow" w:hAnsi="Arial Narrow" w:cs="Calibri"/>
                <w:b/>
                <w:lang w:eastAsia="en-US"/>
              </w:rPr>
              <w:t xml:space="preserve">-1.153.606 </w:t>
            </w:r>
          </w:p>
        </w:tc>
        <w:tc>
          <w:tcPr>
            <w:tcW w:w="1215" w:type="dxa"/>
            <w:tcBorders>
              <w:top w:val="nil"/>
              <w:left w:val="nil"/>
              <w:bottom w:val="single" w:sz="8" w:space="0" w:color="auto"/>
              <w:right w:val="single" w:sz="8" w:space="0" w:color="auto"/>
            </w:tcBorders>
            <w:shd w:val="clear" w:color="000000" w:fill="C0C0C0"/>
            <w:noWrap/>
            <w:vAlign w:val="bottom"/>
            <w:hideMark/>
          </w:tcPr>
          <w:p w:rsidR="00B37580" w:rsidRPr="00B37580" w:rsidRDefault="00B37580" w:rsidP="00B37580">
            <w:pPr>
              <w:jc w:val="right"/>
              <w:rPr>
                <w:rFonts w:ascii="Arial Narrow" w:hAnsi="Arial Narrow" w:cs="Calibri"/>
                <w:b/>
                <w:bCs/>
                <w:color w:val="FF0000"/>
                <w:lang w:eastAsia="en-US"/>
              </w:rPr>
            </w:pPr>
            <w:r w:rsidRPr="00B37580">
              <w:rPr>
                <w:rFonts w:ascii="Arial Narrow" w:hAnsi="Arial Narrow" w:cs="Calibri"/>
                <w:b/>
                <w:bCs/>
                <w:lang w:eastAsia="en-US"/>
              </w:rPr>
              <w:t xml:space="preserve">-1.905.623 </w:t>
            </w:r>
          </w:p>
        </w:tc>
        <w:tc>
          <w:tcPr>
            <w:tcW w:w="1215" w:type="dxa"/>
            <w:tcBorders>
              <w:top w:val="nil"/>
              <w:left w:val="nil"/>
              <w:bottom w:val="single" w:sz="8" w:space="0" w:color="auto"/>
              <w:right w:val="single" w:sz="8" w:space="0" w:color="auto"/>
            </w:tcBorders>
            <w:shd w:val="clear" w:color="000000" w:fill="C0C0C0"/>
            <w:noWrap/>
            <w:vAlign w:val="bottom"/>
            <w:hideMark/>
          </w:tcPr>
          <w:p w:rsidR="00B37580" w:rsidRPr="00B37580" w:rsidRDefault="00B37580" w:rsidP="00B37580">
            <w:pPr>
              <w:jc w:val="right"/>
              <w:rPr>
                <w:rFonts w:ascii="Arial Narrow" w:hAnsi="Arial Narrow" w:cs="Calibri"/>
                <w:b/>
                <w:bCs/>
                <w:color w:val="FF0000"/>
                <w:lang w:eastAsia="en-US"/>
              </w:rPr>
            </w:pPr>
            <w:r w:rsidRPr="00B37580">
              <w:rPr>
                <w:rFonts w:ascii="Arial Narrow" w:hAnsi="Arial Narrow" w:cs="Calibri"/>
                <w:b/>
                <w:bCs/>
                <w:lang w:eastAsia="en-US"/>
              </w:rPr>
              <w:t xml:space="preserve">-1.472.653 </w:t>
            </w:r>
          </w:p>
        </w:tc>
        <w:tc>
          <w:tcPr>
            <w:tcW w:w="1215" w:type="dxa"/>
            <w:tcBorders>
              <w:top w:val="nil"/>
              <w:left w:val="nil"/>
              <w:bottom w:val="single" w:sz="8" w:space="0" w:color="auto"/>
              <w:right w:val="single" w:sz="8" w:space="0" w:color="auto"/>
            </w:tcBorders>
            <w:shd w:val="clear" w:color="000000" w:fill="C0C0C0"/>
            <w:noWrap/>
            <w:vAlign w:val="bottom"/>
          </w:tcPr>
          <w:p w:rsidR="00B37580" w:rsidRPr="00B37580" w:rsidRDefault="00B37580" w:rsidP="00B37580">
            <w:pPr>
              <w:jc w:val="right"/>
              <w:rPr>
                <w:rFonts w:ascii="Arial Narrow" w:hAnsi="Arial Narrow" w:cs="Calibri"/>
                <w:b/>
                <w:bCs/>
                <w:color w:val="FF0000"/>
                <w:lang w:eastAsia="en-US"/>
              </w:rPr>
            </w:pPr>
            <w:r w:rsidRPr="00B37580">
              <w:rPr>
                <w:rFonts w:ascii="Arial Narrow" w:hAnsi="Arial Narrow" w:cs="Calibri"/>
                <w:b/>
                <w:bCs/>
                <w:lang w:eastAsia="en-US"/>
              </w:rPr>
              <w:t xml:space="preserve">-1.436.582 </w:t>
            </w:r>
          </w:p>
        </w:tc>
      </w:tr>
      <w:tr w:rsidR="00B37580" w:rsidRPr="00B37580" w:rsidTr="008046BF">
        <w:trPr>
          <w:gridAfter w:val="1"/>
          <w:wAfter w:w="4835" w:type="dxa"/>
          <w:trHeight w:val="163"/>
        </w:trPr>
        <w:tc>
          <w:tcPr>
            <w:tcW w:w="4835" w:type="dxa"/>
            <w:tcBorders>
              <w:top w:val="nil"/>
              <w:left w:val="single" w:sz="8" w:space="0" w:color="auto"/>
              <w:bottom w:val="single" w:sz="8" w:space="0" w:color="auto"/>
              <w:right w:val="single" w:sz="8" w:space="0" w:color="auto"/>
            </w:tcBorders>
            <w:noWrap/>
            <w:vAlign w:val="center"/>
            <w:hideMark/>
          </w:tcPr>
          <w:p w:rsidR="00B37580" w:rsidRPr="00B37580" w:rsidRDefault="00B37580" w:rsidP="00B37580">
            <w:pPr>
              <w:rPr>
                <w:rFonts w:ascii="Arial Narrow" w:hAnsi="Arial Narrow"/>
                <w:color w:val="000000"/>
              </w:rPr>
            </w:pPr>
            <w:r w:rsidRPr="00B37580">
              <w:rPr>
                <w:rFonts w:ascii="Arial Narrow" w:hAnsi="Arial Narrow"/>
                <w:color w:val="000000"/>
              </w:rPr>
              <w:t>v tom: za každý subjekt verejnej správy / program zvlášť</w:t>
            </w:r>
          </w:p>
        </w:tc>
        <w:tc>
          <w:tcPr>
            <w:tcW w:w="1134"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color w:val="000000"/>
              </w:rPr>
            </w:pPr>
            <w:r w:rsidRPr="00B37580">
              <w:rPr>
                <w:rFonts w:ascii="Arial Narrow" w:hAnsi="Arial Narrow"/>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color w:val="000000"/>
              </w:rPr>
            </w:pPr>
            <w:r w:rsidRPr="00B37580">
              <w:rPr>
                <w:rFonts w:ascii="Arial Narrow" w:hAnsi="Arial Narrow"/>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color w:val="000000"/>
              </w:rPr>
            </w:pPr>
            <w:r w:rsidRPr="00B37580">
              <w:rPr>
                <w:rFonts w:ascii="Arial Narrow" w:hAnsi="Arial Narrow"/>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color w:val="000000"/>
              </w:rPr>
            </w:pPr>
            <w:r w:rsidRPr="00B37580">
              <w:rPr>
                <w:rFonts w:ascii="Arial Narrow" w:hAnsi="Arial Narrow"/>
                <w:color w:val="000000"/>
              </w:rPr>
              <w:t>0</w:t>
            </w:r>
          </w:p>
        </w:tc>
      </w:tr>
      <w:tr w:rsidR="00B37580" w:rsidRPr="00B37580" w:rsidTr="008046BF">
        <w:trPr>
          <w:gridAfter w:val="1"/>
          <w:wAfter w:w="4835" w:type="dxa"/>
          <w:trHeight w:val="60"/>
        </w:trPr>
        <w:tc>
          <w:tcPr>
            <w:tcW w:w="4835" w:type="dxa"/>
            <w:tcBorders>
              <w:top w:val="nil"/>
              <w:left w:val="single" w:sz="8" w:space="0" w:color="auto"/>
              <w:bottom w:val="single" w:sz="8" w:space="0" w:color="auto"/>
              <w:right w:val="single" w:sz="8" w:space="0" w:color="auto"/>
            </w:tcBorders>
            <w:noWrap/>
            <w:vAlign w:val="center"/>
            <w:hideMark/>
          </w:tcPr>
          <w:p w:rsidR="00B37580" w:rsidRPr="00B37580" w:rsidRDefault="00B37580" w:rsidP="00B37580">
            <w:pPr>
              <w:rPr>
                <w:rFonts w:ascii="Arial Narrow" w:hAnsi="Arial Narrow"/>
                <w:b/>
                <w:bCs/>
                <w:i/>
                <w:iCs/>
                <w:color w:val="000000"/>
              </w:rPr>
            </w:pPr>
            <w:r w:rsidRPr="00B37580">
              <w:rPr>
                <w:rFonts w:ascii="Arial Narrow" w:hAnsi="Arial Narrow"/>
                <w:b/>
                <w:bCs/>
                <w:i/>
                <w:iCs/>
                <w:color w:val="000000"/>
              </w:rPr>
              <w:t xml:space="preserve">z toho: </w:t>
            </w:r>
          </w:p>
        </w:tc>
        <w:tc>
          <w:tcPr>
            <w:tcW w:w="1134"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 </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 </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 </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 </w:t>
            </w:r>
          </w:p>
        </w:tc>
      </w:tr>
      <w:tr w:rsidR="00B37580" w:rsidRPr="00B37580" w:rsidTr="008046BF">
        <w:trPr>
          <w:gridAfter w:val="1"/>
          <w:wAfter w:w="4835" w:type="dxa"/>
          <w:trHeight w:val="371"/>
        </w:trPr>
        <w:tc>
          <w:tcPr>
            <w:tcW w:w="4835" w:type="dxa"/>
            <w:tcBorders>
              <w:top w:val="nil"/>
              <w:left w:val="single" w:sz="8" w:space="0" w:color="auto"/>
              <w:bottom w:val="single" w:sz="8" w:space="0" w:color="auto"/>
              <w:right w:val="single" w:sz="8" w:space="0" w:color="auto"/>
            </w:tcBorders>
            <w:noWrap/>
            <w:vAlign w:val="center"/>
            <w:hideMark/>
          </w:tcPr>
          <w:p w:rsidR="00B37580" w:rsidRPr="00B37580" w:rsidRDefault="00B37580" w:rsidP="00B37580">
            <w:pPr>
              <w:rPr>
                <w:rFonts w:ascii="Arial Narrow" w:hAnsi="Arial Narrow"/>
                <w:b/>
                <w:bCs/>
                <w:i/>
                <w:iCs/>
                <w:color w:val="000000"/>
              </w:rPr>
            </w:pPr>
            <w:r w:rsidRPr="00B37580">
              <w:rPr>
                <w:rFonts w:ascii="Arial Narrow" w:hAnsi="Arial Narrow"/>
                <w:b/>
                <w:bCs/>
                <w:i/>
                <w:iCs/>
                <w:color w:val="000000"/>
              </w:rPr>
              <w:t xml:space="preserve">- vplyv na ŠR </w:t>
            </w:r>
          </w:p>
        </w:tc>
        <w:tc>
          <w:tcPr>
            <w:tcW w:w="1134" w:type="dxa"/>
            <w:tcBorders>
              <w:top w:val="nil"/>
              <w:left w:val="nil"/>
              <w:bottom w:val="single" w:sz="8" w:space="0" w:color="auto"/>
              <w:right w:val="single" w:sz="8" w:space="0" w:color="auto"/>
            </w:tcBorders>
            <w:noWrap/>
            <w:vAlign w:val="bottom"/>
            <w:hideMark/>
          </w:tcPr>
          <w:p w:rsidR="00B37580" w:rsidRPr="00B37580" w:rsidRDefault="00B37580" w:rsidP="00B37580">
            <w:pPr>
              <w:jc w:val="right"/>
              <w:rPr>
                <w:rFonts w:ascii="Arial Narrow" w:hAnsi="Arial Narrow"/>
                <w:bCs/>
                <w:color w:val="000000"/>
              </w:rPr>
            </w:pPr>
            <w:r w:rsidRPr="00B37580">
              <w:rPr>
                <w:rFonts w:ascii="Arial Narrow" w:hAnsi="Arial Narrow"/>
                <w:bCs/>
                <w:color w:val="000000"/>
              </w:rPr>
              <w:t>0</w:t>
            </w:r>
          </w:p>
        </w:tc>
        <w:tc>
          <w:tcPr>
            <w:tcW w:w="1215" w:type="dxa"/>
            <w:tcBorders>
              <w:top w:val="nil"/>
              <w:left w:val="nil"/>
              <w:bottom w:val="single" w:sz="8" w:space="0" w:color="auto"/>
              <w:right w:val="single" w:sz="8" w:space="0" w:color="auto"/>
            </w:tcBorders>
            <w:noWrap/>
            <w:vAlign w:val="bottom"/>
          </w:tcPr>
          <w:p w:rsidR="00B37580" w:rsidRPr="00B37580" w:rsidRDefault="00B37580" w:rsidP="00B37580">
            <w:pPr>
              <w:jc w:val="right"/>
              <w:rPr>
                <w:rFonts w:ascii="Arial Narrow" w:hAnsi="Arial Narrow"/>
                <w:bCs/>
                <w:color w:val="000000"/>
              </w:rPr>
            </w:pPr>
            <w:r w:rsidRPr="00B37580">
              <w:rPr>
                <w:rFonts w:ascii="Arial Narrow" w:hAnsi="Arial Narrow"/>
                <w:bCs/>
                <w:color w:val="000000"/>
              </w:rPr>
              <w:t>0</w:t>
            </w:r>
          </w:p>
        </w:tc>
        <w:tc>
          <w:tcPr>
            <w:tcW w:w="1215" w:type="dxa"/>
            <w:tcBorders>
              <w:top w:val="nil"/>
              <w:left w:val="nil"/>
              <w:bottom w:val="single" w:sz="8" w:space="0" w:color="auto"/>
              <w:right w:val="single" w:sz="8" w:space="0" w:color="auto"/>
            </w:tcBorders>
            <w:noWrap/>
            <w:vAlign w:val="bottom"/>
          </w:tcPr>
          <w:p w:rsidR="00B37580" w:rsidRPr="00B37580" w:rsidRDefault="00B37580" w:rsidP="00B37580">
            <w:pPr>
              <w:jc w:val="right"/>
              <w:rPr>
                <w:rFonts w:ascii="Arial Narrow" w:hAnsi="Arial Narrow"/>
                <w:bCs/>
                <w:color w:val="000000"/>
              </w:rPr>
            </w:pPr>
            <w:r w:rsidRPr="00B37580">
              <w:rPr>
                <w:rFonts w:ascii="Arial Narrow" w:hAnsi="Arial Narrow"/>
                <w:bCs/>
                <w:color w:val="000000"/>
              </w:rPr>
              <w:t>0</w:t>
            </w:r>
          </w:p>
        </w:tc>
        <w:tc>
          <w:tcPr>
            <w:tcW w:w="1215" w:type="dxa"/>
            <w:tcBorders>
              <w:top w:val="nil"/>
              <w:left w:val="nil"/>
              <w:bottom w:val="single" w:sz="8" w:space="0" w:color="auto"/>
              <w:right w:val="single" w:sz="8" w:space="0" w:color="auto"/>
            </w:tcBorders>
            <w:noWrap/>
            <w:vAlign w:val="bottom"/>
          </w:tcPr>
          <w:p w:rsidR="00B37580" w:rsidRPr="00B37580" w:rsidRDefault="00B37580" w:rsidP="00B37580">
            <w:pPr>
              <w:jc w:val="right"/>
              <w:rPr>
                <w:rFonts w:ascii="Arial Narrow" w:hAnsi="Arial Narrow"/>
                <w:bCs/>
                <w:color w:val="000000"/>
              </w:rPr>
            </w:pPr>
            <w:r w:rsidRPr="00B37580">
              <w:rPr>
                <w:rFonts w:ascii="Arial Narrow" w:hAnsi="Arial Narrow"/>
                <w:bCs/>
                <w:color w:val="000000"/>
              </w:rPr>
              <w:t>0</w:t>
            </w:r>
          </w:p>
        </w:tc>
      </w:tr>
      <w:tr w:rsidR="00B37580" w:rsidRPr="00B37580" w:rsidTr="008046BF">
        <w:trPr>
          <w:gridAfter w:val="1"/>
          <w:wAfter w:w="4835" w:type="dxa"/>
          <w:trHeight w:val="330"/>
        </w:trPr>
        <w:tc>
          <w:tcPr>
            <w:tcW w:w="4835" w:type="dxa"/>
            <w:tcBorders>
              <w:top w:val="nil"/>
              <w:left w:val="single" w:sz="8" w:space="0" w:color="auto"/>
              <w:bottom w:val="single" w:sz="8" w:space="0" w:color="auto"/>
              <w:right w:val="single" w:sz="8" w:space="0" w:color="auto"/>
            </w:tcBorders>
            <w:noWrap/>
            <w:vAlign w:val="center"/>
            <w:hideMark/>
          </w:tcPr>
          <w:p w:rsidR="00B37580" w:rsidRPr="00B37580" w:rsidRDefault="00B37580" w:rsidP="00B37580">
            <w:pPr>
              <w:rPr>
                <w:rFonts w:ascii="Arial Narrow" w:hAnsi="Arial Narrow"/>
                <w:i/>
                <w:iCs/>
                <w:color w:val="000000"/>
              </w:rPr>
            </w:pPr>
            <w:r w:rsidRPr="00B37580">
              <w:rPr>
                <w:rFonts w:ascii="Arial Narrow" w:hAnsi="Arial Narrow"/>
                <w:i/>
                <w:iCs/>
                <w:color w:val="000000"/>
              </w:rPr>
              <w:t>Rozpočtové prostriedky</w:t>
            </w:r>
          </w:p>
        </w:tc>
        <w:tc>
          <w:tcPr>
            <w:tcW w:w="1134"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Cs/>
                <w:color w:val="000000"/>
              </w:rPr>
            </w:pPr>
            <w:r w:rsidRPr="00B37580">
              <w:rPr>
                <w:rFonts w:ascii="Arial Narrow" w:hAnsi="Arial Narrow"/>
                <w:bCs/>
                <w:color w:val="000000"/>
              </w:rPr>
              <w:t>0</w:t>
            </w:r>
          </w:p>
        </w:tc>
        <w:tc>
          <w:tcPr>
            <w:tcW w:w="1215" w:type="dxa"/>
            <w:tcBorders>
              <w:top w:val="nil"/>
              <w:left w:val="nil"/>
              <w:bottom w:val="single" w:sz="8" w:space="0" w:color="auto"/>
              <w:right w:val="single" w:sz="8" w:space="0" w:color="auto"/>
            </w:tcBorders>
            <w:noWrap/>
            <w:vAlign w:val="center"/>
          </w:tcPr>
          <w:p w:rsidR="00B37580" w:rsidRPr="00B37580" w:rsidRDefault="00B37580" w:rsidP="00B37580">
            <w:pPr>
              <w:jc w:val="right"/>
              <w:rPr>
                <w:rFonts w:ascii="Arial Narrow" w:hAnsi="Arial Narrow"/>
                <w:bCs/>
                <w:color w:val="000000"/>
              </w:rPr>
            </w:pPr>
            <w:r w:rsidRPr="00B37580">
              <w:rPr>
                <w:rFonts w:ascii="Arial Narrow" w:hAnsi="Arial Narrow"/>
                <w:bCs/>
                <w:color w:val="000000"/>
              </w:rPr>
              <w:t>0</w:t>
            </w:r>
          </w:p>
        </w:tc>
        <w:tc>
          <w:tcPr>
            <w:tcW w:w="1215" w:type="dxa"/>
            <w:tcBorders>
              <w:top w:val="nil"/>
              <w:left w:val="nil"/>
              <w:bottom w:val="single" w:sz="8" w:space="0" w:color="auto"/>
              <w:right w:val="single" w:sz="8" w:space="0" w:color="auto"/>
            </w:tcBorders>
            <w:noWrap/>
            <w:vAlign w:val="center"/>
          </w:tcPr>
          <w:p w:rsidR="00B37580" w:rsidRPr="00B37580" w:rsidRDefault="00B37580" w:rsidP="00B37580">
            <w:pPr>
              <w:jc w:val="right"/>
              <w:rPr>
                <w:rFonts w:ascii="Arial Narrow" w:hAnsi="Arial Narrow"/>
                <w:bCs/>
                <w:color w:val="000000"/>
              </w:rPr>
            </w:pPr>
            <w:r w:rsidRPr="00B37580">
              <w:rPr>
                <w:rFonts w:ascii="Arial Narrow" w:hAnsi="Arial Narrow"/>
                <w:bCs/>
                <w:color w:val="000000"/>
              </w:rPr>
              <w:t>0</w:t>
            </w:r>
          </w:p>
        </w:tc>
        <w:tc>
          <w:tcPr>
            <w:tcW w:w="1215" w:type="dxa"/>
            <w:tcBorders>
              <w:top w:val="nil"/>
              <w:left w:val="nil"/>
              <w:bottom w:val="single" w:sz="8" w:space="0" w:color="auto"/>
              <w:right w:val="single" w:sz="8" w:space="0" w:color="auto"/>
            </w:tcBorders>
            <w:noWrap/>
            <w:vAlign w:val="center"/>
          </w:tcPr>
          <w:p w:rsidR="00B37580" w:rsidRPr="00B37580" w:rsidRDefault="00B37580" w:rsidP="00B37580">
            <w:pPr>
              <w:jc w:val="right"/>
              <w:rPr>
                <w:rFonts w:ascii="Arial Narrow" w:hAnsi="Arial Narrow"/>
                <w:bCs/>
                <w:color w:val="000000"/>
              </w:rPr>
            </w:pPr>
            <w:r w:rsidRPr="00B37580">
              <w:rPr>
                <w:rFonts w:ascii="Arial Narrow" w:hAnsi="Arial Narrow"/>
                <w:bCs/>
                <w:color w:val="000000"/>
              </w:rPr>
              <w:t>0</w:t>
            </w:r>
          </w:p>
        </w:tc>
      </w:tr>
      <w:tr w:rsidR="00B37580" w:rsidRPr="00B37580" w:rsidTr="008046BF">
        <w:trPr>
          <w:gridAfter w:val="1"/>
          <w:wAfter w:w="4835" w:type="dxa"/>
          <w:trHeight w:val="256"/>
        </w:trPr>
        <w:tc>
          <w:tcPr>
            <w:tcW w:w="4835" w:type="dxa"/>
            <w:tcBorders>
              <w:top w:val="nil"/>
              <w:left w:val="single" w:sz="8" w:space="0" w:color="auto"/>
              <w:bottom w:val="single" w:sz="8" w:space="0" w:color="auto"/>
              <w:right w:val="single" w:sz="8" w:space="0" w:color="auto"/>
            </w:tcBorders>
            <w:noWrap/>
            <w:vAlign w:val="center"/>
            <w:hideMark/>
          </w:tcPr>
          <w:p w:rsidR="00B37580" w:rsidRPr="00B37580" w:rsidRDefault="00B37580" w:rsidP="00B37580">
            <w:pPr>
              <w:rPr>
                <w:rFonts w:ascii="Arial Narrow" w:hAnsi="Arial Narrow"/>
                <w:i/>
                <w:iCs/>
                <w:color w:val="000000"/>
              </w:rPr>
            </w:pPr>
            <w:r w:rsidRPr="00B37580">
              <w:rPr>
                <w:rFonts w:ascii="Arial Narrow" w:hAnsi="Arial Narrow"/>
                <w:i/>
                <w:iCs/>
                <w:color w:val="000000"/>
              </w:rPr>
              <w:t xml:space="preserve">    EÚ zdroje</w:t>
            </w:r>
          </w:p>
        </w:tc>
        <w:tc>
          <w:tcPr>
            <w:tcW w:w="1134"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color w:val="000000"/>
              </w:rPr>
            </w:pPr>
            <w:r w:rsidRPr="00B37580">
              <w:rPr>
                <w:rFonts w:ascii="Arial Narrow" w:hAnsi="Arial Narrow"/>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color w:val="000000"/>
              </w:rPr>
            </w:pPr>
            <w:r w:rsidRPr="00B37580">
              <w:rPr>
                <w:rFonts w:ascii="Arial Narrow" w:hAnsi="Arial Narrow"/>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color w:val="000000"/>
              </w:rPr>
            </w:pPr>
            <w:r w:rsidRPr="00B37580">
              <w:rPr>
                <w:rFonts w:ascii="Arial Narrow" w:hAnsi="Arial Narrow"/>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color w:val="000000"/>
              </w:rPr>
            </w:pPr>
            <w:r w:rsidRPr="00B37580">
              <w:rPr>
                <w:rFonts w:ascii="Arial Narrow" w:hAnsi="Arial Narrow"/>
                <w:color w:val="000000"/>
              </w:rPr>
              <w:t>0</w:t>
            </w:r>
          </w:p>
        </w:tc>
      </w:tr>
      <w:tr w:rsidR="00B37580" w:rsidRPr="00B37580" w:rsidTr="008046BF">
        <w:trPr>
          <w:gridAfter w:val="1"/>
          <w:wAfter w:w="4835" w:type="dxa"/>
          <w:trHeight w:val="259"/>
        </w:trPr>
        <w:tc>
          <w:tcPr>
            <w:tcW w:w="4835" w:type="dxa"/>
            <w:tcBorders>
              <w:top w:val="nil"/>
              <w:left w:val="single" w:sz="8" w:space="0" w:color="auto"/>
              <w:bottom w:val="single" w:sz="8" w:space="0" w:color="auto"/>
              <w:right w:val="single" w:sz="8" w:space="0" w:color="auto"/>
            </w:tcBorders>
            <w:noWrap/>
            <w:vAlign w:val="center"/>
            <w:hideMark/>
          </w:tcPr>
          <w:p w:rsidR="00B37580" w:rsidRPr="00B37580" w:rsidRDefault="00B37580" w:rsidP="00B37580">
            <w:pPr>
              <w:rPr>
                <w:rFonts w:ascii="Arial Narrow" w:hAnsi="Arial Narrow"/>
                <w:i/>
                <w:iCs/>
                <w:color w:val="000000"/>
              </w:rPr>
            </w:pPr>
            <w:r w:rsidRPr="00B37580">
              <w:rPr>
                <w:rFonts w:ascii="Arial Narrow" w:hAnsi="Arial Narrow"/>
                <w:i/>
                <w:iCs/>
                <w:color w:val="000000"/>
              </w:rPr>
              <w:t xml:space="preserve">    spolufinancovanie</w:t>
            </w:r>
          </w:p>
        </w:tc>
        <w:tc>
          <w:tcPr>
            <w:tcW w:w="1134"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color w:val="000000"/>
              </w:rPr>
            </w:pPr>
            <w:r w:rsidRPr="00B37580">
              <w:rPr>
                <w:rFonts w:ascii="Arial Narrow" w:hAnsi="Arial Narrow"/>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color w:val="000000"/>
              </w:rPr>
            </w:pPr>
            <w:r w:rsidRPr="00B37580">
              <w:rPr>
                <w:rFonts w:ascii="Arial Narrow" w:hAnsi="Arial Narrow"/>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color w:val="000000"/>
              </w:rPr>
            </w:pPr>
            <w:r w:rsidRPr="00B37580">
              <w:rPr>
                <w:rFonts w:ascii="Arial Narrow" w:hAnsi="Arial Narrow"/>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color w:val="000000"/>
              </w:rPr>
            </w:pPr>
            <w:r w:rsidRPr="00B37580">
              <w:rPr>
                <w:rFonts w:ascii="Arial Narrow" w:hAnsi="Arial Narrow"/>
                <w:color w:val="000000"/>
              </w:rPr>
              <w:t>0</w:t>
            </w:r>
          </w:p>
        </w:tc>
      </w:tr>
      <w:tr w:rsidR="00B37580" w:rsidRPr="00B37580" w:rsidTr="008046BF">
        <w:trPr>
          <w:gridAfter w:val="1"/>
          <w:wAfter w:w="4835" w:type="dxa"/>
          <w:trHeight w:val="164"/>
        </w:trPr>
        <w:tc>
          <w:tcPr>
            <w:tcW w:w="4835" w:type="dxa"/>
            <w:tcBorders>
              <w:top w:val="nil"/>
              <w:left w:val="single" w:sz="8" w:space="0" w:color="auto"/>
              <w:bottom w:val="single" w:sz="8" w:space="0" w:color="auto"/>
              <w:right w:val="single" w:sz="8" w:space="0" w:color="auto"/>
            </w:tcBorders>
            <w:noWrap/>
            <w:vAlign w:val="center"/>
            <w:hideMark/>
          </w:tcPr>
          <w:p w:rsidR="00B37580" w:rsidRPr="00B37580" w:rsidRDefault="00B37580" w:rsidP="00B37580">
            <w:pPr>
              <w:rPr>
                <w:rFonts w:ascii="Arial Narrow" w:hAnsi="Arial Narrow"/>
                <w:b/>
                <w:bCs/>
                <w:i/>
                <w:iCs/>
                <w:color w:val="000000"/>
              </w:rPr>
            </w:pPr>
            <w:r w:rsidRPr="00B37580">
              <w:rPr>
                <w:rFonts w:ascii="Arial Narrow" w:hAnsi="Arial Narrow"/>
                <w:b/>
                <w:bCs/>
                <w:i/>
                <w:iCs/>
                <w:color w:val="000000"/>
              </w:rPr>
              <w:t>- vplyv na obce</w:t>
            </w:r>
          </w:p>
        </w:tc>
        <w:tc>
          <w:tcPr>
            <w:tcW w:w="1134"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Cs/>
                <w:color w:val="000000"/>
              </w:rPr>
            </w:pPr>
            <w:r w:rsidRPr="00B37580">
              <w:rPr>
                <w:rFonts w:ascii="Arial Narrow" w:hAnsi="Arial Narrow"/>
                <w:bCs/>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Cs/>
                <w:color w:val="000000"/>
              </w:rPr>
            </w:pPr>
            <w:r w:rsidRPr="00B37580">
              <w:rPr>
                <w:rFonts w:ascii="Arial Narrow" w:hAnsi="Arial Narrow"/>
                <w:bCs/>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Cs/>
                <w:color w:val="000000"/>
              </w:rPr>
            </w:pPr>
            <w:r w:rsidRPr="00B37580">
              <w:rPr>
                <w:rFonts w:ascii="Arial Narrow" w:hAnsi="Arial Narrow"/>
                <w:bCs/>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Cs/>
                <w:color w:val="000000"/>
              </w:rPr>
            </w:pPr>
            <w:r w:rsidRPr="00B37580">
              <w:rPr>
                <w:rFonts w:ascii="Arial Narrow" w:hAnsi="Arial Narrow"/>
                <w:bCs/>
                <w:color w:val="000000"/>
              </w:rPr>
              <w:t>0</w:t>
            </w:r>
          </w:p>
        </w:tc>
      </w:tr>
      <w:tr w:rsidR="00B37580" w:rsidRPr="00B37580" w:rsidTr="008046BF">
        <w:trPr>
          <w:gridAfter w:val="1"/>
          <w:wAfter w:w="4835" w:type="dxa"/>
          <w:trHeight w:val="197"/>
        </w:trPr>
        <w:tc>
          <w:tcPr>
            <w:tcW w:w="4835" w:type="dxa"/>
            <w:tcBorders>
              <w:top w:val="nil"/>
              <w:left w:val="single" w:sz="8" w:space="0" w:color="auto"/>
              <w:bottom w:val="single" w:sz="8" w:space="0" w:color="auto"/>
              <w:right w:val="single" w:sz="8" w:space="0" w:color="auto"/>
            </w:tcBorders>
            <w:noWrap/>
            <w:vAlign w:val="center"/>
            <w:hideMark/>
          </w:tcPr>
          <w:p w:rsidR="00B37580" w:rsidRPr="00B37580" w:rsidRDefault="00B37580" w:rsidP="00B37580">
            <w:pPr>
              <w:rPr>
                <w:rFonts w:ascii="Arial Narrow" w:hAnsi="Arial Narrow"/>
                <w:b/>
                <w:bCs/>
                <w:i/>
                <w:iCs/>
                <w:color w:val="000000"/>
              </w:rPr>
            </w:pPr>
            <w:r w:rsidRPr="00B37580">
              <w:rPr>
                <w:rFonts w:ascii="Arial Narrow" w:hAnsi="Arial Narrow"/>
                <w:b/>
                <w:bCs/>
                <w:i/>
                <w:iCs/>
                <w:color w:val="000000"/>
              </w:rPr>
              <w:t>- vplyv na vyššie územné celky</w:t>
            </w:r>
          </w:p>
        </w:tc>
        <w:tc>
          <w:tcPr>
            <w:tcW w:w="1134"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Cs/>
                <w:color w:val="000000"/>
              </w:rPr>
            </w:pPr>
            <w:r w:rsidRPr="00B37580">
              <w:rPr>
                <w:rFonts w:ascii="Arial Narrow" w:hAnsi="Arial Narrow"/>
                <w:bCs/>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Cs/>
                <w:color w:val="000000"/>
              </w:rPr>
            </w:pPr>
            <w:r w:rsidRPr="00B37580">
              <w:rPr>
                <w:rFonts w:ascii="Arial Narrow" w:hAnsi="Arial Narrow"/>
                <w:bCs/>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Cs/>
                <w:color w:val="000000"/>
              </w:rPr>
            </w:pPr>
            <w:r w:rsidRPr="00B37580">
              <w:rPr>
                <w:rFonts w:ascii="Arial Narrow" w:hAnsi="Arial Narrow"/>
                <w:bCs/>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Cs/>
                <w:color w:val="000000"/>
              </w:rPr>
            </w:pPr>
            <w:r w:rsidRPr="00B37580">
              <w:rPr>
                <w:rFonts w:ascii="Arial Narrow" w:hAnsi="Arial Narrow"/>
                <w:bCs/>
                <w:color w:val="000000"/>
              </w:rPr>
              <w:t>0</w:t>
            </w:r>
          </w:p>
        </w:tc>
      </w:tr>
      <w:tr w:rsidR="00B37580" w:rsidRPr="00B37580" w:rsidTr="008046BF">
        <w:trPr>
          <w:gridAfter w:val="1"/>
          <w:wAfter w:w="4835" w:type="dxa"/>
          <w:trHeight w:val="330"/>
        </w:trPr>
        <w:tc>
          <w:tcPr>
            <w:tcW w:w="4835" w:type="dxa"/>
            <w:tcBorders>
              <w:top w:val="nil"/>
              <w:left w:val="single" w:sz="8" w:space="0" w:color="auto"/>
              <w:bottom w:val="single" w:sz="8" w:space="0" w:color="auto"/>
              <w:right w:val="single" w:sz="8" w:space="0" w:color="auto"/>
            </w:tcBorders>
            <w:noWrap/>
            <w:vAlign w:val="center"/>
            <w:hideMark/>
          </w:tcPr>
          <w:p w:rsidR="00B37580" w:rsidRPr="00B37580" w:rsidRDefault="00B37580" w:rsidP="00B37580">
            <w:pPr>
              <w:rPr>
                <w:rFonts w:ascii="Arial Narrow" w:hAnsi="Arial Narrow"/>
                <w:b/>
                <w:bCs/>
                <w:i/>
                <w:iCs/>
              </w:rPr>
            </w:pPr>
            <w:r w:rsidRPr="00B37580">
              <w:rPr>
                <w:rFonts w:ascii="Arial Narrow" w:hAnsi="Arial Narrow"/>
                <w:b/>
                <w:bCs/>
                <w:i/>
                <w:iCs/>
              </w:rPr>
              <w:t>- vplyv na útvary sociálneho zabezpečenia a Vojenský úrad sociálneho zabezpečenia</w:t>
            </w:r>
          </w:p>
        </w:tc>
        <w:tc>
          <w:tcPr>
            <w:tcW w:w="1134" w:type="dxa"/>
            <w:tcBorders>
              <w:top w:val="nil"/>
              <w:left w:val="nil"/>
              <w:bottom w:val="single" w:sz="8" w:space="0" w:color="auto"/>
              <w:right w:val="single" w:sz="8" w:space="0" w:color="auto"/>
            </w:tcBorders>
            <w:noWrap/>
            <w:vAlign w:val="bottom"/>
            <w:hideMark/>
          </w:tcPr>
          <w:p w:rsidR="00B37580" w:rsidRPr="00B37580" w:rsidRDefault="00B37580" w:rsidP="00B37580">
            <w:pPr>
              <w:jc w:val="right"/>
              <w:rPr>
                <w:rFonts w:ascii="Arial Narrow" w:hAnsi="Arial Narrow" w:cs="Calibri"/>
                <w:b/>
                <w:lang w:eastAsia="en-US"/>
              </w:rPr>
            </w:pPr>
            <w:r w:rsidRPr="00B37580">
              <w:rPr>
                <w:rFonts w:ascii="Arial Narrow" w:hAnsi="Arial Narrow" w:cs="Calibri"/>
                <w:b/>
                <w:lang w:eastAsia="en-US"/>
              </w:rPr>
              <w:t xml:space="preserve">-1.153.606 </w:t>
            </w:r>
          </w:p>
        </w:tc>
        <w:tc>
          <w:tcPr>
            <w:tcW w:w="1215" w:type="dxa"/>
            <w:tcBorders>
              <w:top w:val="nil"/>
              <w:left w:val="nil"/>
              <w:bottom w:val="single" w:sz="8" w:space="0" w:color="auto"/>
              <w:right w:val="single" w:sz="8" w:space="0" w:color="auto"/>
            </w:tcBorders>
            <w:noWrap/>
            <w:vAlign w:val="bottom"/>
            <w:hideMark/>
          </w:tcPr>
          <w:p w:rsidR="00B37580" w:rsidRPr="00B37580" w:rsidRDefault="00B37580" w:rsidP="00B37580">
            <w:pPr>
              <w:jc w:val="right"/>
              <w:rPr>
                <w:rFonts w:ascii="Arial Narrow" w:hAnsi="Arial Narrow" w:cs="Calibri"/>
                <w:b/>
                <w:bCs/>
                <w:color w:val="FF0000"/>
                <w:lang w:eastAsia="en-US"/>
              </w:rPr>
            </w:pPr>
            <w:r w:rsidRPr="00B37580">
              <w:rPr>
                <w:rFonts w:ascii="Arial Narrow" w:hAnsi="Arial Narrow" w:cs="Calibri"/>
                <w:b/>
                <w:bCs/>
                <w:lang w:eastAsia="en-US"/>
              </w:rPr>
              <w:t xml:space="preserve">-1.905.623 </w:t>
            </w:r>
          </w:p>
        </w:tc>
        <w:tc>
          <w:tcPr>
            <w:tcW w:w="1215" w:type="dxa"/>
            <w:tcBorders>
              <w:top w:val="nil"/>
              <w:left w:val="nil"/>
              <w:bottom w:val="single" w:sz="8" w:space="0" w:color="auto"/>
              <w:right w:val="single" w:sz="8" w:space="0" w:color="auto"/>
            </w:tcBorders>
            <w:noWrap/>
            <w:vAlign w:val="bottom"/>
            <w:hideMark/>
          </w:tcPr>
          <w:p w:rsidR="00B37580" w:rsidRPr="00B37580" w:rsidRDefault="00B37580" w:rsidP="00B37580">
            <w:pPr>
              <w:jc w:val="right"/>
              <w:rPr>
                <w:rFonts w:ascii="Arial Narrow" w:hAnsi="Arial Narrow" w:cs="Calibri"/>
                <w:b/>
                <w:bCs/>
                <w:color w:val="FF0000"/>
                <w:lang w:eastAsia="en-US"/>
              </w:rPr>
            </w:pPr>
            <w:r w:rsidRPr="00B37580">
              <w:rPr>
                <w:rFonts w:ascii="Arial Narrow" w:hAnsi="Arial Narrow" w:cs="Calibri"/>
                <w:b/>
                <w:bCs/>
                <w:lang w:eastAsia="en-US"/>
              </w:rPr>
              <w:t xml:space="preserve">-1.472.653 </w:t>
            </w:r>
          </w:p>
        </w:tc>
        <w:tc>
          <w:tcPr>
            <w:tcW w:w="1215" w:type="dxa"/>
            <w:tcBorders>
              <w:top w:val="nil"/>
              <w:left w:val="nil"/>
              <w:bottom w:val="single" w:sz="8" w:space="0" w:color="auto"/>
              <w:right w:val="single" w:sz="8" w:space="0" w:color="auto"/>
            </w:tcBorders>
            <w:noWrap/>
            <w:vAlign w:val="bottom"/>
            <w:hideMark/>
          </w:tcPr>
          <w:p w:rsidR="00B37580" w:rsidRPr="00B37580" w:rsidRDefault="00B37580" w:rsidP="00B37580">
            <w:pPr>
              <w:jc w:val="right"/>
              <w:rPr>
                <w:rFonts w:ascii="Arial Narrow" w:hAnsi="Arial Narrow" w:cs="Calibri"/>
                <w:b/>
                <w:bCs/>
                <w:color w:val="FF0000"/>
                <w:lang w:eastAsia="en-US"/>
              </w:rPr>
            </w:pPr>
            <w:r w:rsidRPr="00B37580">
              <w:rPr>
                <w:rFonts w:ascii="Arial Narrow" w:hAnsi="Arial Narrow" w:cs="Calibri"/>
                <w:b/>
                <w:bCs/>
                <w:lang w:eastAsia="en-US"/>
              </w:rPr>
              <w:t xml:space="preserve">-1.436.582 </w:t>
            </w:r>
          </w:p>
        </w:tc>
      </w:tr>
      <w:tr w:rsidR="00B37580" w:rsidRPr="00B37580" w:rsidTr="008046BF">
        <w:trPr>
          <w:gridAfter w:val="1"/>
          <w:wAfter w:w="4835" w:type="dxa"/>
          <w:trHeight w:val="154"/>
        </w:trPr>
        <w:tc>
          <w:tcPr>
            <w:tcW w:w="4835" w:type="dxa"/>
            <w:tcBorders>
              <w:top w:val="nil"/>
              <w:left w:val="single" w:sz="8" w:space="0" w:color="auto"/>
              <w:bottom w:val="single" w:sz="8" w:space="0" w:color="auto"/>
              <w:right w:val="single" w:sz="8" w:space="0" w:color="auto"/>
            </w:tcBorders>
            <w:shd w:val="clear" w:color="000000" w:fill="BFBFBF"/>
            <w:noWrap/>
            <w:vAlign w:val="center"/>
          </w:tcPr>
          <w:p w:rsidR="00B37580" w:rsidRPr="00B37580" w:rsidRDefault="00B37580" w:rsidP="00B37580">
            <w:pPr>
              <w:rPr>
                <w:rFonts w:ascii="Arial Narrow" w:hAnsi="Arial Narrow"/>
                <w:bCs/>
                <w:i/>
                <w:iCs/>
                <w:color w:val="000000"/>
              </w:rPr>
            </w:pPr>
            <w:r w:rsidRPr="00B37580">
              <w:rPr>
                <w:rFonts w:ascii="Arial Narrow" w:hAnsi="Arial Narrow"/>
                <w:b/>
                <w:bCs/>
                <w:color w:val="000000"/>
              </w:rPr>
              <w:t xml:space="preserve">Vplyv na počet zamestnancov </w:t>
            </w:r>
          </w:p>
        </w:tc>
        <w:tc>
          <w:tcPr>
            <w:tcW w:w="1134" w:type="dxa"/>
            <w:tcBorders>
              <w:top w:val="nil"/>
              <w:left w:val="nil"/>
              <w:bottom w:val="single" w:sz="8" w:space="0" w:color="auto"/>
              <w:right w:val="single" w:sz="8" w:space="0" w:color="auto"/>
            </w:tcBorders>
            <w:shd w:val="clear" w:color="000000" w:fill="BFBFBF"/>
            <w:noWrap/>
            <w:vAlign w:val="center"/>
          </w:tcPr>
          <w:p w:rsidR="00B37580" w:rsidRPr="00B37580" w:rsidRDefault="00B37580" w:rsidP="00B37580">
            <w:pPr>
              <w:jc w:val="right"/>
              <w:rPr>
                <w:rFonts w:ascii="Arial Narrow" w:hAnsi="Arial Narrow" w:cs="Calibri"/>
                <w:color w:val="000000"/>
                <w:lang w:eastAsia="en-US"/>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shd w:val="clear" w:color="000000" w:fill="BFBFBF"/>
            <w:noWrap/>
            <w:vAlign w:val="center"/>
          </w:tcPr>
          <w:p w:rsidR="00B37580" w:rsidRPr="00B37580" w:rsidRDefault="00B37580" w:rsidP="00B37580">
            <w:pPr>
              <w:jc w:val="right"/>
              <w:rPr>
                <w:rFonts w:ascii="Arial Narrow" w:hAnsi="Arial Narrow" w:cs="Calibri"/>
                <w:bCs/>
                <w:color w:val="000000"/>
                <w:lang w:eastAsia="en-US"/>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shd w:val="clear" w:color="000000" w:fill="BFBFBF"/>
            <w:noWrap/>
            <w:vAlign w:val="center"/>
          </w:tcPr>
          <w:p w:rsidR="00B37580" w:rsidRPr="00B37580" w:rsidRDefault="00B37580" w:rsidP="00B37580">
            <w:pPr>
              <w:jc w:val="right"/>
              <w:rPr>
                <w:rFonts w:ascii="Arial Narrow" w:hAnsi="Arial Narrow" w:cs="Calibri"/>
                <w:bCs/>
                <w:color w:val="000000"/>
                <w:lang w:eastAsia="en-US"/>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shd w:val="clear" w:color="000000" w:fill="BFBFBF"/>
            <w:noWrap/>
            <w:vAlign w:val="center"/>
          </w:tcPr>
          <w:p w:rsidR="00B37580" w:rsidRPr="00B37580" w:rsidRDefault="00B37580" w:rsidP="00B37580">
            <w:pPr>
              <w:jc w:val="right"/>
              <w:rPr>
                <w:rFonts w:ascii="Arial Narrow" w:hAnsi="Arial Narrow" w:cs="Calibri"/>
                <w:bCs/>
                <w:color w:val="000000"/>
                <w:lang w:eastAsia="en-US"/>
              </w:rPr>
            </w:pPr>
            <w:r w:rsidRPr="00B37580">
              <w:rPr>
                <w:rFonts w:ascii="Arial Narrow" w:hAnsi="Arial Narrow"/>
                <w:b/>
                <w:bCs/>
                <w:color w:val="000000"/>
              </w:rPr>
              <w:t>0</w:t>
            </w:r>
          </w:p>
        </w:tc>
      </w:tr>
      <w:tr w:rsidR="00B37580" w:rsidRPr="00B37580" w:rsidTr="008046BF">
        <w:trPr>
          <w:gridAfter w:val="1"/>
          <w:wAfter w:w="4835" w:type="dxa"/>
          <w:trHeight w:val="230"/>
        </w:trPr>
        <w:tc>
          <w:tcPr>
            <w:tcW w:w="4835" w:type="dxa"/>
            <w:tcBorders>
              <w:top w:val="nil"/>
              <w:left w:val="single" w:sz="8" w:space="0" w:color="auto"/>
              <w:bottom w:val="single" w:sz="8" w:space="0" w:color="auto"/>
              <w:right w:val="single" w:sz="8" w:space="0" w:color="auto"/>
            </w:tcBorders>
            <w:noWrap/>
            <w:vAlign w:val="center"/>
          </w:tcPr>
          <w:p w:rsidR="00B37580" w:rsidRPr="00B37580" w:rsidRDefault="00B37580" w:rsidP="00B37580">
            <w:pPr>
              <w:rPr>
                <w:rFonts w:ascii="Arial Narrow" w:hAnsi="Arial Narrow"/>
                <w:bCs/>
                <w:i/>
                <w:iCs/>
                <w:color w:val="000000"/>
              </w:rPr>
            </w:pPr>
            <w:r w:rsidRPr="00B37580">
              <w:rPr>
                <w:rFonts w:ascii="Arial Narrow" w:hAnsi="Arial Narrow"/>
                <w:b/>
                <w:bCs/>
                <w:i/>
                <w:iCs/>
                <w:color w:val="000000"/>
              </w:rPr>
              <w:t>- vplyv na ŠR</w:t>
            </w:r>
          </w:p>
        </w:tc>
        <w:tc>
          <w:tcPr>
            <w:tcW w:w="1134" w:type="dxa"/>
            <w:tcBorders>
              <w:top w:val="nil"/>
              <w:left w:val="nil"/>
              <w:bottom w:val="single" w:sz="8" w:space="0" w:color="auto"/>
              <w:right w:val="single" w:sz="8" w:space="0" w:color="auto"/>
            </w:tcBorders>
            <w:noWrap/>
            <w:vAlign w:val="center"/>
          </w:tcPr>
          <w:p w:rsidR="00B37580" w:rsidRPr="00B37580" w:rsidRDefault="00B37580" w:rsidP="00B37580">
            <w:pPr>
              <w:jc w:val="right"/>
              <w:rPr>
                <w:rFonts w:ascii="Arial Narrow" w:hAnsi="Arial Narrow" w:cs="Calibri"/>
                <w:color w:val="000000"/>
                <w:lang w:eastAsia="en-US"/>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noWrap/>
            <w:vAlign w:val="center"/>
          </w:tcPr>
          <w:p w:rsidR="00B37580" w:rsidRPr="00B37580" w:rsidRDefault="00B37580" w:rsidP="00B37580">
            <w:pPr>
              <w:jc w:val="right"/>
              <w:rPr>
                <w:rFonts w:ascii="Arial Narrow" w:hAnsi="Arial Narrow" w:cs="Calibri"/>
                <w:bCs/>
                <w:color w:val="000000"/>
                <w:lang w:eastAsia="en-US"/>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noWrap/>
            <w:vAlign w:val="center"/>
          </w:tcPr>
          <w:p w:rsidR="00B37580" w:rsidRPr="00B37580" w:rsidRDefault="00B37580" w:rsidP="00B37580">
            <w:pPr>
              <w:jc w:val="right"/>
              <w:rPr>
                <w:rFonts w:ascii="Arial Narrow" w:hAnsi="Arial Narrow" w:cs="Calibri"/>
                <w:bCs/>
                <w:color w:val="000000"/>
                <w:lang w:eastAsia="en-US"/>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noWrap/>
            <w:vAlign w:val="center"/>
          </w:tcPr>
          <w:p w:rsidR="00B37580" w:rsidRPr="00B37580" w:rsidRDefault="00B37580" w:rsidP="00B37580">
            <w:pPr>
              <w:jc w:val="right"/>
              <w:rPr>
                <w:rFonts w:ascii="Arial Narrow" w:hAnsi="Arial Narrow" w:cs="Calibri"/>
                <w:bCs/>
                <w:color w:val="000000"/>
                <w:lang w:eastAsia="en-US"/>
              </w:rPr>
            </w:pPr>
            <w:r w:rsidRPr="00B37580">
              <w:rPr>
                <w:rFonts w:ascii="Arial Narrow" w:hAnsi="Arial Narrow"/>
                <w:b/>
                <w:bCs/>
                <w:color w:val="000000"/>
              </w:rPr>
              <w:t>0</w:t>
            </w:r>
          </w:p>
        </w:tc>
      </w:tr>
      <w:tr w:rsidR="00B37580" w:rsidRPr="00B37580" w:rsidTr="008046BF">
        <w:trPr>
          <w:gridAfter w:val="1"/>
          <w:wAfter w:w="4835" w:type="dxa"/>
          <w:trHeight w:val="163"/>
        </w:trPr>
        <w:tc>
          <w:tcPr>
            <w:tcW w:w="4835" w:type="dxa"/>
            <w:tcBorders>
              <w:top w:val="nil"/>
              <w:left w:val="single" w:sz="8" w:space="0" w:color="auto"/>
              <w:bottom w:val="single" w:sz="8" w:space="0" w:color="auto"/>
              <w:right w:val="single" w:sz="8" w:space="0" w:color="auto"/>
            </w:tcBorders>
            <w:noWrap/>
            <w:vAlign w:val="center"/>
          </w:tcPr>
          <w:p w:rsidR="00B37580" w:rsidRPr="00B37580" w:rsidRDefault="00B37580" w:rsidP="00B37580">
            <w:pPr>
              <w:rPr>
                <w:rFonts w:ascii="Arial Narrow" w:hAnsi="Arial Narrow"/>
                <w:bCs/>
                <w:i/>
                <w:iCs/>
                <w:color w:val="000000"/>
              </w:rPr>
            </w:pPr>
            <w:r w:rsidRPr="00B37580">
              <w:rPr>
                <w:rFonts w:ascii="Arial Narrow" w:hAnsi="Arial Narrow"/>
                <w:b/>
                <w:bCs/>
                <w:i/>
                <w:iCs/>
                <w:color w:val="000000"/>
              </w:rPr>
              <w:t>- vplyv na obce</w:t>
            </w:r>
          </w:p>
        </w:tc>
        <w:tc>
          <w:tcPr>
            <w:tcW w:w="1134" w:type="dxa"/>
            <w:tcBorders>
              <w:top w:val="nil"/>
              <w:left w:val="nil"/>
              <w:bottom w:val="single" w:sz="8" w:space="0" w:color="auto"/>
              <w:right w:val="single" w:sz="8" w:space="0" w:color="auto"/>
            </w:tcBorders>
            <w:noWrap/>
            <w:vAlign w:val="center"/>
          </w:tcPr>
          <w:p w:rsidR="00B37580" w:rsidRPr="00B37580" w:rsidRDefault="00B37580" w:rsidP="00B37580">
            <w:pPr>
              <w:jc w:val="right"/>
              <w:rPr>
                <w:rFonts w:ascii="Arial Narrow" w:hAnsi="Arial Narrow" w:cs="Calibri"/>
                <w:color w:val="000000"/>
                <w:lang w:eastAsia="en-US"/>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noWrap/>
            <w:vAlign w:val="center"/>
          </w:tcPr>
          <w:p w:rsidR="00B37580" w:rsidRPr="00B37580" w:rsidRDefault="00B37580" w:rsidP="00B37580">
            <w:pPr>
              <w:jc w:val="right"/>
              <w:rPr>
                <w:rFonts w:ascii="Arial Narrow" w:hAnsi="Arial Narrow" w:cs="Calibri"/>
                <w:bCs/>
                <w:color w:val="000000"/>
                <w:lang w:eastAsia="en-US"/>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noWrap/>
            <w:vAlign w:val="center"/>
          </w:tcPr>
          <w:p w:rsidR="00B37580" w:rsidRPr="00B37580" w:rsidRDefault="00B37580" w:rsidP="00B37580">
            <w:pPr>
              <w:jc w:val="right"/>
              <w:rPr>
                <w:rFonts w:ascii="Arial Narrow" w:hAnsi="Arial Narrow" w:cs="Calibri"/>
                <w:bCs/>
                <w:color w:val="000000"/>
                <w:lang w:eastAsia="en-US"/>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noWrap/>
            <w:vAlign w:val="center"/>
          </w:tcPr>
          <w:p w:rsidR="00B37580" w:rsidRPr="00B37580" w:rsidRDefault="00B37580" w:rsidP="00B37580">
            <w:pPr>
              <w:jc w:val="right"/>
              <w:rPr>
                <w:rFonts w:ascii="Arial Narrow" w:hAnsi="Arial Narrow" w:cs="Calibri"/>
                <w:bCs/>
                <w:color w:val="000000"/>
                <w:lang w:eastAsia="en-US"/>
              </w:rPr>
            </w:pPr>
            <w:r w:rsidRPr="00B37580">
              <w:rPr>
                <w:rFonts w:ascii="Arial Narrow" w:hAnsi="Arial Narrow"/>
                <w:b/>
                <w:bCs/>
                <w:color w:val="000000"/>
              </w:rPr>
              <w:t>0</w:t>
            </w:r>
          </w:p>
        </w:tc>
      </w:tr>
      <w:tr w:rsidR="00B37580" w:rsidRPr="00B37580" w:rsidTr="008046BF">
        <w:trPr>
          <w:gridAfter w:val="1"/>
          <w:wAfter w:w="4835" w:type="dxa"/>
          <w:trHeight w:val="216"/>
        </w:trPr>
        <w:tc>
          <w:tcPr>
            <w:tcW w:w="4835" w:type="dxa"/>
            <w:tcBorders>
              <w:top w:val="nil"/>
              <w:left w:val="single" w:sz="8" w:space="0" w:color="auto"/>
              <w:bottom w:val="single" w:sz="8" w:space="0" w:color="auto"/>
              <w:right w:val="single" w:sz="8" w:space="0" w:color="auto"/>
            </w:tcBorders>
            <w:noWrap/>
            <w:vAlign w:val="center"/>
            <w:hideMark/>
          </w:tcPr>
          <w:p w:rsidR="00B37580" w:rsidRPr="00B37580" w:rsidRDefault="00B37580" w:rsidP="00B37580">
            <w:pPr>
              <w:rPr>
                <w:rFonts w:ascii="Arial Narrow" w:hAnsi="Arial Narrow"/>
                <w:b/>
                <w:bCs/>
                <w:color w:val="000000"/>
              </w:rPr>
            </w:pPr>
            <w:r w:rsidRPr="00B37580">
              <w:rPr>
                <w:rFonts w:ascii="Arial Narrow" w:hAnsi="Arial Narrow"/>
                <w:b/>
                <w:bCs/>
                <w:i/>
                <w:iCs/>
                <w:color w:val="000000"/>
              </w:rPr>
              <w:t>- vplyv na vyššie územné celky</w:t>
            </w:r>
          </w:p>
        </w:tc>
        <w:tc>
          <w:tcPr>
            <w:tcW w:w="1134"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r>
      <w:tr w:rsidR="00B37580" w:rsidRPr="00B37580" w:rsidTr="008046BF">
        <w:trPr>
          <w:gridAfter w:val="1"/>
          <w:wAfter w:w="4835" w:type="dxa"/>
          <w:trHeight w:val="154"/>
        </w:trPr>
        <w:tc>
          <w:tcPr>
            <w:tcW w:w="4835" w:type="dxa"/>
            <w:tcBorders>
              <w:top w:val="nil"/>
              <w:left w:val="single" w:sz="8" w:space="0" w:color="auto"/>
              <w:bottom w:val="single" w:sz="8" w:space="0" w:color="auto"/>
              <w:right w:val="single" w:sz="8" w:space="0" w:color="auto"/>
            </w:tcBorders>
            <w:noWrap/>
            <w:vAlign w:val="center"/>
            <w:hideMark/>
          </w:tcPr>
          <w:p w:rsidR="00B37580" w:rsidRPr="00B37580" w:rsidRDefault="00B37580" w:rsidP="00B37580">
            <w:pPr>
              <w:rPr>
                <w:rFonts w:ascii="Arial Narrow" w:hAnsi="Arial Narrow"/>
                <w:b/>
                <w:bCs/>
                <w:i/>
                <w:iCs/>
                <w:color w:val="000000"/>
              </w:rPr>
            </w:pPr>
            <w:r w:rsidRPr="00B37580">
              <w:rPr>
                <w:rFonts w:ascii="Arial Narrow" w:hAnsi="Arial Narrow"/>
                <w:b/>
                <w:bCs/>
                <w:i/>
                <w:iCs/>
                <w:color w:val="000000"/>
              </w:rPr>
              <w:t>- vplyv na ostatné subjekty verejnej správy</w:t>
            </w:r>
          </w:p>
        </w:tc>
        <w:tc>
          <w:tcPr>
            <w:tcW w:w="1134"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r>
      <w:tr w:rsidR="00B37580" w:rsidRPr="00B37580" w:rsidTr="008046BF">
        <w:trPr>
          <w:gridAfter w:val="1"/>
          <w:wAfter w:w="4835" w:type="dxa"/>
          <w:trHeight w:val="262"/>
        </w:trPr>
        <w:tc>
          <w:tcPr>
            <w:tcW w:w="4835" w:type="dxa"/>
            <w:tcBorders>
              <w:top w:val="nil"/>
              <w:left w:val="single" w:sz="8" w:space="0" w:color="auto"/>
              <w:bottom w:val="single" w:sz="8" w:space="0" w:color="auto"/>
              <w:right w:val="single" w:sz="8" w:space="0" w:color="auto"/>
            </w:tcBorders>
            <w:shd w:val="clear" w:color="000000" w:fill="BFBFBF"/>
            <w:noWrap/>
            <w:vAlign w:val="center"/>
            <w:hideMark/>
          </w:tcPr>
          <w:p w:rsidR="00B37580" w:rsidRPr="00B37580" w:rsidRDefault="00B37580" w:rsidP="00B37580">
            <w:pPr>
              <w:rPr>
                <w:rFonts w:ascii="Arial Narrow" w:hAnsi="Arial Narrow"/>
                <w:b/>
                <w:bCs/>
                <w:i/>
                <w:iCs/>
                <w:color w:val="000000"/>
              </w:rPr>
            </w:pPr>
            <w:r w:rsidRPr="00B37580">
              <w:rPr>
                <w:rFonts w:ascii="Arial Narrow" w:hAnsi="Arial Narrow"/>
                <w:b/>
                <w:bCs/>
                <w:color w:val="000000"/>
              </w:rPr>
              <w:t>Vplyv na mzdové výdavky</w:t>
            </w:r>
          </w:p>
        </w:tc>
        <w:tc>
          <w:tcPr>
            <w:tcW w:w="1134" w:type="dxa"/>
            <w:tcBorders>
              <w:top w:val="nil"/>
              <w:left w:val="nil"/>
              <w:bottom w:val="single" w:sz="8" w:space="0" w:color="auto"/>
              <w:right w:val="single" w:sz="8" w:space="0" w:color="auto"/>
            </w:tcBorders>
            <w:shd w:val="clear" w:color="000000" w:fill="BFBFBF"/>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shd w:val="clear" w:color="000000" w:fill="BFBFBF"/>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shd w:val="clear" w:color="000000" w:fill="BFBFBF"/>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shd w:val="clear" w:color="000000" w:fill="BFBFBF"/>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r>
      <w:tr w:rsidR="00B37580" w:rsidRPr="00B37580" w:rsidTr="008046BF">
        <w:trPr>
          <w:gridAfter w:val="1"/>
          <w:wAfter w:w="4835" w:type="dxa"/>
          <w:trHeight w:val="265"/>
        </w:trPr>
        <w:tc>
          <w:tcPr>
            <w:tcW w:w="4835" w:type="dxa"/>
            <w:tcBorders>
              <w:top w:val="nil"/>
              <w:left w:val="single" w:sz="8" w:space="0" w:color="auto"/>
              <w:bottom w:val="single" w:sz="8" w:space="0" w:color="auto"/>
              <w:right w:val="single" w:sz="8" w:space="0" w:color="auto"/>
            </w:tcBorders>
            <w:noWrap/>
            <w:vAlign w:val="center"/>
            <w:hideMark/>
          </w:tcPr>
          <w:p w:rsidR="00B37580" w:rsidRPr="00B37580" w:rsidRDefault="00B37580" w:rsidP="00B37580">
            <w:pPr>
              <w:rPr>
                <w:rFonts w:ascii="Arial Narrow" w:hAnsi="Arial Narrow"/>
                <w:b/>
                <w:bCs/>
                <w:i/>
                <w:iCs/>
                <w:color w:val="000000"/>
              </w:rPr>
            </w:pPr>
            <w:r w:rsidRPr="00B37580">
              <w:rPr>
                <w:rFonts w:ascii="Arial Narrow" w:hAnsi="Arial Narrow"/>
                <w:b/>
                <w:bCs/>
                <w:i/>
                <w:iCs/>
                <w:color w:val="000000"/>
              </w:rPr>
              <w:t>- vplyv na ŠR</w:t>
            </w:r>
          </w:p>
        </w:tc>
        <w:tc>
          <w:tcPr>
            <w:tcW w:w="1134"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r>
      <w:tr w:rsidR="00B37580" w:rsidRPr="00B37580" w:rsidTr="008046BF">
        <w:trPr>
          <w:gridAfter w:val="1"/>
          <w:wAfter w:w="4835" w:type="dxa"/>
          <w:trHeight w:val="179"/>
        </w:trPr>
        <w:tc>
          <w:tcPr>
            <w:tcW w:w="4835" w:type="dxa"/>
            <w:tcBorders>
              <w:top w:val="nil"/>
              <w:left w:val="single" w:sz="8" w:space="0" w:color="auto"/>
              <w:bottom w:val="single" w:sz="8" w:space="0" w:color="auto"/>
              <w:right w:val="single" w:sz="8" w:space="0" w:color="auto"/>
            </w:tcBorders>
            <w:noWrap/>
            <w:vAlign w:val="center"/>
            <w:hideMark/>
          </w:tcPr>
          <w:p w:rsidR="00B37580" w:rsidRPr="00B37580" w:rsidRDefault="00B37580" w:rsidP="00B37580">
            <w:pPr>
              <w:rPr>
                <w:rFonts w:ascii="Arial Narrow" w:hAnsi="Arial Narrow"/>
                <w:b/>
                <w:bCs/>
                <w:i/>
                <w:iCs/>
                <w:color w:val="000000"/>
              </w:rPr>
            </w:pPr>
            <w:r w:rsidRPr="00B37580">
              <w:rPr>
                <w:rFonts w:ascii="Arial Narrow" w:hAnsi="Arial Narrow"/>
                <w:b/>
                <w:bCs/>
                <w:i/>
                <w:iCs/>
                <w:color w:val="000000"/>
              </w:rPr>
              <w:t>- vplyv na obce</w:t>
            </w:r>
          </w:p>
        </w:tc>
        <w:tc>
          <w:tcPr>
            <w:tcW w:w="1134"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r>
      <w:tr w:rsidR="00B37580" w:rsidRPr="00B37580" w:rsidTr="008046BF">
        <w:trPr>
          <w:gridAfter w:val="1"/>
          <w:wAfter w:w="4835" w:type="dxa"/>
          <w:trHeight w:val="112"/>
        </w:trPr>
        <w:tc>
          <w:tcPr>
            <w:tcW w:w="4835" w:type="dxa"/>
            <w:tcBorders>
              <w:top w:val="nil"/>
              <w:left w:val="single" w:sz="8" w:space="0" w:color="auto"/>
              <w:bottom w:val="single" w:sz="8" w:space="0" w:color="auto"/>
              <w:right w:val="single" w:sz="8" w:space="0" w:color="auto"/>
            </w:tcBorders>
            <w:noWrap/>
            <w:vAlign w:val="center"/>
            <w:hideMark/>
          </w:tcPr>
          <w:p w:rsidR="00B37580" w:rsidRPr="00B37580" w:rsidRDefault="00B37580" w:rsidP="00B37580">
            <w:pPr>
              <w:rPr>
                <w:rFonts w:ascii="Arial Narrow" w:hAnsi="Arial Narrow"/>
                <w:b/>
                <w:bCs/>
                <w:color w:val="000000"/>
              </w:rPr>
            </w:pPr>
            <w:r w:rsidRPr="00B37580">
              <w:rPr>
                <w:rFonts w:ascii="Arial Narrow" w:hAnsi="Arial Narrow"/>
                <w:b/>
                <w:bCs/>
                <w:i/>
                <w:iCs/>
                <w:color w:val="000000"/>
              </w:rPr>
              <w:t>- vplyv na vyššie územné celky</w:t>
            </w:r>
          </w:p>
        </w:tc>
        <w:tc>
          <w:tcPr>
            <w:tcW w:w="1134"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r>
      <w:tr w:rsidR="00B37580" w:rsidRPr="00B37580" w:rsidTr="008046BF">
        <w:trPr>
          <w:gridAfter w:val="1"/>
          <w:wAfter w:w="4835" w:type="dxa"/>
          <w:trHeight w:val="245"/>
        </w:trPr>
        <w:tc>
          <w:tcPr>
            <w:tcW w:w="4835" w:type="dxa"/>
            <w:tcBorders>
              <w:top w:val="nil"/>
              <w:left w:val="single" w:sz="8" w:space="0" w:color="auto"/>
              <w:bottom w:val="single" w:sz="8" w:space="0" w:color="auto"/>
              <w:right w:val="single" w:sz="8" w:space="0" w:color="auto"/>
            </w:tcBorders>
            <w:noWrap/>
            <w:vAlign w:val="center"/>
            <w:hideMark/>
          </w:tcPr>
          <w:p w:rsidR="00B37580" w:rsidRPr="00B37580" w:rsidRDefault="00B37580" w:rsidP="00B37580">
            <w:pPr>
              <w:rPr>
                <w:rFonts w:ascii="Arial Narrow" w:hAnsi="Arial Narrow"/>
                <w:b/>
                <w:bCs/>
                <w:i/>
                <w:iCs/>
                <w:color w:val="000000"/>
              </w:rPr>
            </w:pPr>
            <w:r w:rsidRPr="00B37580">
              <w:rPr>
                <w:rFonts w:ascii="Arial Narrow" w:hAnsi="Arial Narrow"/>
                <w:b/>
                <w:bCs/>
                <w:i/>
                <w:iCs/>
                <w:color w:val="000000"/>
              </w:rPr>
              <w:t>- vplyv na ostatné subjekty verejnej správy</w:t>
            </w:r>
          </w:p>
        </w:tc>
        <w:tc>
          <w:tcPr>
            <w:tcW w:w="1134"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noWrap/>
            <w:vAlign w:val="center"/>
            <w:hideMark/>
          </w:tcPr>
          <w:p w:rsidR="00B37580" w:rsidRPr="00B37580" w:rsidRDefault="00B37580" w:rsidP="00B37580">
            <w:pPr>
              <w:jc w:val="right"/>
              <w:rPr>
                <w:rFonts w:ascii="Arial Narrow" w:hAnsi="Arial Narrow"/>
                <w:b/>
                <w:bCs/>
                <w:color w:val="000000"/>
              </w:rPr>
            </w:pPr>
            <w:r w:rsidRPr="00B37580">
              <w:rPr>
                <w:rFonts w:ascii="Arial Narrow" w:hAnsi="Arial Narrow"/>
                <w:b/>
                <w:bCs/>
                <w:color w:val="000000"/>
              </w:rPr>
              <w:t>0</w:t>
            </w:r>
          </w:p>
        </w:tc>
      </w:tr>
      <w:tr w:rsidR="00B37580" w:rsidRPr="00B37580" w:rsidTr="008046BF">
        <w:trPr>
          <w:gridAfter w:val="1"/>
          <w:wAfter w:w="4835" w:type="dxa"/>
          <w:trHeight w:val="262"/>
        </w:trPr>
        <w:tc>
          <w:tcPr>
            <w:tcW w:w="4835" w:type="dxa"/>
            <w:tcBorders>
              <w:top w:val="single" w:sz="8" w:space="0" w:color="auto"/>
              <w:left w:val="single" w:sz="8" w:space="0" w:color="auto"/>
              <w:bottom w:val="single" w:sz="4" w:space="0" w:color="auto"/>
              <w:right w:val="single" w:sz="8" w:space="0" w:color="auto"/>
            </w:tcBorders>
            <w:shd w:val="clear" w:color="000000" w:fill="C0C0C0"/>
            <w:noWrap/>
            <w:vAlign w:val="center"/>
            <w:hideMark/>
          </w:tcPr>
          <w:p w:rsidR="00B37580" w:rsidRPr="00B37580" w:rsidRDefault="00B37580" w:rsidP="00B37580">
            <w:pPr>
              <w:rPr>
                <w:rFonts w:ascii="Arial Narrow" w:hAnsi="Arial Narrow"/>
                <w:b/>
                <w:bCs/>
                <w:i/>
                <w:iCs/>
                <w:color w:val="000000" w:themeColor="text1"/>
              </w:rPr>
            </w:pPr>
            <w:r w:rsidRPr="00B37580">
              <w:rPr>
                <w:rFonts w:ascii="Arial Narrow" w:hAnsi="Arial Narrow"/>
                <w:b/>
                <w:bCs/>
                <w:color w:val="000000" w:themeColor="text1"/>
              </w:rPr>
              <w:t>Financovanie zabezpečené v rozpočte</w:t>
            </w:r>
          </w:p>
        </w:tc>
        <w:tc>
          <w:tcPr>
            <w:tcW w:w="1134" w:type="dxa"/>
            <w:tcBorders>
              <w:top w:val="single" w:sz="8" w:space="0" w:color="auto"/>
              <w:left w:val="nil"/>
              <w:bottom w:val="single" w:sz="4" w:space="0" w:color="auto"/>
              <w:right w:val="single" w:sz="8" w:space="0" w:color="auto"/>
            </w:tcBorders>
            <w:shd w:val="clear" w:color="000000" w:fill="C0C0C0"/>
            <w:noWrap/>
            <w:vAlign w:val="bottom"/>
            <w:hideMark/>
          </w:tcPr>
          <w:p w:rsidR="00B37580" w:rsidRPr="00B37580" w:rsidRDefault="00B37580" w:rsidP="00B37580">
            <w:pPr>
              <w:jc w:val="right"/>
              <w:rPr>
                <w:rFonts w:ascii="Arial Narrow" w:hAnsi="Arial Narrow" w:cs="Calibri"/>
                <w:b/>
                <w:lang w:eastAsia="en-US"/>
              </w:rPr>
            </w:pPr>
            <w:r w:rsidRPr="00B37580">
              <w:rPr>
                <w:rFonts w:ascii="Arial Narrow" w:hAnsi="Arial Narrow" w:cs="Calibri"/>
                <w:b/>
                <w:lang w:eastAsia="en-US"/>
              </w:rPr>
              <w:t xml:space="preserve">-1.153.606 </w:t>
            </w:r>
          </w:p>
        </w:tc>
        <w:tc>
          <w:tcPr>
            <w:tcW w:w="1215" w:type="dxa"/>
            <w:tcBorders>
              <w:top w:val="single" w:sz="8" w:space="0" w:color="auto"/>
              <w:left w:val="nil"/>
              <w:bottom w:val="single" w:sz="4" w:space="0" w:color="auto"/>
              <w:right w:val="single" w:sz="8" w:space="0" w:color="auto"/>
            </w:tcBorders>
            <w:shd w:val="clear" w:color="000000" w:fill="C0C0C0"/>
            <w:noWrap/>
            <w:vAlign w:val="bottom"/>
            <w:hideMark/>
          </w:tcPr>
          <w:p w:rsidR="00B37580" w:rsidRPr="00B37580" w:rsidRDefault="00B37580" w:rsidP="00B37580">
            <w:pPr>
              <w:jc w:val="right"/>
              <w:rPr>
                <w:rFonts w:ascii="Arial Narrow" w:hAnsi="Arial Narrow" w:cs="Calibri"/>
                <w:b/>
                <w:bCs/>
                <w:lang w:eastAsia="en-US"/>
              </w:rPr>
            </w:pPr>
            <w:r w:rsidRPr="00B37580">
              <w:rPr>
                <w:rFonts w:ascii="Arial Narrow" w:hAnsi="Arial Narrow" w:cs="Calibri"/>
                <w:b/>
                <w:bCs/>
                <w:lang w:eastAsia="en-US"/>
              </w:rPr>
              <w:t xml:space="preserve">-1.905.623 </w:t>
            </w:r>
          </w:p>
        </w:tc>
        <w:tc>
          <w:tcPr>
            <w:tcW w:w="1215" w:type="dxa"/>
            <w:tcBorders>
              <w:top w:val="single" w:sz="8" w:space="0" w:color="auto"/>
              <w:left w:val="nil"/>
              <w:bottom w:val="single" w:sz="4" w:space="0" w:color="auto"/>
              <w:right w:val="single" w:sz="8" w:space="0" w:color="auto"/>
            </w:tcBorders>
            <w:shd w:val="clear" w:color="000000" w:fill="C0C0C0"/>
            <w:noWrap/>
            <w:vAlign w:val="bottom"/>
            <w:hideMark/>
          </w:tcPr>
          <w:p w:rsidR="00B37580" w:rsidRPr="00B37580" w:rsidRDefault="00B37580" w:rsidP="00B37580">
            <w:pPr>
              <w:jc w:val="right"/>
              <w:rPr>
                <w:rFonts w:ascii="Arial Narrow" w:hAnsi="Arial Narrow" w:cs="Calibri"/>
                <w:b/>
                <w:bCs/>
                <w:lang w:eastAsia="en-US"/>
              </w:rPr>
            </w:pPr>
            <w:r w:rsidRPr="00B37580">
              <w:rPr>
                <w:rFonts w:ascii="Arial Narrow" w:hAnsi="Arial Narrow" w:cs="Calibri"/>
                <w:b/>
                <w:bCs/>
                <w:lang w:eastAsia="en-US"/>
              </w:rPr>
              <w:t xml:space="preserve">-1.472.653 </w:t>
            </w:r>
          </w:p>
        </w:tc>
        <w:tc>
          <w:tcPr>
            <w:tcW w:w="1215" w:type="dxa"/>
            <w:tcBorders>
              <w:top w:val="single" w:sz="8" w:space="0" w:color="auto"/>
              <w:left w:val="nil"/>
              <w:bottom w:val="single" w:sz="4" w:space="0" w:color="auto"/>
              <w:right w:val="single" w:sz="8" w:space="0" w:color="auto"/>
            </w:tcBorders>
            <w:shd w:val="clear" w:color="000000" w:fill="C0C0C0"/>
            <w:noWrap/>
            <w:vAlign w:val="bottom"/>
            <w:hideMark/>
          </w:tcPr>
          <w:p w:rsidR="00B37580" w:rsidRPr="00B37580" w:rsidRDefault="00B37580" w:rsidP="00B37580">
            <w:pPr>
              <w:jc w:val="right"/>
              <w:rPr>
                <w:rFonts w:ascii="Arial Narrow" w:hAnsi="Arial Narrow" w:cs="Calibri"/>
                <w:b/>
                <w:bCs/>
                <w:lang w:eastAsia="en-US"/>
              </w:rPr>
            </w:pPr>
            <w:r w:rsidRPr="00B37580">
              <w:rPr>
                <w:rFonts w:ascii="Arial Narrow" w:hAnsi="Arial Narrow" w:cs="Calibri"/>
                <w:b/>
                <w:bCs/>
                <w:lang w:eastAsia="en-US"/>
              </w:rPr>
              <w:t xml:space="preserve">-1.436.582 </w:t>
            </w:r>
          </w:p>
        </w:tc>
      </w:tr>
      <w:tr w:rsidR="00B37580" w:rsidRPr="00B37580" w:rsidTr="008046BF">
        <w:trPr>
          <w:gridAfter w:val="1"/>
          <w:wAfter w:w="4835" w:type="dxa"/>
          <w:trHeight w:val="414"/>
        </w:trPr>
        <w:tc>
          <w:tcPr>
            <w:tcW w:w="4835" w:type="dxa"/>
            <w:tcBorders>
              <w:top w:val="nil"/>
              <w:left w:val="single" w:sz="8" w:space="0" w:color="auto"/>
              <w:bottom w:val="single" w:sz="8" w:space="0" w:color="auto"/>
              <w:right w:val="single" w:sz="8" w:space="0" w:color="auto"/>
            </w:tcBorders>
            <w:noWrap/>
            <w:vAlign w:val="center"/>
            <w:hideMark/>
          </w:tcPr>
          <w:p w:rsidR="00B37580" w:rsidRPr="00B37580" w:rsidRDefault="00B37580" w:rsidP="00B37580">
            <w:pPr>
              <w:rPr>
                <w:rFonts w:ascii="Arial Narrow" w:hAnsi="Arial Narrow" w:cs="Calibri"/>
              </w:rPr>
            </w:pPr>
            <w:r w:rsidRPr="00B37580">
              <w:rPr>
                <w:rFonts w:ascii="Arial Narrow" w:hAnsi="Arial Narrow" w:cs="Calibri"/>
              </w:rPr>
              <w:t xml:space="preserve">z toho vplyv na </w:t>
            </w:r>
          </w:p>
          <w:p w:rsidR="00B37580" w:rsidRPr="00B37580" w:rsidRDefault="00B37580" w:rsidP="00B37580">
            <w:pPr>
              <w:rPr>
                <w:rFonts w:ascii="Arial Narrow" w:hAnsi="Arial Narrow"/>
                <w:b/>
                <w:bCs/>
                <w:i/>
                <w:iCs/>
              </w:rPr>
            </w:pPr>
            <w:r w:rsidRPr="00B37580">
              <w:rPr>
                <w:rFonts w:ascii="Arial Narrow" w:hAnsi="Arial Narrow" w:cs="Calibri"/>
              </w:rPr>
              <w:t>útvar sociálneho zabezpečenia MV SR, SIS</w:t>
            </w:r>
          </w:p>
        </w:tc>
        <w:tc>
          <w:tcPr>
            <w:tcW w:w="1134" w:type="dxa"/>
            <w:tcBorders>
              <w:top w:val="nil"/>
              <w:left w:val="single" w:sz="4" w:space="0" w:color="auto"/>
              <w:bottom w:val="single" w:sz="4" w:space="0" w:color="auto"/>
              <w:right w:val="single" w:sz="4" w:space="0" w:color="auto"/>
            </w:tcBorders>
            <w:noWrap/>
            <w:vAlign w:val="bottom"/>
            <w:hideMark/>
          </w:tcPr>
          <w:p w:rsidR="00B37580" w:rsidRPr="00B37580" w:rsidRDefault="00B37580" w:rsidP="00B37580">
            <w:pPr>
              <w:jc w:val="right"/>
              <w:rPr>
                <w:rFonts w:ascii="Arial Narrow" w:hAnsi="Arial Narrow" w:cs="Calibri"/>
                <w:lang w:eastAsia="en-US"/>
              </w:rPr>
            </w:pPr>
            <w:r w:rsidRPr="00B37580">
              <w:rPr>
                <w:rFonts w:ascii="Arial Narrow" w:hAnsi="Arial Narrow" w:cs="Calibri"/>
                <w:lang w:eastAsia="en-US"/>
              </w:rPr>
              <w:t xml:space="preserve">- 445.263 </w:t>
            </w:r>
          </w:p>
        </w:tc>
        <w:tc>
          <w:tcPr>
            <w:tcW w:w="1215" w:type="dxa"/>
            <w:tcBorders>
              <w:top w:val="nil"/>
              <w:left w:val="nil"/>
              <w:bottom w:val="single" w:sz="4" w:space="0" w:color="auto"/>
              <w:right w:val="single" w:sz="4" w:space="0" w:color="auto"/>
            </w:tcBorders>
            <w:noWrap/>
            <w:vAlign w:val="bottom"/>
          </w:tcPr>
          <w:p w:rsidR="00B37580" w:rsidRPr="00B37580" w:rsidRDefault="00B37580" w:rsidP="00B37580">
            <w:pPr>
              <w:jc w:val="right"/>
              <w:rPr>
                <w:rFonts w:ascii="Arial Narrow" w:hAnsi="Arial Narrow"/>
                <w:bCs/>
              </w:rPr>
            </w:pPr>
            <w:r w:rsidRPr="00B37580">
              <w:rPr>
                <w:rFonts w:ascii="Arial Narrow" w:hAnsi="Arial Narrow" w:cs="Calibri"/>
                <w:bCs/>
                <w:lang w:eastAsia="en-US"/>
              </w:rPr>
              <w:t xml:space="preserve">- 735.710 </w:t>
            </w:r>
          </w:p>
        </w:tc>
        <w:tc>
          <w:tcPr>
            <w:tcW w:w="1215" w:type="dxa"/>
            <w:tcBorders>
              <w:top w:val="nil"/>
              <w:left w:val="nil"/>
              <w:bottom w:val="single" w:sz="4" w:space="0" w:color="auto"/>
              <w:right w:val="single" w:sz="4" w:space="0" w:color="auto"/>
            </w:tcBorders>
            <w:noWrap/>
            <w:vAlign w:val="bottom"/>
          </w:tcPr>
          <w:p w:rsidR="00B37580" w:rsidRPr="00B37580" w:rsidRDefault="00B37580" w:rsidP="00B37580">
            <w:pPr>
              <w:jc w:val="right"/>
              <w:rPr>
                <w:rFonts w:ascii="Arial Narrow" w:hAnsi="Arial Narrow"/>
                <w:bCs/>
              </w:rPr>
            </w:pPr>
            <w:r w:rsidRPr="00B37580">
              <w:rPr>
                <w:rFonts w:ascii="Arial Narrow" w:hAnsi="Arial Narrow" w:cs="Calibri"/>
                <w:bCs/>
                <w:lang w:eastAsia="en-US"/>
              </w:rPr>
              <w:t xml:space="preserve">- 606.024 </w:t>
            </w:r>
          </w:p>
        </w:tc>
        <w:tc>
          <w:tcPr>
            <w:tcW w:w="1215" w:type="dxa"/>
            <w:tcBorders>
              <w:top w:val="nil"/>
              <w:left w:val="nil"/>
              <w:bottom w:val="single" w:sz="4" w:space="0" w:color="auto"/>
              <w:right w:val="single" w:sz="4" w:space="0" w:color="auto"/>
            </w:tcBorders>
            <w:noWrap/>
            <w:vAlign w:val="bottom"/>
          </w:tcPr>
          <w:p w:rsidR="00B37580" w:rsidRPr="00B37580" w:rsidRDefault="00B37580" w:rsidP="00B37580">
            <w:pPr>
              <w:jc w:val="right"/>
              <w:rPr>
                <w:rFonts w:ascii="Arial Narrow" w:hAnsi="Arial Narrow"/>
                <w:bCs/>
              </w:rPr>
            </w:pPr>
            <w:r w:rsidRPr="00B37580">
              <w:rPr>
                <w:rFonts w:ascii="Arial Narrow" w:hAnsi="Arial Narrow" w:cs="Calibri"/>
                <w:bCs/>
                <w:lang w:eastAsia="en-US"/>
              </w:rPr>
              <w:t xml:space="preserve">-662.737 </w:t>
            </w:r>
          </w:p>
        </w:tc>
      </w:tr>
      <w:tr w:rsidR="00B37580" w:rsidRPr="00B37580" w:rsidTr="008046BF">
        <w:trPr>
          <w:gridAfter w:val="1"/>
          <w:wAfter w:w="4835" w:type="dxa"/>
          <w:trHeight w:val="360"/>
        </w:trPr>
        <w:tc>
          <w:tcPr>
            <w:tcW w:w="4835" w:type="dxa"/>
            <w:tcBorders>
              <w:top w:val="nil"/>
              <w:left w:val="single" w:sz="8" w:space="0" w:color="auto"/>
              <w:bottom w:val="single" w:sz="8" w:space="0" w:color="auto"/>
              <w:right w:val="single" w:sz="8" w:space="0" w:color="auto"/>
            </w:tcBorders>
            <w:vAlign w:val="center"/>
          </w:tcPr>
          <w:p w:rsidR="00B37580" w:rsidRPr="00B37580" w:rsidRDefault="00B37580" w:rsidP="00B37580">
            <w:pPr>
              <w:rPr>
                <w:rFonts w:ascii="Arial Narrow" w:hAnsi="Arial Narrow" w:cs="Calibri"/>
              </w:rPr>
            </w:pPr>
            <w:r w:rsidRPr="00B37580">
              <w:rPr>
                <w:rFonts w:ascii="Arial Narrow" w:hAnsi="Arial Narrow" w:cs="Calibri"/>
              </w:rPr>
              <w:t>útvar sociálneho zabezpečenia ZVJS</w:t>
            </w:r>
            <w:r w:rsidRPr="00B37580">
              <w:rPr>
                <w:rFonts w:ascii="Arial Narrow" w:hAnsi="Arial Narrow" w:cs="Calibri"/>
                <w:strike/>
              </w:rPr>
              <w:t xml:space="preserve"> </w:t>
            </w:r>
          </w:p>
        </w:tc>
        <w:tc>
          <w:tcPr>
            <w:tcW w:w="1134" w:type="dxa"/>
            <w:tcBorders>
              <w:top w:val="nil"/>
              <w:left w:val="single" w:sz="4" w:space="0" w:color="auto"/>
              <w:bottom w:val="single" w:sz="4" w:space="0" w:color="auto"/>
              <w:right w:val="single" w:sz="4" w:space="0" w:color="auto"/>
            </w:tcBorders>
            <w:noWrap/>
            <w:vAlign w:val="bottom"/>
          </w:tcPr>
          <w:p w:rsidR="00B37580" w:rsidRPr="00B37580" w:rsidRDefault="00B37580" w:rsidP="00B37580">
            <w:pPr>
              <w:jc w:val="right"/>
              <w:rPr>
                <w:rFonts w:ascii="Arial Narrow" w:hAnsi="Arial Narrow" w:cs="Calibri"/>
                <w:lang w:eastAsia="en-US"/>
              </w:rPr>
            </w:pPr>
            <w:r w:rsidRPr="00B37580">
              <w:rPr>
                <w:rFonts w:ascii="Arial Narrow" w:hAnsi="Arial Narrow" w:cs="Calibri"/>
                <w:lang w:eastAsia="en-US"/>
              </w:rPr>
              <w:t xml:space="preserve">- 79.292 </w:t>
            </w:r>
          </w:p>
        </w:tc>
        <w:tc>
          <w:tcPr>
            <w:tcW w:w="1215" w:type="dxa"/>
            <w:tcBorders>
              <w:top w:val="nil"/>
              <w:left w:val="nil"/>
              <w:bottom w:val="single" w:sz="4" w:space="0" w:color="auto"/>
              <w:right w:val="single" w:sz="4" w:space="0" w:color="auto"/>
            </w:tcBorders>
            <w:noWrap/>
            <w:vAlign w:val="bottom"/>
          </w:tcPr>
          <w:p w:rsidR="00B37580" w:rsidRPr="00B37580" w:rsidRDefault="00B37580" w:rsidP="00B37580">
            <w:pPr>
              <w:jc w:val="right"/>
              <w:rPr>
                <w:rFonts w:ascii="Arial Narrow" w:hAnsi="Arial Narrow" w:cs="Calibri"/>
                <w:bCs/>
                <w:lang w:eastAsia="en-US"/>
              </w:rPr>
            </w:pPr>
            <w:r w:rsidRPr="00B37580">
              <w:rPr>
                <w:rFonts w:ascii="Arial Narrow" w:hAnsi="Arial Narrow" w:cs="Calibri"/>
                <w:bCs/>
                <w:lang w:eastAsia="en-US"/>
              </w:rPr>
              <w:t xml:space="preserve">- 113.721 </w:t>
            </w:r>
          </w:p>
        </w:tc>
        <w:tc>
          <w:tcPr>
            <w:tcW w:w="1215" w:type="dxa"/>
            <w:tcBorders>
              <w:top w:val="nil"/>
              <w:left w:val="nil"/>
              <w:bottom w:val="single" w:sz="4" w:space="0" w:color="auto"/>
              <w:right w:val="single" w:sz="4" w:space="0" w:color="auto"/>
            </w:tcBorders>
            <w:noWrap/>
            <w:vAlign w:val="bottom"/>
          </w:tcPr>
          <w:p w:rsidR="00B37580" w:rsidRPr="00B37580" w:rsidRDefault="00B37580" w:rsidP="00B37580">
            <w:pPr>
              <w:jc w:val="right"/>
              <w:rPr>
                <w:rFonts w:ascii="Arial Narrow" w:hAnsi="Arial Narrow" w:cs="Calibri"/>
                <w:bCs/>
                <w:lang w:eastAsia="en-US"/>
              </w:rPr>
            </w:pPr>
            <w:r w:rsidRPr="00B37580">
              <w:rPr>
                <w:rFonts w:ascii="Arial Narrow" w:hAnsi="Arial Narrow" w:cs="Calibri"/>
                <w:bCs/>
                <w:lang w:eastAsia="en-US"/>
              </w:rPr>
              <w:t>- 60.400</w:t>
            </w:r>
          </w:p>
        </w:tc>
        <w:tc>
          <w:tcPr>
            <w:tcW w:w="1215" w:type="dxa"/>
            <w:tcBorders>
              <w:top w:val="nil"/>
              <w:left w:val="nil"/>
              <w:bottom w:val="single" w:sz="4" w:space="0" w:color="auto"/>
              <w:right w:val="single" w:sz="4" w:space="0" w:color="auto"/>
            </w:tcBorders>
            <w:noWrap/>
            <w:vAlign w:val="bottom"/>
          </w:tcPr>
          <w:p w:rsidR="00B37580" w:rsidRPr="00B37580" w:rsidRDefault="00B37580" w:rsidP="00B37580">
            <w:pPr>
              <w:jc w:val="right"/>
              <w:rPr>
                <w:rFonts w:ascii="Arial Narrow" w:hAnsi="Arial Narrow" w:cs="Calibri"/>
                <w:bCs/>
                <w:lang w:eastAsia="en-US"/>
              </w:rPr>
            </w:pPr>
            <w:r w:rsidRPr="00B37580">
              <w:rPr>
                <w:rFonts w:ascii="Arial Narrow" w:hAnsi="Arial Narrow" w:cs="Calibri"/>
                <w:bCs/>
                <w:lang w:eastAsia="en-US"/>
              </w:rPr>
              <w:t xml:space="preserve">- 44.521 </w:t>
            </w:r>
          </w:p>
        </w:tc>
      </w:tr>
      <w:tr w:rsidR="00B37580" w:rsidRPr="00B37580" w:rsidTr="008046BF">
        <w:trPr>
          <w:gridAfter w:val="1"/>
          <w:wAfter w:w="4835" w:type="dxa"/>
          <w:trHeight w:val="360"/>
        </w:trPr>
        <w:tc>
          <w:tcPr>
            <w:tcW w:w="4835" w:type="dxa"/>
            <w:tcBorders>
              <w:top w:val="nil"/>
              <w:left w:val="single" w:sz="8" w:space="0" w:color="auto"/>
              <w:bottom w:val="single" w:sz="8" w:space="0" w:color="auto"/>
              <w:right w:val="single" w:sz="8" w:space="0" w:color="auto"/>
            </w:tcBorders>
            <w:vAlign w:val="center"/>
          </w:tcPr>
          <w:p w:rsidR="00B37580" w:rsidRPr="00B37580" w:rsidRDefault="00B37580" w:rsidP="00B37580">
            <w:pPr>
              <w:rPr>
                <w:rFonts w:ascii="Arial Narrow" w:hAnsi="Arial Narrow" w:cs="Calibri"/>
              </w:rPr>
            </w:pPr>
            <w:r w:rsidRPr="00B37580">
              <w:rPr>
                <w:rFonts w:ascii="Arial Narrow" w:hAnsi="Arial Narrow" w:cs="Calibri"/>
              </w:rPr>
              <w:t>útvar sociálneho zabezpečenia NBÚ</w:t>
            </w:r>
          </w:p>
        </w:tc>
        <w:tc>
          <w:tcPr>
            <w:tcW w:w="1134" w:type="dxa"/>
            <w:tcBorders>
              <w:top w:val="nil"/>
              <w:left w:val="single" w:sz="4" w:space="0" w:color="auto"/>
              <w:bottom w:val="single" w:sz="4" w:space="0" w:color="auto"/>
              <w:right w:val="single" w:sz="4" w:space="0" w:color="auto"/>
            </w:tcBorders>
            <w:noWrap/>
            <w:vAlign w:val="bottom"/>
          </w:tcPr>
          <w:p w:rsidR="00B37580" w:rsidRPr="00B37580" w:rsidRDefault="00B37580" w:rsidP="00B37580">
            <w:pPr>
              <w:jc w:val="right"/>
              <w:rPr>
                <w:rFonts w:ascii="Arial Narrow" w:hAnsi="Arial Narrow" w:cs="Calibri"/>
                <w:lang w:eastAsia="en-US"/>
              </w:rPr>
            </w:pPr>
            <w:r w:rsidRPr="00B37580">
              <w:rPr>
                <w:rFonts w:ascii="Arial Narrow" w:hAnsi="Arial Narrow" w:cs="Calibri"/>
                <w:lang w:eastAsia="en-US"/>
              </w:rPr>
              <w:t xml:space="preserve">- 5.375 </w:t>
            </w:r>
          </w:p>
        </w:tc>
        <w:tc>
          <w:tcPr>
            <w:tcW w:w="1215" w:type="dxa"/>
            <w:tcBorders>
              <w:top w:val="nil"/>
              <w:left w:val="nil"/>
              <w:bottom w:val="single" w:sz="4" w:space="0" w:color="auto"/>
              <w:right w:val="single" w:sz="4" w:space="0" w:color="auto"/>
            </w:tcBorders>
            <w:noWrap/>
            <w:vAlign w:val="bottom"/>
          </w:tcPr>
          <w:p w:rsidR="00B37580" w:rsidRPr="00B37580" w:rsidRDefault="00B37580" w:rsidP="00B37580">
            <w:pPr>
              <w:jc w:val="right"/>
              <w:rPr>
                <w:rFonts w:ascii="Arial Narrow" w:hAnsi="Arial Narrow" w:cs="Calibri"/>
                <w:bCs/>
                <w:lang w:eastAsia="en-US"/>
              </w:rPr>
            </w:pPr>
            <w:r w:rsidRPr="00B37580">
              <w:rPr>
                <w:rFonts w:ascii="Arial Narrow" w:hAnsi="Arial Narrow" w:cs="Calibri"/>
                <w:bCs/>
                <w:lang w:eastAsia="en-US"/>
              </w:rPr>
              <w:t xml:space="preserve">- 10.211 </w:t>
            </w:r>
          </w:p>
        </w:tc>
        <w:tc>
          <w:tcPr>
            <w:tcW w:w="1215" w:type="dxa"/>
            <w:tcBorders>
              <w:top w:val="nil"/>
              <w:left w:val="nil"/>
              <w:bottom w:val="single" w:sz="4" w:space="0" w:color="auto"/>
              <w:right w:val="single" w:sz="4" w:space="0" w:color="auto"/>
            </w:tcBorders>
            <w:noWrap/>
            <w:vAlign w:val="bottom"/>
          </w:tcPr>
          <w:p w:rsidR="00B37580" w:rsidRPr="00B37580" w:rsidRDefault="00B37580" w:rsidP="00B37580">
            <w:pPr>
              <w:jc w:val="right"/>
              <w:rPr>
                <w:rFonts w:ascii="Arial Narrow" w:hAnsi="Arial Narrow" w:cs="Calibri"/>
                <w:bCs/>
                <w:lang w:eastAsia="en-US"/>
              </w:rPr>
            </w:pPr>
            <w:r w:rsidRPr="00B37580">
              <w:rPr>
                <w:rFonts w:ascii="Arial Narrow" w:hAnsi="Arial Narrow" w:cs="Calibri"/>
                <w:bCs/>
                <w:lang w:eastAsia="en-US"/>
              </w:rPr>
              <w:t xml:space="preserve">- 6.528 </w:t>
            </w:r>
          </w:p>
        </w:tc>
        <w:tc>
          <w:tcPr>
            <w:tcW w:w="1215" w:type="dxa"/>
            <w:tcBorders>
              <w:top w:val="nil"/>
              <w:left w:val="nil"/>
              <w:bottom w:val="single" w:sz="4" w:space="0" w:color="auto"/>
              <w:right w:val="single" w:sz="4" w:space="0" w:color="auto"/>
            </w:tcBorders>
            <w:noWrap/>
            <w:vAlign w:val="bottom"/>
          </w:tcPr>
          <w:p w:rsidR="00B37580" w:rsidRPr="00B37580" w:rsidRDefault="00B37580" w:rsidP="00B37580">
            <w:pPr>
              <w:jc w:val="right"/>
              <w:rPr>
                <w:rFonts w:ascii="Arial Narrow" w:hAnsi="Arial Narrow" w:cs="Calibri"/>
                <w:bCs/>
                <w:lang w:eastAsia="en-US"/>
              </w:rPr>
            </w:pPr>
            <w:r w:rsidRPr="00B37580">
              <w:rPr>
                <w:rFonts w:ascii="Arial Narrow" w:hAnsi="Arial Narrow" w:cs="Calibri"/>
                <w:bCs/>
                <w:lang w:eastAsia="en-US"/>
              </w:rPr>
              <w:t xml:space="preserve">- 5.685 </w:t>
            </w:r>
          </w:p>
        </w:tc>
      </w:tr>
      <w:tr w:rsidR="00B37580" w:rsidRPr="00B37580" w:rsidTr="008046BF">
        <w:trPr>
          <w:gridAfter w:val="1"/>
          <w:wAfter w:w="4835" w:type="dxa"/>
          <w:trHeight w:val="360"/>
        </w:trPr>
        <w:tc>
          <w:tcPr>
            <w:tcW w:w="4835" w:type="dxa"/>
            <w:tcBorders>
              <w:top w:val="nil"/>
              <w:left w:val="single" w:sz="8" w:space="0" w:color="auto"/>
              <w:bottom w:val="single" w:sz="8" w:space="0" w:color="auto"/>
              <w:right w:val="single" w:sz="8" w:space="0" w:color="auto"/>
            </w:tcBorders>
            <w:vAlign w:val="center"/>
          </w:tcPr>
          <w:p w:rsidR="00B37580" w:rsidRPr="00B37580" w:rsidRDefault="00B37580" w:rsidP="00B37580">
            <w:pPr>
              <w:rPr>
                <w:rFonts w:ascii="Arial Narrow" w:hAnsi="Arial Narrow" w:cs="Calibri"/>
              </w:rPr>
            </w:pPr>
            <w:r w:rsidRPr="00B37580">
              <w:rPr>
                <w:rFonts w:ascii="Arial Narrow" w:hAnsi="Arial Narrow" w:cs="Calibri"/>
              </w:rPr>
              <w:t>útvar sociálneho zabezpečenia FR SR</w:t>
            </w:r>
          </w:p>
        </w:tc>
        <w:tc>
          <w:tcPr>
            <w:tcW w:w="1134" w:type="dxa"/>
            <w:tcBorders>
              <w:top w:val="nil"/>
              <w:left w:val="single" w:sz="4" w:space="0" w:color="auto"/>
              <w:bottom w:val="single" w:sz="4" w:space="0" w:color="auto"/>
              <w:right w:val="single" w:sz="4" w:space="0" w:color="auto"/>
            </w:tcBorders>
            <w:noWrap/>
            <w:vAlign w:val="bottom"/>
          </w:tcPr>
          <w:p w:rsidR="00B37580" w:rsidRPr="00B37580" w:rsidRDefault="00B37580" w:rsidP="00B37580">
            <w:pPr>
              <w:jc w:val="right"/>
              <w:rPr>
                <w:rFonts w:ascii="Arial Narrow" w:hAnsi="Arial Narrow" w:cs="Calibri"/>
                <w:lang w:eastAsia="en-US"/>
              </w:rPr>
            </w:pPr>
            <w:r w:rsidRPr="00B37580">
              <w:rPr>
                <w:rFonts w:ascii="Arial Narrow" w:hAnsi="Arial Narrow" w:cs="Calibri"/>
                <w:lang w:eastAsia="en-US"/>
              </w:rPr>
              <w:t xml:space="preserve">11.112 </w:t>
            </w:r>
          </w:p>
        </w:tc>
        <w:tc>
          <w:tcPr>
            <w:tcW w:w="1215" w:type="dxa"/>
            <w:tcBorders>
              <w:top w:val="nil"/>
              <w:left w:val="nil"/>
              <w:bottom w:val="single" w:sz="4" w:space="0" w:color="auto"/>
              <w:right w:val="single" w:sz="4" w:space="0" w:color="auto"/>
            </w:tcBorders>
            <w:noWrap/>
            <w:vAlign w:val="bottom"/>
          </w:tcPr>
          <w:p w:rsidR="00B37580" w:rsidRPr="00B37580" w:rsidRDefault="00B37580" w:rsidP="00B37580">
            <w:pPr>
              <w:jc w:val="right"/>
              <w:rPr>
                <w:rFonts w:ascii="Arial Narrow" w:hAnsi="Arial Narrow" w:cs="Calibri"/>
                <w:bCs/>
                <w:lang w:eastAsia="en-US"/>
              </w:rPr>
            </w:pPr>
            <w:r w:rsidRPr="00B37580">
              <w:rPr>
                <w:rFonts w:ascii="Arial Narrow" w:hAnsi="Arial Narrow" w:cs="Calibri"/>
                <w:bCs/>
                <w:lang w:eastAsia="en-US"/>
              </w:rPr>
              <w:t xml:space="preserve">35.588 </w:t>
            </w:r>
          </w:p>
        </w:tc>
        <w:tc>
          <w:tcPr>
            <w:tcW w:w="1215" w:type="dxa"/>
            <w:tcBorders>
              <w:top w:val="nil"/>
              <w:left w:val="nil"/>
              <w:bottom w:val="single" w:sz="4" w:space="0" w:color="auto"/>
              <w:right w:val="single" w:sz="4" w:space="0" w:color="auto"/>
            </w:tcBorders>
            <w:noWrap/>
            <w:vAlign w:val="bottom"/>
          </w:tcPr>
          <w:p w:rsidR="00B37580" w:rsidRPr="00B37580" w:rsidRDefault="00B37580" w:rsidP="00B37580">
            <w:pPr>
              <w:jc w:val="right"/>
              <w:rPr>
                <w:rFonts w:ascii="Arial Narrow" w:hAnsi="Arial Narrow" w:cs="Calibri"/>
                <w:bCs/>
                <w:lang w:eastAsia="en-US"/>
              </w:rPr>
            </w:pPr>
            <w:r w:rsidRPr="00B37580">
              <w:rPr>
                <w:rFonts w:ascii="Arial Narrow" w:hAnsi="Arial Narrow" w:cs="Calibri"/>
                <w:bCs/>
                <w:lang w:eastAsia="en-US"/>
              </w:rPr>
              <w:t xml:space="preserve">75.911 </w:t>
            </w:r>
          </w:p>
        </w:tc>
        <w:tc>
          <w:tcPr>
            <w:tcW w:w="1215" w:type="dxa"/>
            <w:tcBorders>
              <w:top w:val="nil"/>
              <w:left w:val="nil"/>
              <w:bottom w:val="single" w:sz="4" w:space="0" w:color="auto"/>
              <w:right w:val="single" w:sz="4" w:space="0" w:color="auto"/>
            </w:tcBorders>
            <w:noWrap/>
            <w:vAlign w:val="bottom"/>
          </w:tcPr>
          <w:p w:rsidR="00B37580" w:rsidRPr="00B37580" w:rsidRDefault="00B37580" w:rsidP="00B37580">
            <w:pPr>
              <w:jc w:val="right"/>
              <w:rPr>
                <w:rFonts w:ascii="Arial Narrow" w:hAnsi="Arial Narrow" w:cs="Calibri"/>
                <w:bCs/>
                <w:lang w:eastAsia="en-US"/>
              </w:rPr>
            </w:pPr>
            <w:r w:rsidRPr="00B37580">
              <w:rPr>
                <w:rFonts w:ascii="Arial Narrow" w:hAnsi="Arial Narrow" w:cs="Calibri"/>
                <w:bCs/>
                <w:lang w:eastAsia="en-US"/>
              </w:rPr>
              <w:t xml:space="preserve">101.160 </w:t>
            </w:r>
          </w:p>
        </w:tc>
      </w:tr>
      <w:tr w:rsidR="00B37580" w:rsidRPr="00B37580" w:rsidTr="008046BF">
        <w:trPr>
          <w:trHeight w:val="360"/>
        </w:trPr>
        <w:tc>
          <w:tcPr>
            <w:tcW w:w="4835" w:type="dxa"/>
            <w:tcBorders>
              <w:top w:val="nil"/>
              <w:left w:val="single" w:sz="8" w:space="0" w:color="auto"/>
              <w:bottom w:val="single" w:sz="8" w:space="0" w:color="auto"/>
              <w:right w:val="single" w:sz="8" w:space="0" w:color="auto"/>
            </w:tcBorders>
            <w:vAlign w:val="center"/>
          </w:tcPr>
          <w:p w:rsidR="00B37580" w:rsidRPr="00B37580" w:rsidRDefault="00B37580" w:rsidP="00B37580">
            <w:pPr>
              <w:rPr>
                <w:rFonts w:ascii="Arial Narrow" w:hAnsi="Arial Narrow" w:cs="Calibri"/>
              </w:rPr>
            </w:pPr>
            <w:r w:rsidRPr="00B37580">
              <w:rPr>
                <w:rFonts w:ascii="Arial Narrow" w:hAnsi="Arial Narrow" w:cs="Calibri"/>
              </w:rPr>
              <w:t xml:space="preserve">Vojenský úrad sociálneho zabezpečenia </w:t>
            </w:r>
          </w:p>
        </w:tc>
        <w:tc>
          <w:tcPr>
            <w:tcW w:w="1134" w:type="dxa"/>
            <w:tcBorders>
              <w:top w:val="nil"/>
              <w:left w:val="single" w:sz="4" w:space="0" w:color="auto"/>
              <w:bottom w:val="single" w:sz="4" w:space="0" w:color="auto"/>
              <w:right w:val="single" w:sz="4" w:space="0" w:color="auto"/>
            </w:tcBorders>
            <w:noWrap/>
            <w:vAlign w:val="bottom"/>
          </w:tcPr>
          <w:p w:rsidR="00B37580" w:rsidRPr="00B37580" w:rsidRDefault="00B37580" w:rsidP="00B37580">
            <w:pPr>
              <w:jc w:val="right"/>
              <w:rPr>
                <w:rFonts w:ascii="Arial Narrow" w:hAnsi="Arial Narrow" w:cs="Calibri"/>
                <w:lang w:eastAsia="en-US"/>
              </w:rPr>
            </w:pPr>
            <w:r w:rsidRPr="00B37580">
              <w:rPr>
                <w:rFonts w:ascii="Arial Narrow" w:hAnsi="Arial Narrow" w:cs="Calibri"/>
                <w:lang w:eastAsia="en-US"/>
              </w:rPr>
              <w:t xml:space="preserve">- 634.788 </w:t>
            </w:r>
          </w:p>
        </w:tc>
        <w:tc>
          <w:tcPr>
            <w:tcW w:w="1215" w:type="dxa"/>
            <w:tcBorders>
              <w:top w:val="nil"/>
              <w:left w:val="nil"/>
              <w:bottom w:val="single" w:sz="4" w:space="0" w:color="auto"/>
              <w:right w:val="single" w:sz="4" w:space="0" w:color="auto"/>
            </w:tcBorders>
            <w:noWrap/>
            <w:vAlign w:val="bottom"/>
          </w:tcPr>
          <w:p w:rsidR="00B37580" w:rsidRPr="00B37580" w:rsidRDefault="00B37580" w:rsidP="00B37580">
            <w:pPr>
              <w:jc w:val="right"/>
              <w:rPr>
                <w:rFonts w:ascii="Arial Narrow" w:hAnsi="Arial Narrow" w:cs="Calibri"/>
                <w:bCs/>
                <w:lang w:eastAsia="en-US"/>
              </w:rPr>
            </w:pPr>
            <w:r w:rsidRPr="00B37580">
              <w:rPr>
                <w:rFonts w:ascii="Arial Narrow" w:hAnsi="Arial Narrow" w:cs="Calibri"/>
                <w:bCs/>
                <w:lang w:eastAsia="en-US"/>
              </w:rPr>
              <w:t xml:space="preserve">- 1.081.569 </w:t>
            </w:r>
          </w:p>
        </w:tc>
        <w:tc>
          <w:tcPr>
            <w:tcW w:w="1215" w:type="dxa"/>
            <w:tcBorders>
              <w:top w:val="nil"/>
              <w:left w:val="nil"/>
              <w:bottom w:val="single" w:sz="4" w:space="0" w:color="auto"/>
              <w:right w:val="single" w:sz="4" w:space="0" w:color="auto"/>
            </w:tcBorders>
            <w:noWrap/>
            <w:vAlign w:val="bottom"/>
          </w:tcPr>
          <w:p w:rsidR="00B37580" w:rsidRPr="00B37580" w:rsidRDefault="00B37580" w:rsidP="00B37580">
            <w:pPr>
              <w:jc w:val="right"/>
              <w:rPr>
                <w:rFonts w:ascii="Arial Narrow" w:hAnsi="Arial Narrow" w:cs="Calibri"/>
                <w:bCs/>
                <w:lang w:eastAsia="en-US"/>
              </w:rPr>
            </w:pPr>
            <w:r w:rsidRPr="00B37580">
              <w:rPr>
                <w:rFonts w:ascii="Arial Narrow" w:hAnsi="Arial Narrow" w:cs="Calibri"/>
                <w:bCs/>
                <w:lang w:eastAsia="en-US"/>
              </w:rPr>
              <w:t xml:space="preserve">- 875.612 </w:t>
            </w:r>
          </w:p>
        </w:tc>
        <w:tc>
          <w:tcPr>
            <w:tcW w:w="1215" w:type="dxa"/>
            <w:tcBorders>
              <w:top w:val="nil"/>
              <w:left w:val="nil"/>
              <w:bottom w:val="single" w:sz="4" w:space="0" w:color="auto"/>
              <w:right w:val="single" w:sz="4" w:space="0" w:color="auto"/>
            </w:tcBorders>
            <w:noWrap/>
            <w:vAlign w:val="bottom"/>
          </w:tcPr>
          <w:p w:rsidR="00B37580" w:rsidRPr="00B37580" w:rsidRDefault="00B37580" w:rsidP="00B37580">
            <w:pPr>
              <w:jc w:val="right"/>
              <w:rPr>
                <w:rFonts w:ascii="Arial Narrow" w:hAnsi="Arial Narrow" w:cs="Calibri"/>
                <w:bCs/>
                <w:lang w:eastAsia="en-US"/>
              </w:rPr>
            </w:pPr>
            <w:r w:rsidRPr="00B37580">
              <w:rPr>
                <w:rFonts w:ascii="Arial Narrow" w:hAnsi="Arial Narrow" w:cs="Calibri"/>
                <w:bCs/>
                <w:lang w:eastAsia="en-US"/>
              </w:rPr>
              <w:t xml:space="preserve">- 824.799 </w:t>
            </w:r>
          </w:p>
        </w:tc>
        <w:tc>
          <w:tcPr>
            <w:tcW w:w="4835" w:type="dxa"/>
            <w:vAlign w:val="center"/>
          </w:tcPr>
          <w:p w:rsidR="00B37580" w:rsidRPr="00B37580" w:rsidRDefault="00B37580" w:rsidP="00B37580">
            <w:pPr>
              <w:rPr>
                <w:rFonts w:ascii="Arial Narrow" w:hAnsi="Arial Narrow" w:cs="Calibri"/>
              </w:rPr>
            </w:pPr>
          </w:p>
        </w:tc>
      </w:tr>
      <w:tr w:rsidR="00B37580" w:rsidRPr="00B37580" w:rsidTr="008046BF">
        <w:trPr>
          <w:gridAfter w:val="1"/>
          <w:wAfter w:w="4835" w:type="dxa"/>
          <w:trHeight w:val="301"/>
        </w:trPr>
        <w:tc>
          <w:tcPr>
            <w:tcW w:w="4835" w:type="dxa"/>
            <w:tcBorders>
              <w:top w:val="nil"/>
              <w:left w:val="single" w:sz="8" w:space="0" w:color="auto"/>
              <w:bottom w:val="single" w:sz="8" w:space="0" w:color="auto"/>
              <w:right w:val="single" w:sz="8" w:space="0" w:color="auto"/>
            </w:tcBorders>
            <w:shd w:val="clear" w:color="000000" w:fill="BFBFBF"/>
            <w:noWrap/>
            <w:vAlign w:val="center"/>
          </w:tcPr>
          <w:p w:rsidR="00B37580" w:rsidRPr="00B37580" w:rsidRDefault="00B37580" w:rsidP="00B37580">
            <w:pPr>
              <w:rPr>
                <w:rFonts w:ascii="Arial Narrow" w:hAnsi="Arial Narrow" w:cs="Calibri"/>
              </w:rPr>
            </w:pPr>
            <w:r w:rsidRPr="00B37580">
              <w:rPr>
                <w:rFonts w:ascii="Arial Narrow" w:hAnsi="Arial Narrow" w:cs="Calibri"/>
              </w:rPr>
              <w:t>financovanie zabezpečené v rozpočte útvarov sociálneho zabezpečenia a Vojenského úradu sociálneho zabezpečenia</w:t>
            </w:r>
          </w:p>
        </w:tc>
        <w:tc>
          <w:tcPr>
            <w:tcW w:w="1134" w:type="dxa"/>
            <w:tcBorders>
              <w:top w:val="nil"/>
              <w:left w:val="nil"/>
              <w:bottom w:val="single" w:sz="8" w:space="0" w:color="auto"/>
              <w:right w:val="single" w:sz="8" w:space="0" w:color="auto"/>
            </w:tcBorders>
            <w:shd w:val="clear" w:color="000000" w:fill="BFBFBF"/>
            <w:noWrap/>
            <w:vAlign w:val="bottom"/>
          </w:tcPr>
          <w:p w:rsidR="00B37580" w:rsidRPr="00B37580" w:rsidRDefault="00B37580" w:rsidP="00B37580">
            <w:pPr>
              <w:jc w:val="right"/>
              <w:rPr>
                <w:rFonts w:ascii="Arial Narrow" w:hAnsi="Arial Narrow" w:cs="Calibri"/>
                <w:b/>
                <w:lang w:eastAsia="en-US"/>
              </w:rPr>
            </w:pPr>
            <w:r w:rsidRPr="00B37580">
              <w:rPr>
                <w:rFonts w:ascii="Arial Narrow" w:hAnsi="Arial Narrow" w:cs="Calibri"/>
                <w:b/>
                <w:lang w:eastAsia="en-US"/>
              </w:rPr>
              <w:t xml:space="preserve">-1.153.606 </w:t>
            </w:r>
          </w:p>
        </w:tc>
        <w:tc>
          <w:tcPr>
            <w:tcW w:w="1215" w:type="dxa"/>
            <w:tcBorders>
              <w:top w:val="nil"/>
              <w:left w:val="nil"/>
              <w:bottom w:val="single" w:sz="8" w:space="0" w:color="auto"/>
              <w:right w:val="single" w:sz="8" w:space="0" w:color="auto"/>
            </w:tcBorders>
            <w:shd w:val="clear" w:color="000000" w:fill="BFBFBF"/>
            <w:noWrap/>
            <w:vAlign w:val="bottom"/>
          </w:tcPr>
          <w:p w:rsidR="00B37580" w:rsidRPr="00B37580" w:rsidRDefault="00B37580" w:rsidP="00B37580">
            <w:pPr>
              <w:jc w:val="right"/>
              <w:rPr>
                <w:rFonts w:ascii="Arial Narrow" w:hAnsi="Arial Narrow" w:cs="Calibri"/>
                <w:b/>
                <w:bCs/>
                <w:lang w:eastAsia="en-US"/>
              </w:rPr>
            </w:pPr>
            <w:r w:rsidRPr="00B37580">
              <w:rPr>
                <w:rFonts w:ascii="Arial Narrow" w:hAnsi="Arial Narrow" w:cs="Calibri"/>
                <w:b/>
                <w:bCs/>
                <w:lang w:eastAsia="en-US"/>
              </w:rPr>
              <w:t xml:space="preserve">-1.905.623 </w:t>
            </w:r>
          </w:p>
        </w:tc>
        <w:tc>
          <w:tcPr>
            <w:tcW w:w="1215" w:type="dxa"/>
            <w:tcBorders>
              <w:top w:val="nil"/>
              <w:left w:val="nil"/>
              <w:bottom w:val="single" w:sz="8" w:space="0" w:color="auto"/>
              <w:right w:val="single" w:sz="8" w:space="0" w:color="auto"/>
            </w:tcBorders>
            <w:shd w:val="clear" w:color="000000" w:fill="BFBFBF"/>
            <w:noWrap/>
            <w:vAlign w:val="bottom"/>
          </w:tcPr>
          <w:p w:rsidR="00B37580" w:rsidRPr="00B37580" w:rsidRDefault="00B37580" w:rsidP="00B37580">
            <w:pPr>
              <w:jc w:val="right"/>
              <w:rPr>
                <w:rFonts w:ascii="Arial Narrow" w:hAnsi="Arial Narrow" w:cs="Calibri"/>
                <w:b/>
                <w:bCs/>
                <w:lang w:eastAsia="en-US"/>
              </w:rPr>
            </w:pPr>
            <w:r w:rsidRPr="00B37580">
              <w:rPr>
                <w:rFonts w:ascii="Arial Narrow" w:hAnsi="Arial Narrow" w:cs="Calibri"/>
                <w:b/>
                <w:bCs/>
                <w:lang w:eastAsia="en-US"/>
              </w:rPr>
              <w:t xml:space="preserve">-1.472.653 </w:t>
            </w:r>
          </w:p>
        </w:tc>
        <w:tc>
          <w:tcPr>
            <w:tcW w:w="1215" w:type="dxa"/>
            <w:tcBorders>
              <w:top w:val="nil"/>
              <w:left w:val="nil"/>
              <w:bottom w:val="single" w:sz="8" w:space="0" w:color="auto"/>
              <w:right w:val="single" w:sz="8" w:space="0" w:color="auto"/>
            </w:tcBorders>
            <w:shd w:val="clear" w:color="000000" w:fill="BFBFBF"/>
            <w:noWrap/>
            <w:vAlign w:val="bottom"/>
          </w:tcPr>
          <w:p w:rsidR="00B37580" w:rsidRPr="00B37580" w:rsidRDefault="00B37580" w:rsidP="00B37580">
            <w:pPr>
              <w:jc w:val="right"/>
              <w:rPr>
                <w:rFonts w:ascii="Arial Narrow" w:hAnsi="Arial Narrow" w:cs="Calibri"/>
                <w:b/>
                <w:bCs/>
                <w:lang w:eastAsia="en-US"/>
              </w:rPr>
            </w:pPr>
            <w:r w:rsidRPr="00B37580">
              <w:rPr>
                <w:rFonts w:ascii="Arial Narrow" w:hAnsi="Arial Narrow" w:cs="Calibri"/>
                <w:b/>
                <w:bCs/>
                <w:lang w:eastAsia="en-US"/>
              </w:rPr>
              <w:t xml:space="preserve">-1.436.582 </w:t>
            </w:r>
          </w:p>
        </w:tc>
      </w:tr>
      <w:tr w:rsidR="00B37580" w:rsidRPr="00B37580" w:rsidTr="008046BF">
        <w:trPr>
          <w:gridAfter w:val="1"/>
          <w:wAfter w:w="4835" w:type="dxa"/>
          <w:trHeight w:val="315"/>
        </w:trPr>
        <w:tc>
          <w:tcPr>
            <w:tcW w:w="4835" w:type="dxa"/>
            <w:tcBorders>
              <w:top w:val="nil"/>
              <w:left w:val="single" w:sz="8" w:space="0" w:color="auto"/>
              <w:bottom w:val="single" w:sz="8" w:space="0" w:color="auto"/>
              <w:right w:val="single" w:sz="8" w:space="0" w:color="auto"/>
            </w:tcBorders>
            <w:shd w:val="clear" w:color="000000" w:fill="A6A6A6"/>
            <w:noWrap/>
            <w:vAlign w:val="center"/>
          </w:tcPr>
          <w:p w:rsidR="00B37580" w:rsidRPr="00B37580" w:rsidRDefault="00B37580" w:rsidP="00B37580">
            <w:pPr>
              <w:rPr>
                <w:rFonts w:ascii="Arial Narrow" w:hAnsi="Arial Narrow" w:cs="Calibri"/>
                <w:color w:val="000000"/>
              </w:rPr>
            </w:pPr>
            <w:r w:rsidRPr="00B37580">
              <w:rPr>
                <w:rFonts w:ascii="Arial Narrow" w:hAnsi="Arial Narrow"/>
                <w:b/>
                <w:bCs/>
                <w:color w:val="000000"/>
              </w:rPr>
              <w:t>Iné ako rozpočtové zdroje</w:t>
            </w:r>
          </w:p>
        </w:tc>
        <w:tc>
          <w:tcPr>
            <w:tcW w:w="1134" w:type="dxa"/>
            <w:tcBorders>
              <w:top w:val="nil"/>
              <w:left w:val="nil"/>
              <w:bottom w:val="single" w:sz="8" w:space="0" w:color="auto"/>
              <w:right w:val="single" w:sz="8" w:space="0" w:color="auto"/>
            </w:tcBorders>
            <w:shd w:val="clear" w:color="000000" w:fill="A6A6A6"/>
            <w:noWrap/>
            <w:vAlign w:val="center"/>
            <w:hideMark/>
          </w:tcPr>
          <w:p w:rsidR="00B37580" w:rsidRPr="00B37580" w:rsidRDefault="00B37580" w:rsidP="00B37580">
            <w:pPr>
              <w:jc w:val="right"/>
              <w:rPr>
                <w:rFonts w:ascii="Arial Narrow" w:hAnsi="Arial Narrow" w:cs="Calibri"/>
                <w:bCs/>
                <w:color w:val="000000"/>
                <w:lang w:eastAsia="en-US"/>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shd w:val="clear" w:color="000000" w:fill="A6A6A6"/>
            <w:noWrap/>
            <w:vAlign w:val="center"/>
            <w:hideMark/>
          </w:tcPr>
          <w:p w:rsidR="00B37580" w:rsidRPr="00B37580" w:rsidRDefault="00B37580" w:rsidP="00B37580">
            <w:pPr>
              <w:jc w:val="right"/>
              <w:rPr>
                <w:rFonts w:ascii="Arial Narrow" w:hAnsi="Arial Narrow" w:cs="Calibri"/>
                <w:bCs/>
                <w:color w:val="000000"/>
                <w:lang w:eastAsia="en-US"/>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shd w:val="clear" w:color="000000" w:fill="A6A6A6"/>
            <w:noWrap/>
            <w:vAlign w:val="center"/>
            <w:hideMark/>
          </w:tcPr>
          <w:p w:rsidR="00B37580" w:rsidRPr="00B37580" w:rsidRDefault="00B37580" w:rsidP="00B37580">
            <w:pPr>
              <w:jc w:val="right"/>
              <w:rPr>
                <w:rFonts w:ascii="Arial Narrow" w:hAnsi="Arial Narrow" w:cs="Calibri"/>
                <w:bCs/>
                <w:color w:val="000000"/>
                <w:lang w:eastAsia="en-US"/>
              </w:rPr>
            </w:pPr>
            <w:r w:rsidRPr="00B37580">
              <w:rPr>
                <w:rFonts w:ascii="Arial Narrow" w:hAnsi="Arial Narrow"/>
                <w:b/>
                <w:bCs/>
                <w:color w:val="000000"/>
              </w:rPr>
              <w:t>0</w:t>
            </w:r>
          </w:p>
        </w:tc>
        <w:tc>
          <w:tcPr>
            <w:tcW w:w="1215" w:type="dxa"/>
            <w:tcBorders>
              <w:top w:val="nil"/>
              <w:left w:val="nil"/>
              <w:bottom w:val="single" w:sz="8" w:space="0" w:color="auto"/>
              <w:right w:val="single" w:sz="8" w:space="0" w:color="auto"/>
            </w:tcBorders>
            <w:shd w:val="clear" w:color="000000" w:fill="A6A6A6"/>
            <w:noWrap/>
            <w:vAlign w:val="center"/>
            <w:hideMark/>
          </w:tcPr>
          <w:p w:rsidR="00B37580" w:rsidRPr="00B37580" w:rsidRDefault="00B37580" w:rsidP="00B37580">
            <w:pPr>
              <w:jc w:val="right"/>
              <w:rPr>
                <w:rFonts w:ascii="Arial Narrow" w:hAnsi="Arial Narrow" w:cs="Calibri"/>
                <w:bCs/>
                <w:color w:val="000000"/>
                <w:lang w:eastAsia="en-US"/>
              </w:rPr>
            </w:pPr>
            <w:r w:rsidRPr="00B37580">
              <w:rPr>
                <w:rFonts w:ascii="Arial Narrow" w:hAnsi="Arial Narrow"/>
                <w:b/>
                <w:bCs/>
                <w:color w:val="000000"/>
              </w:rPr>
              <w:t>0</w:t>
            </w:r>
          </w:p>
        </w:tc>
      </w:tr>
      <w:tr w:rsidR="00B37580" w:rsidRPr="00B37580" w:rsidTr="008046BF">
        <w:trPr>
          <w:gridAfter w:val="1"/>
          <w:wAfter w:w="4835" w:type="dxa"/>
          <w:trHeight w:val="315"/>
        </w:trPr>
        <w:tc>
          <w:tcPr>
            <w:tcW w:w="4835" w:type="dxa"/>
            <w:tcBorders>
              <w:top w:val="nil"/>
              <w:left w:val="single" w:sz="8" w:space="0" w:color="auto"/>
              <w:bottom w:val="single" w:sz="8" w:space="0" w:color="auto"/>
              <w:right w:val="single" w:sz="8" w:space="0" w:color="auto"/>
            </w:tcBorders>
            <w:shd w:val="clear" w:color="000000" w:fill="A6A6A6"/>
            <w:noWrap/>
            <w:vAlign w:val="center"/>
          </w:tcPr>
          <w:p w:rsidR="00B37580" w:rsidRPr="00B37580" w:rsidRDefault="00B37580" w:rsidP="00B37580">
            <w:pPr>
              <w:rPr>
                <w:rFonts w:ascii="Arial Narrow" w:hAnsi="Arial Narrow" w:cs="Calibri"/>
                <w:color w:val="000000"/>
              </w:rPr>
            </w:pPr>
            <w:r w:rsidRPr="00B37580">
              <w:rPr>
                <w:rFonts w:ascii="Arial Narrow" w:hAnsi="Arial Narrow"/>
                <w:b/>
                <w:bCs/>
                <w:color w:val="000000"/>
              </w:rPr>
              <w:t>Rozpočtovo nekrytý vplyv / úspora</w:t>
            </w:r>
          </w:p>
        </w:tc>
        <w:tc>
          <w:tcPr>
            <w:tcW w:w="1134" w:type="dxa"/>
            <w:tcBorders>
              <w:top w:val="nil"/>
              <w:left w:val="nil"/>
              <w:bottom w:val="single" w:sz="8" w:space="0" w:color="auto"/>
              <w:right w:val="single" w:sz="8" w:space="0" w:color="auto"/>
            </w:tcBorders>
            <w:shd w:val="clear" w:color="000000" w:fill="A6A6A6"/>
            <w:noWrap/>
            <w:vAlign w:val="center"/>
          </w:tcPr>
          <w:p w:rsidR="00B37580" w:rsidRPr="00B37580" w:rsidRDefault="00B37580" w:rsidP="00B37580">
            <w:pPr>
              <w:jc w:val="right"/>
              <w:rPr>
                <w:rFonts w:ascii="Arial Narrow" w:hAnsi="Arial Narrow"/>
                <w:b/>
                <w:bCs/>
                <w:color w:val="000000"/>
              </w:rPr>
            </w:pPr>
          </w:p>
        </w:tc>
        <w:tc>
          <w:tcPr>
            <w:tcW w:w="1215" w:type="dxa"/>
            <w:tcBorders>
              <w:top w:val="nil"/>
              <w:left w:val="nil"/>
              <w:bottom w:val="single" w:sz="8" w:space="0" w:color="auto"/>
              <w:right w:val="single" w:sz="8" w:space="0" w:color="auto"/>
            </w:tcBorders>
            <w:shd w:val="clear" w:color="000000" w:fill="A6A6A6"/>
            <w:noWrap/>
            <w:vAlign w:val="center"/>
          </w:tcPr>
          <w:p w:rsidR="00B37580" w:rsidRPr="00B37580" w:rsidRDefault="00B37580" w:rsidP="00B37580">
            <w:pPr>
              <w:jc w:val="right"/>
              <w:rPr>
                <w:rFonts w:ascii="Arial Narrow" w:hAnsi="Arial Narrow"/>
                <w:b/>
                <w:bCs/>
                <w:color w:val="000000"/>
              </w:rPr>
            </w:pPr>
          </w:p>
        </w:tc>
        <w:tc>
          <w:tcPr>
            <w:tcW w:w="1215" w:type="dxa"/>
            <w:tcBorders>
              <w:top w:val="nil"/>
              <w:left w:val="nil"/>
              <w:bottom w:val="single" w:sz="8" w:space="0" w:color="auto"/>
              <w:right w:val="single" w:sz="8" w:space="0" w:color="auto"/>
            </w:tcBorders>
            <w:shd w:val="clear" w:color="000000" w:fill="A6A6A6"/>
            <w:noWrap/>
            <w:vAlign w:val="center"/>
          </w:tcPr>
          <w:p w:rsidR="00B37580" w:rsidRPr="00B37580" w:rsidRDefault="00B37580" w:rsidP="00B37580">
            <w:pPr>
              <w:jc w:val="right"/>
              <w:rPr>
                <w:rFonts w:ascii="Arial Narrow" w:hAnsi="Arial Narrow"/>
                <w:b/>
                <w:bCs/>
                <w:color w:val="000000"/>
              </w:rPr>
            </w:pPr>
          </w:p>
        </w:tc>
        <w:tc>
          <w:tcPr>
            <w:tcW w:w="1215" w:type="dxa"/>
            <w:tcBorders>
              <w:top w:val="nil"/>
              <w:left w:val="nil"/>
              <w:bottom w:val="single" w:sz="8" w:space="0" w:color="auto"/>
              <w:right w:val="single" w:sz="8" w:space="0" w:color="auto"/>
            </w:tcBorders>
            <w:shd w:val="clear" w:color="000000" w:fill="A6A6A6"/>
            <w:noWrap/>
            <w:vAlign w:val="center"/>
          </w:tcPr>
          <w:p w:rsidR="00B37580" w:rsidRPr="00B37580" w:rsidRDefault="00B37580" w:rsidP="00B37580">
            <w:pPr>
              <w:jc w:val="right"/>
              <w:rPr>
                <w:rFonts w:ascii="Arial Narrow" w:hAnsi="Arial Narrow"/>
                <w:b/>
                <w:bCs/>
                <w:color w:val="000000"/>
              </w:rPr>
            </w:pPr>
          </w:p>
        </w:tc>
      </w:tr>
    </w:tbl>
    <w:p w:rsidR="00B37580" w:rsidRPr="00B37580" w:rsidRDefault="00B37580" w:rsidP="00B37580">
      <w:pPr>
        <w:spacing w:after="200"/>
        <w:rPr>
          <w:b/>
          <w:bCs/>
          <w:sz w:val="24"/>
          <w:szCs w:val="24"/>
        </w:rPr>
      </w:pPr>
      <w:r w:rsidRPr="00B37580">
        <w:rPr>
          <w:b/>
          <w:bCs/>
          <w:sz w:val="24"/>
          <w:szCs w:val="24"/>
        </w:rPr>
        <w:br w:type="page"/>
      </w:r>
    </w:p>
    <w:p w:rsidR="00B37580" w:rsidRPr="00B37580" w:rsidRDefault="00B37580" w:rsidP="00B37580">
      <w:pPr>
        <w:jc w:val="both"/>
        <w:rPr>
          <w:b/>
          <w:bCs/>
          <w:sz w:val="24"/>
          <w:szCs w:val="24"/>
        </w:rPr>
      </w:pPr>
      <w:r w:rsidRPr="00B37580">
        <w:rPr>
          <w:b/>
          <w:bCs/>
          <w:sz w:val="24"/>
          <w:szCs w:val="24"/>
        </w:rPr>
        <w:lastRenderedPageBreak/>
        <w:t>2.1.1. Financovanie návrhu - Návrh na riešenie úbytku príjmov alebo zvýšených výdavkov podľa § 33 ods. 1 zákona č. 523/2004 Z. z. o rozpočtových pravidlách verejnej správy:</w:t>
      </w:r>
    </w:p>
    <w:p w:rsidR="00B37580" w:rsidRPr="00B37580" w:rsidRDefault="00B37580" w:rsidP="00B37580">
      <w:pPr>
        <w:jc w:val="both"/>
        <w:rPr>
          <w:b/>
          <w:bCs/>
          <w:sz w:val="12"/>
          <w:szCs w:val="24"/>
        </w:rPr>
      </w:pPr>
    </w:p>
    <w:p w:rsidR="00B37580" w:rsidRPr="00B37580" w:rsidRDefault="00B37580" w:rsidP="00B37580">
      <w:pPr>
        <w:pBdr>
          <w:top w:val="single" w:sz="4" w:space="1" w:color="auto"/>
          <w:left w:val="single" w:sz="4" w:space="4" w:color="auto"/>
          <w:bottom w:val="single" w:sz="4" w:space="0" w:color="auto"/>
          <w:right w:val="single" w:sz="4" w:space="0" w:color="auto"/>
        </w:pBdr>
        <w:jc w:val="both"/>
        <w:rPr>
          <w:bCs/>
          <w:color w:val="000000" w:themeColor="text1"/>
          <w:sz w:val="24"/>
          <w:szCs w:val="24"/>
        </w:rPr>
      </w:pPr>
      <w:r w:rsidRPr="00B37580">
        <w:rPr>
          <w:bCs/>
          <w:color w:val="000000" w:themeColor="text1"/>
          <w:sz w:val="24"/>
          <w:szCs w:val="24"/>
        </w:rPr>
        <w:t xml:space="preserve">Predložený návrh nového modelu zvyšovania dávok </w:t>
      </w:r>
      <w:r w:rsidRPr="00B37580">
        <w:rPr>
          <w:sz w:val="24"/>
          <w:szCs w:val="24"/>
          <w:lang w:eastAsia="en-US"/>
        </w:rPr>
        <w:t>výsluhového dôchodku, invalidného výsluhového dôchodku, vdovského výsluhového dôchodku, vdoveckého výsluhového dôchodku, a sirotského výsluhového dôchodku (ďalej len „dôchodková dávka výsluhového zabezpečenia“)</w:t>
      </w:r>
      <w:r w:rsidRPr="00B37580">
        <w:rPr>
          <w:bCs/>
          <w:sz w:val="24"/>
          <w:szCs w:val="24"/>
        </w:rPr>
        <w:t>,</w:t>
      </w:r>
      <w:r w:rsidRPr="00B37580">
        <w:rPr>
          <w:bCs/>
          <w:color w:val="000000" w:themeColor="text1"/>
          <w:sz w:val="24"/>
          <w:szCs w:val="24"/>
        </w:rPr>
        <w:t xml:space="preserve"> oproti existujúcemu právnemu stavu zakladá zníženie výdavkov osobitných účtov</w:t>
      </w:r>
      <w:r w:rsidRPr="00B37580">
        <w:rPr>
          <w:sz w:val="24"/>
          <w:szCs w:val="24"/>
        </w:rPr>
        <w:t xml:space="preserve"> útvarov sociálneho zabezpečenia </w:t>
      </w:r>
      <w:r w:rsidRPr="00B37580">
        <w:rPr>
          <w:sz w:val="24"/>
          <w:szCs w:val="24"/>
          <w:lang w:eastAsia="en-US"/>
        </w:rPr>
        <w:t>Ministerstva vnútra SR, Slovenskej informačnej služby, Národného bezpečnostného úradu, Zboru väzenskej a justičnej stráže</w:t>
      </w:r>
      <w:r w:rsidRPr="00B37580">
        <w:rPr>
          <w:sz w:val="24"/>
          <w:szCs w:val="24"/>
        </w:rPr>
        <w:t xml:space="preserve"> (ďalej len „útvarov sociálneho zabezpečenia“) a Vojenského úradu sociálneho zabezpečenia</w:t>
      </w:r>
      <w:r w:rsidRPr="00B37580">
        <w:rPr>
          <w:bCs/>
          <w:color w:val="000000" w:themeColor="text1"/>
          <w:sz w:val="24"/>
          <w:szCs w:val="24"/>
        </w:rPr>
        <w:t xml:space="preserve">, z ktorých sa realizuje výplata dávok výsluhového zabezpečenia. Existujúci právny stav zvyšovania dôchodkových dávok výsluhového zabezpečenia je viazaný na tzv. dôchodcovskú infláciu. Výdavky na výplatu dôchodkových dávok výsluhového zabezpečenia dotknutej skupiny poberateľov budú zabezpečené v rozpočte osobitných účtov príslušných rozpočtových kapitol, </w:t>
      </w:r>
      <w:r w:rsidRPr="00B37580">
        <w:rPr>
          <w:b/>
          <w:bCs/>
          <w:color w:val="000000" w:themeColor="text1"/>
          <w:sz w:val="24"/>
          <w:szCs w:val="24"/>
        </w:rPr>
        <w:t>bez dodatočných požiadaviek na štátny rozpočet</w:t>
      </w:r>
      <w:r w:rsidRPr="00B37580">
        <w:rPr>
          <w:bCs/>
          <w:color w:val="000000" w:themeColor="text1"/>
          <w:sz w:val="24"/>
          <w:szCs w:val="24"/>
        </w:rPr>
        <w:t>.</w:t>
      </w:r>
    </w:p>
    <w:p w:rsidR="00B37580" w:rsidRPr="00B37580" w:rsidRDefault="00B37580" w:rsidP="00B37580">
      <w:pPr>
        <w:rPr>
          <w:b/>
          <w:bCs/>
          <w:sz w:val="24"/>
          <w:szCs w:val="24"/>
        </w:rPr>
      </w:pPr>
    </w:p>
    <w:p w:rsidR="00B37580" w:rsidRPr="00B37580" w:rsidRDefault="00B37580" w:rsidP="00B37580">
      <w:pPr>
        <w:rPr>
          <w:b/>
          <w:bCs/>
          <w:sz w:val="24"/>
          <w:szCs w:val="24"/>
        </w:rPr>
      </w:pPr>
      <w:r w:rsidRPr="00B37580">
        <w:rPr>
          <w:b/>
          <w:bCs/>
          <w:sz w:val="24"/>
          <w:szCs w:val="24"/>
        </w:rPr>
        <w:t>2.2. Popis a charakteristika návrhu</w:t>
      </w:r>
    </w:p>
    <w:p w:rsidR="00B37580" w:rsidRPr="00B37580" w:rsidRDefault="00B37580" w:rsidP="00B37580">
      <w:pPr>
        <w:rPr>
          <w:sz w:val="24"/>
          <w:szCs w:val="24"/>
        </w:rPr>
      </w:pPr>
    </w:p>
    <w:p w:rsidR="00B37580" w:rsidRPr="00B37580" w:rsidRDefault="00B37580" w:rsidP="00B37580">
      <w:pPr>
        <w:jc w:val="both"/>
        <w:rPr>
          <w:sz w:val="24"/>
          <w:szCs w:val="24"/>
        </w:rPr>
      </w:pPr>
      <w:r w:rsidRPr="00B37580">
        <w:rPr>
          <w:sz w:val="24"/>
          <w:szCs w:val="24"/>
        </w:rPr>
        <w:t>Návrh zvýšenia dôchodkových dávok výsluhového zabezpečenia o pevnú sumu pre stanovený okruh poberateľov.</w:t>
      </w:r>
    </w:p>
    <w:p w:rsidR="00B37580" w:rsidRPr="00B37580" w:rsidRDefault="00B37580" w:rsidP="00B37580">
      <w:pPr>
        <w:jc w:val="both"/>
        <w:rPr>
          <w:sz w:val="24"/>
          <w:szCs w:val="24"/>
        </w:rPr>
      </w:pPr>
    </w:p>
    <w:p w:rsidR="00B37580" w:rsidRPr="00B37580" w:rsidRDefault="00B37580" w:rsidP="00B37580">
      <w:pPr>
        <w:jc w:val="both"/>
        <w:rPr>
          <w:b/>
          <w:bCs/>
          <w:sz w:val="24"/>
          <w:szCs w:val="24"/>
        </w:rPr>
      </w:pPr>
      <w:r w:rsidRPr="00B37580">
        <w:rPr>
          <w:b/>
          <w:bCs/>
          <w:sz w:val="24"/>
          <w:szCs w:val="24"/>
        </w:rPr>
        <w:t>2.2.1. Popis návrhu:</w:t>
      </w:r>
    </w:p>
    <w:p w:rsidR="00B37580" w:rsidRPr="00B37580" w:rsidRDefault="00B37580" w:rsidP="00B37580">
      <w:pPr>
        <w:jc w:val="both"/>
        <w:rPr>
          <w:sz w:val="24"/>
          <w:szCs w:val="24"/>
        </w:rPr>
      </w:pPr>
    </w:p>
    <w:p w:rsidR="00B37580" w:rsidRPr="00B37580" w:rsidRDefault="00B37580" w:rsidP="00B37580">
      <w:pPr>
        <w:jc w:val="both"/>
        <w:rPr>
          <w:sz w:val="24"/>
          <w:szCs w:val="24"/>
        </w:rPr>
      </w:pPr>
      <w:r w:rsidRPr="00B37580">
        <w:rPr>
          <w:sz w:val="24"/>
          <w:szCs w:val="24"/>
          <w:lang w:eastAsia="en-US"/>
        </w:rPr>
        <w:t xml:space="preserve"> </w:t>
      </w:r>
      <w:r w:rsidRPr="00B37580">
        <w:rPr>
          <w:sz w:val="24"/>
          <w:szCs w:val="24"/>
        </w:rPr>
        <w:t>Predmetom návrhu zákona je stanovenie nového mechanizmu zvýšenia</w:t>
      </w:r>
      <w:r w:rsidRPr="00B37580">
        <w:rPr>
          <w:color w:val="FF0000"/>
          <w:sz w:val="24"/>
          <w:szCs w:val="24"/>
        </w:rPr>
        <w:t xml:space="preserve"> </w:t>
      </w:r>
      <w:r w:rsidRPr="00B37580">
        <w:rPr>
          <w:sz w:val="24"/>
          <w:szCs w:val="24"/>
        </w:rPr>
        <w:t xml:space="preserve">dôchodkových dávok výsluhového zabezpečenia pre stanovený okruh poberateľov. Pokiaľ ide o výsluhový dôchodok, tento sa zvýši pevnou sumou, ktorá sa zistí v závislosti od pevnej sumy 2 % priemernej mesačnej sumy starobného dôchodku vykázanej Sociálnou poisťovňou ku dňu 30. júna kalendárneho roka, ktorý predchádza kalendárnemu roku, v ktorom sa zvyšovanie vykonáva a od celkovej doby trvania služobného pomeru; pozostalostné dôchodkové dávky, a to vdovský výsluhový dôchodok, vdovecký výsluhový dôchodok a sirotský výsluhový dôchodok sa zvýšia stanovenou jednotnou pevnou sumou, ktorá predstavuje 2% priemernej mesačnej sumy starobného dôchodku. Rovnaký postup zvýšenia je zvolený aj u poberateľov invalidného výsluhového dôchodku. </w:t>
      </w:r>
    </w:p>
    <w:p w:rsidR="00B37580" w:rsidRPr="00B37580" w:rsidRDefault="00B37580" w:rsidP="00B37580">
      <w:pPr>
        <w:jc w:val="both"/>
        <w:rPr>
          <w:sz w:val="24"/>
          <w:szCs w:val="24"/>
        </w:rPr>
      </w:pPr>
    </w:p>
    <w:p w:rsidR="00B37580" w:rsidRPr="00B37580" w:rsidRDefault="00B37580" w:rsidP="00B37580">
      <w:pPr>
        <w:jc w:val="both"/>
        <w:rPr>
          <w:sz w:val="24"/>
          <w:szCs w:val="24"/>
        </w:rPr>
      </w:pPr>
      <w:r w:rsidRPr="00B37580">
        <w:rPr>
          <w:sz w:val="24"/>
          <w:szCs w:val="24"/>
        </w:rPr>
        <w:t xml:space="preserve">Zmena mechanizmu zvýšenia dôchodkových dávok výsluhového zabezpečenia má pozitívny vplyv na dlhodobú udržateľnosť osobitného systému sociálneho zabezpečenia s poukázaním na tú skutočnosť, že je naviazaná práve na skutočnú dobu trvania služobného pomeru, čo znamená, že dochádza k stabilizácií osobitného systému sociálneho zabezpečenia spolu s prijatými opatreniami z roku 2013. Je potrebné uviesť, že na zvýšenie dôchodkovej dávky výsluhového zabezpečenia, a to výsluhového dôchodku, ktorý je nosnou dávkou osobitného systému sociálneho zabezpečenia, je rozhodujúca skutočná doba trvania služobného pomeru a nie aktuálne vyplácaná suma výsluhového dôchodku, čo znamená, že poberateľovi s nižšou sumou výsluhového dôchodku a dlhšou dobou trvania služobného pomeru sa výsluhový dôchodok zvýši vyššou sumou, ako poberateľovi výsluhového dôchodku, ktorému je vyplácaný výsluhový dôchodok vo vyššej sume, ale s kratšou dobou trvania služobného pomeru. </w:t>
      </w:r>
    </w:p>
    <w:p w:rsidR="00B37580" w:rsidRPr="00B37580" w:rsidRDefault="00B37580" w:rsidP="00B37580">
      <w:pPr>
        <w:jc w:val="both"/>
        <w:rPr>
          <w:sz w:val="24"/>
          <w:szCs w:val="24"/>
        </w:rPr>
      </w:pPr>
    </w:p>
    <w:p w:rsidR="00B37580" w:rsidRPr="00B37580" w:rsidRDefault="00B37580" w:rsidP="00B37580">
      <w:pPr>
        <w:jc w:val="both"/>
        <w:rPr>
          <w:sz w:val="24"/>
          <w:szCs w:val="24"/>
        </w:rPr>
      </w:pPr>
      <w:r w:rsidRPr="00B37580">
        <w:rPr>
          <w:sz w:val="24"/>
          <w:szCs w:val="24"/>
        </w:rPr>
        <w:t xml:space="preserve">Priemerná doba trvania služobného pomeru v rámci osobitného účtu napr. útvaru sociálneho zabezpečenia Ministerstva vnútra SR a Vojenského úradu sociálneho zabezpečenia je od roku 2014 v rozsahu cca 24 rokov a  po prijatí navrhovaného mechanizmu zvýšenia dôchodkovej dávky výsluhového zabezpečenia, a to výsluhového dôchodku, nepredpokladá sa v nasledujúcich rokoch a ani po roku 2022 jej rapídne zvýšenie. </w:t>
      </w:r>
    </w:p>
    <w:p w:rsidR="00B37580" w:rsidRPr="00B37580" w:rsidRDefault="00B37580" w:rsidP="00B37580">
      <w:pPr>
        <w:jc w:val="both"/>
        <w:rPr>
          <w:color w:val="FF0000"/>
          <w:sz w:val="24"/>
          <w:szCs w:val="24"/>
        </w:rPr>
      </w:pPr>
    </w:p>
    <w:p w:rsidR="00B37580" w:rsidRPr="00B37580" w:rsidRDefault="00B37580" w:rsidP="00B37580">
      <w:pPr>
        <w:tabs>
          <w:tab w:val="left" w:pos="9214"/>
        </w:tabs>
        <w:jc w:val="both"/>
        <w:rPr>
          <w:sz w:val="24"/>
          <w:szCs w:val="24"/>
        </w:rPr>
      </w:pPr>
      <w:r w:rsidRPr="00B37580">
        <w:rPr>
          <w:sz w:val="24"/>
          <w:szCs w:val="24"/>
        </w:rPr>
        <w:t xml:space="preserve">Ak priemerná výška starobného dôchodku vykázaná Sociálnou poisťovňou ku dňu 30. júnu </w:t>
      </w:r>
      <w:r w:rsidRPr="00B37580">
        <w:rPr>
          <w:sz w:val="24"/>
          <w:szCs w:val="24"/>
          <w:lang w:eastAsia="en-US"/>
        </w:rPr>
        <w:t>kalendárneho roka, ktorý predchádza príslušnému kalendárnemu roku</w:t>
      </w:r>
      <w:r w:rsidRPr="00B37580">
        <w:rPr>
          <w:sz w:val="24"/>
          <w:szCs w:val="24"/>
        </w:rPr>
        <w:t xml:space="preserve"> predstavuje sumu                          do 450,00 eur, tak 2 % pevná suma použitá do vzorca na výpočet sumy zvýšenia predstavuje 9,00</w:t>
      </w:r>
      <w:r w:rsidRPr="00B37580">
        <w:rPr>
          <w:strike/>
          <w:sz w:val="24"/>
          <w:szCs w:val="24"/>
        </w:rPr>
        <w:t xml:space="preserve"> </w:t>
      </w:r>
      <w:r w:rsidRPr="00B37580">
        <w:rPr>
          <w:sz w:val="24"/>
          <w:szCs w:val="24"/>
        </w:rPr>
        <w:t xml:space="preserve">eur. Pri vykázanej sume od 450,01 eur do sumy 500,00 eur, 2 % pevná suma použitá do vzorca na </w:t>
      </w:r>
      <w:r w:rsidRPr="00B37580">
        <w:rPr>
          <w:sz w:val="24"/>
          <w:szCs w:val="24"/>
        </w:rPr>
        <w:lastRenderedPageBreak/>
        <w:t>výpočet sumy zvýšenia predstavuje 10,00 eur. Z uvedeného vyplýva, že za predpokladu zvyšovania priemernej sumy starobného dôchodku v tendencii, aká je aj v súčasnej dobe (v období roku 2017 bola 2 % suma starobného dôchodku zaokrúhlená na najbližší desať eurocent smerom nahor vo výške 8,20 eur, v roku 2018 v sume 8,40 eur a v roku 2019 v sume 8,70 eur), 2 % priemerná suma starobného dôchodku použitá na výpočet sumy zvýšenia bude 9,00 eur v období rokov 2019 až 2020. V nasledujúcom období rokov napr. 2021, 2022 sa predpokladá 2 % priemerná suma starobného dôchodku, t.j. suma použitá na výpočet sumy zvýšenia, bude predstavovať sumu 10,00 eur, a to vzhľadom na predpokladané zvýšenie priemernej sumy starobného dôchodku nad 450,00 eur do 500,00 eur.</w:t>
      </w:r>
    </w:p>
    <w:p w:rsidR="00B37580" w:rsidRPr="00B37580" w:rsidRDefault="00B37580" w:rsidP="00B37580">
      <w:pPr>
        <w:jc w:val="both"/>
        <w:rPr>
          <w:color w:val="FF0000"/>
          <w:sz w:val="24"/>
          <w:szCs w:val="24"/>
        </w:rPr>
      </w:pPr>
    </w:p>
    <w:p w:rsidR="00B37580" w:rsidRPr="00B37580" w:rsidRDefault="00B37580" w:rsidP="00B37580">
      <w:pPr>
        <w:jc w:val="both"/>
        <w:rPr>
          <w:sz w:val="24"/>
          <w:szCs w:val="24"/>
        </w:rPr>
      </w:pPr>
      <w:r w:rsidRPr="00B37580">
        <w:rPr>
          <w:sz w:val="24"/>
          <w:szCs w:val="24"/>
        </w:rPr>
        <w:t>Pri súčasnom nastavení zvyšovania dôchodkových dávok výsluhového zabezpečenia tzv. dôchodcovskou infláciou, by napr. v rámci osobitného účtu Ministerstva vnútra SR náklady na ich zvýšenie predstavovali v roku 2019 sumu 2.154.471 eur, v roku 2020 sumu 4.154.126 eur, v roku 2021 sumu 4.300.119 eur a v roku 2022 sumu 4.632.511 eur a v rámci osobitného účtu Vojenského úradu sociálneho zabezpečenia by predmetné zvýšenie predstavovalo v roku 2019 sumu 2.035.040 eur, v roku 2020 sumu 3.882.073 eur v roku 2021 sumu 3.900.854 eur a v roku 2022 sumu 4.074.786 eur.</w:t>
      </w:r>
    </w:p>
    <w:p w:rsidR="00B37580" w:rsidRPr="00B37580" w:rsidRDefault="00B37580" w:rsidP="00B37580">
      <w:pPr>
        <w:jc w:val="both"/>
        <w:rPr>
          <w:sz w:val="24"/>
          <w:szCs w:val="24"/>
        </w:rPr>
      </w:pPr>
    </w:p>
    <w:p w:rsidR="00B37580" w:rsidRPr="00B37580" w:rsidRDefault="00B37580" w:rsidP="00B37580">
      <w:pPr>
        <w:jc w:val="both"/>
        <w:rPr>
          <w:sz w:val="24"/>
          <w:szCs w:val="24"/>
        </w:rPr>
      </w:pPr>
      <w:r w:rsidRPr="00B37580">
        <w:rPr>
          <w:sz w:val="24"/>
          <w:szCs w:val="24"/>
        </w:rPr>
        <w:t>Navrhovaný nový mechanizmus zvýšenia dôchodkových dávok výsluhového zabezpečenia napr. v rámci osobitného účtu Ministerstva vnútra SR predstavuje náklady v roku 2019 v sume 1.709.208 eur, v roku 2020 v sume 3.418.416 eur, v roku 2021 v sume 3.694.095 eur a v roku 2022 v sume 3.969.774 eur a v rámci osobitného účtu Vojenského úradu sociálneho zabezpečenia predstavuje náklady v roku 2019 v sume 1.400.252 eur, v roku 2020 v sume 2.800.504 eur,  v roku 2021 v sume 3.025.242 eur a v roku 2022 v sume 3.249.987 eur.</w:t>
      </w:r>
    </w:p>
    <w:p w:rsidR="00B37580" w:rsidRPr="00B37580" w:rsidRDefault="00B37580" w:rsidP="00B37580">
      <w:pPr>
        <w:jc w:val="both"/>
        <w:rPr>
          <w:color w:val="FF0000"/>
          <w:sz w:val="24"/>
          <w:szCs w:val="24"/>
        </w:rPr>
      </w:pPr>
    </w:p>
    <w:p w:rsidR="00B37580" w:rsidRPr="00B37580" w:rsidRDefault="00B37580" w:rsidP="00B37580">
      <w:pPr>
        <w:rPr>
          <w:b/>
          <w:bCs/>
          <w:sz w:val="24"/>
          <w:szCs w:val="24"/>
        </w:rPr>
      </w:pPr>
    </w:p>
    <w:p w:rsidR="00B37580" w:rsidRPr="00B37580" w:rsidRDefault="00B37580" w:rsidP="00B37580">
      <w:pPr>
        <w:rPr>
          <w:b/>
          <w:bCs/>
          <w:sz w:val="24"/>
          <w:szCs w:val="24"/>
        </w:rPr>
      </w:pPr>
      <w:r w:rsidRPr="00B37580">
        <w:rPr>
          <w:b/>
          <w:bCs/>
          <w:sz w:val="24"/>
          <w:szCs w:val="24"/>
        </w:rPr>
        <w:t>2.2.2. Charakteristika návrhu:</w:t>
      </w:r>
    </w:p>
    <w:p w:rsidR="00B37580" w:rsidRPr="00B37580" w:rsidRDefault="00B37580" w:rsidP="00B37580">
      <w:pPr>
        <w:rPr>
          <w:sz w:val="24"/>
          <w:szCs w:val="24"/>
        </w:rPr>
      </w:pPr>
    </w:p>
    <w:p w:rsidR="00B37580" w:rsidRPr="00B37580" w:rsidRDefault="00B37580" w:rsidP="00B37580">
      <w:pPr>
        <w:rPr>
          <w:sz w:val="24"/>
          <w:szCs w:val="24"/>
        </w:rPr>
      </w:pPr>
      <w:r w:rsidRPr="00B37580">
        <w:rPr>
          <w:b/>
          <w:sz w:val="24"/>
          <w:szCs w:val="24"/>
          <w:bdr w:val="single" w:sz="4" w:space="0" w:color="auto"/>
        </w:rPr>
        <w:t xml:space="preserve"> x  </w:t>
      </w:r>
      <w:r w:rsidRPr="00B37580">
        <w:rPr>
          <w:b/>
          <w:sz w:val="24"/>
          <w:szCs w:val="24"/>
        </w:rPr>
        <w:t xml:space="preserve">  </w:t>
      </w:r>
      <w:r w:rsidRPr="00B37580">
        <w:rPr>
          <w:sz w:val="24"/>
          <w:szCs w:val="24"/>
        </w:rPr>
        <w:t>zmena sadzby</w:t>
      </w:r>
    </w:p>
    <w:p w:rsidR="00B37580" w:rsidRPr="00B37580" w:rsidRDefault="00B37580" w:rsidP="00B37580">
      <w:pPr>
        <w:rPr>
          <w:sz w:val="24"/>
          <w:szCs w:val="24"/>
        </w:rPr>
      </w:pPr>
      <w:r w:rsidRPr="00B37580">
        <w:rPr>
          <w:sz w:val="24"/>
          <w:szCs w:val="24"/>
          <w:bdr w:val="single" w:sz="4" w:space="0" w:color="auto"/>
        </w:rPr>
        <w:t xml:space="preserve">     </w:t>
      </w:r>
      <w:r w:rsidRPr="00B37580">
        <w:rPr>
          <w:sz w:val="24"/>
          <w:szCs w:val="24"/>
        </w:rPr>
        <w:t xml:space="preserve">  zmena v nároku</w:t>
      </w:r>
    </w:p>
    <w:p w:rsidR="00B37580" w:rsidRPr="00B37580" w:rsidRDefault="00B37580" w:rsidP="00B37580">
      <w:pPr>
        <w:rPr>
          <w:sz w:val="24"/>
          <w:szCs w:val="24"/>
        </w:rPr>
      </w:pPr>
      <w:r w:rsidRPr="00B37580">
        <w:rPr>
          <w:sz w:val="24"/>
          <w:szCs w:val="24"/>
          <w:bdr w:val="single" w:sz="4" w:space="0" w:color="auto"/>
        </w:rPr>
        <w:t xml:space="preserve">     </w:t>
      </w:r>
      <w:r w:rsidRPr="00B37580">
        <w:rPr>
          <w:sz w:val="24"/>
          <w:szCs w:val="24"/>
        </w:rPr>
        <w:t xml:space="preserve">  nová služba alebo nariadenie (alebo ich zrušenie)</w:t>
      </w:r>
    </w:p>
    <w:p w:rsidR="00B37580" w:rsidRPr="00B37580" w:rsidRDefault="00B37580" w:rsidP="00B37580">
      <w:pPr>
        <w:rPr>
          <w:sz w:val="24"/>
          <w:szCs w:val="24"/>
        </w:rPr>
      </w:pPr>
      <w:r w:rsidRPr="00B37580">
        <w:rPr>
          <w:sz w:val="24"/>
          <w:szCs w:val="24"/>
          <w:bdr w:val="single" w:sz="4" w:space="0" w:color="auto"/>
        </w:rPr>
        <w:t xml:space="preserve">     </w:t>
      </w:r>
      <w:r w:rsidRPr="00B37580">
        <w:rPr>
          <w:sz w:val="24"/>
          <w:szCs w:val="24"/>
        </w:rPr>
        <w:t xml:space="preserve">  kombinovaný návrh</w:t>
      </w:r>
    </w:p>
    <w:p w:rsidR="00B37580" w:rsidRPr="00B37580" w:rsidRDefault="00B37580" w:rsidP="00B37580">
      <w:pPr>
        <w:rPr>
          <w:sz w:val="24"/>
          <w:szCs w:val="24"/>
        </w:rPr>
      </w:pPr>
      <w:r w:rsidRPr="00B37580">
        <w:rPr>
          <w:sz w:val="24"/>
          <w:szCs w:val="24"/>
          <w:bdr w:val="single" w:sz="4" w:space="0" w:color="auto"/>
        </w:rPr>
        <w:t xml:space="preserve">     </w:t>
      </w:r>
      <w:r w:rsidRPr="00B37580">
        <w:rPr>
          <w:sz w:val="24"/>
          <w:szCs w:val="24"/>
        </w:rPr>
        <w:t xml:space="preserve">  iné </w:t>
      </w:r>
    </w:p>
    <w:p w:rsidR="00B37580" w:rsidRPr="00B37580" w:rsidRDefault="00B37580" w:rsidP="00B37580">
      <w:pPr>
        <w:rPr>
          <w:sz w:val="24"/>
          <w:szCs w:val="24"/>
        </w:rPr>
      </w:pPr>
    </w:p>
    <w:p w:rsidR="00B37580" w:rsidRPr="00B37580" w:rsidRDefault="00B37580" w:rsidP="00B37580">
      <w:pPr>
        <w:rPr>
          <w:sz w:val="24"/>
          <w:szCs w:val="24"/>
        </w:rPr>
      </w:pPr>
      <w:r w:rsidRPr="00B37580">
        <w:rPr>
          <w:b/>
          <w:bCs/>
          <w:sz w:val="24"/>
          <w:szCs w:val="24"/>
        </w:rPr>
        <w:t>2.2.3. Predpoklady vývoja objemu aktivít:</w:t>
      </w:r>
    </w:p>
    <w:p w:rsidR="00B37580" w:rsidRPr="00B37580" w:rsidRDefault="00B37580" w:rsidP="00B37580">
      <w:pPr>
        <w:rPr>
          <w:sz w:val="24"/>
          <w:szCs w:val="24"/>
          <w:highlight w:val="yellow"/>
        </w:rPr>
      </w:pPr>
    </w:p>
    <w:p w:rsidR="00B37580" w:rsidRPr="00B37580" w:rsidRDefault="00B37580" w:rsidP="00B37580">
      <w:pPr>
        <w:spacing w:after="200" w:line="276" w:lineRule="auto"/>
        <w:jc w:val="both"/>
        <w:rPr>
          <w:sz w:val="24"/>
          <w:szCs w:val="24"/>
        </w:rPr>
      </w:pPr>
      <w:r w:rsidRPr="00B37580">
        <w:rPr>
          <w:sz w:val="24"/>
          <w:szCs w:val="24"/>
        </w:rPr>
        <w:t xml:space="preserve">Výdavky súvisiace s implementáciou navrhovaných zmien budú finančne kryté v rámci osobitných účtov útvarov sociálneho zabezpečenia a Vojenského úradu sociálneho zabezpečenia. </w:t>
      </w:r>
    </w:p>
    <w:p w:rsidR="00B37580" w:rsidRPr="00B37580" w:rsidRDefault="00B37580" w:rsidP="00B37580">
      <w:pPr>
        <w:jc w:val="right"/>
        <w:rPr>
          <w:highlight w:val="yellow"/>
        </w:rPr>
      </w:pPr>
      <w:r w:rsidRPr="00B37580">
        <w:t>Tabuľka č. 2</w:t>
      </w:r>
      <w:r w:rsidRPr="00B37580">
        <w:rPr>
          <w:highlight w:val="yellow"/>
        </w:rPr>
        <w:t xml:space="preserve">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B37580" w:rsidRPr="00B37580" w:rsidTr="008046BF">
        <w:trPr>
          <w:cantSplit/>
          <w:trHeight w:val="70"/>
        </w:trPr>
        <w:tc>
          <w:tcPr>
            <w:tcW w:w="4530" w:type="dxa"/>
            <w:vMerge w:val="restart"/>
            <w:shd w:val="clear" w:color="auto" w:fill="BFBFBF" w:themeFill="background1" w:themeFillShade="BF"/>
            <w:vAlign w:val="center"/>
          </w:tcPr>
          <w:p w:rsidR="00B37580" w:rsidRPr="00B37580" w:rsidRDefault="00B37580" w:rsidP="00B37580">
            <w:pPr>
              <w:autoSpaceDE w:val="0"/>
              <w:autoSpaceDN w:val="0"/>
              <w:adjustRightInd w:val="0"/>
              <w:jc w:val="center"/>
              <w:rPr>
                <w:b/>
                <w:bCs/>
                <w:sz w:val="24"/>
                <w:szCs w:val="24"/>
              </w:rPr>
            </w:pPr>
            <w:r w:rsidRPr="00B37580">
              <w:rPr>
                <w:b/>
                <w:bCs/>
                <w:sz w:val="24"/>
                <w:szCs w:val="24"/>
              </w:rPr>
              <w:t>Objem aktivít</w:t>
            </w:r>
          </w:p>
        </w:tc>
        <w:tc>
          <w:tcPr>
            <w:tcW w:w="1134" w:type="dxa"/>
            <w:gridSpan w:val="4"/>
            <w:shd w:val="clear" w:color="auto" w:fill="BFBFBF" w:themeFill="background1" w:themeFillShade="BF"/>
            <w:vAlign w:val="center"/>
          </w:tcPr>
          <w:p w:rsidR="00B37580" w:rsidRPr="00B37580" w:rsidRDefault="00B37580" w:rsidP="00B37580">
            <w:pPr>
              <w:autoSpaceDE w:val="0"/>
              <w:autoSpaceDN w:val="0"/>
              <w:adjustRightInd w:val="0"/>
              <w:jc w:val="center"/>
              <w:rPr>
                <w:b/>
                <w:bCs/>
                <w:sz w:val="24"/>
                <w:szCs w:val="24"/>
              </w:rPr>
            </w:pPr>
            <w:r w:rsidRPr="00B37580">
              <w:rPr>
                <w:b/>
                <w:bCs/>
                <w:sz w:val="24"/>
                <w:szCs w:val="24"/>
              </w:rPr>
              <w:t>Odhadované objemy</w:t>
            </w:r>
          </w:p>
        </w:tc>
      </w:tr>
      <w:tr w:rsidR="00B37580" w:rsidRPr="00B37580" w:rsidTr="008046BF">
        <w:trPr>
          <w:cantSplit/>
          <w:trHeight w:val="70"/>
        </w:trPr>
        <w:tc>
          <w:tcPr>
            <w:tcW w:w="4530" w:type="dxa"/>
            <w:vMerge/>
            <w:shd w:val="clear" w:color="auto" w:fill="BFBFBF" w:themeFill="background1" w:themeFillShade="BF"/>
          </w:tcPr>
          <w:p w:rsidR="00B37580" w:rsidRPr="00B37580" w:rsidRDefault="00B37580" w:rsidP="00B37580">
            <w:pPr>
              <w:autoSpaceDE w:val="0"/>
              <w:autoSpaceDN w:val="0"/>
              <w:adjustRightInd w:val="0"/>
              <w:jc w:val="center"/>
              <w:rPr>
                <w:b/>
                <w:bCs/>
                <w:sz w:val="24"/>
                <w:szCs w:val="24"/>
              </w:rPr>
            </w:pPr>
          </w:p>
        </w:tc>
        <w:tc>
          <w:tcPr>
            <w:tcW w:w="1134" w:type="dxa"/>
            <w:shd w:val="clear" w:color="auto" w:fill="BFBFBF" w:themeFill="background1" w:themeFillShade="BF"/>
            <w:vAlign w:val="center"/>
          </w:tcPr>
          <w:p w:rsidR="00B37580" w:rsidRPr="00B37580" w:rsidRDefault="00B37580" w:rsidP="00B37580">
            <w:pPr>
              <w:autoSpaceDE w:val="0"/>
              <w:autoSpaceDN w:val="0"/>
              <w:adjustRightInd w:val="0"/>
              <w:jc w:val="center"/>
              <w:rPr>
                <w:b/>
                <w:bCs/>
                <w:sz w:val="24"/>
                <w:szCs w:val="24"/>
              </w:rPr>
            </w:pPr>
            <w:r w:rsidRPr="00B37580">
              <w:rPr>
                <w:b/>
                <w:bCs/>
                <w:sz w:val="24"/>
                <w:szCs w:val="24"/>
              </w:rPr>
              <w:t>2019</w:t>
            </w:r>
          </w:p>
        </w:tc>
        <w:tc>
          <w:tcPr>
            <w:tcW w:w="1134" w:type="dxa"/>
            <w:shd w:val="clear" w:color="auto" w:fill="BFBFBF" w:themeFill="background1" w:themeFillShade="BF"/>
            <w:vAlign w:val="center"/>
          </w:tcPr>
          <w:p w:rsidR="00B37580" w:rsidRPr="00B37580" w:rsidRDefault="00B37580" w:rsidP="00B37580">
            <w:pPr>
              <w:autoSpaceDE w:val="0"/>
              <w:autoSpaceDN w:val="0"/>
              <w:adjustRightInd w:val="0"/>
              <w:jc w:val="center"/>
              <w:rPr>
                <w:b/>
                <w:bCs/>
                <w:sz w:val="24"/>
                <w:szCs w:val="24"/>
              </w:rPr>
            </w:pPr>
            <w:r w:rsidRPr="00B37580">
              <w:rPr>
                <w:b/>
                <w:bCs/>
                <w:sz w:val="24"/>
                <w:szCs w:val="24"/>
              </w:rPr>
              <w:t>2020</w:t>
            </w:r>
          </w:p>
        </w:tc>
        <w:tc>
          <w:tcPr>
            <w:tcW w:w="1134" w:type="dxa"/>
            <w:shd w:val="clear" w:color="auto" w:fill="BFBFBF" w:themeFill="background1" w:themeFillShade="BF"/>
            <w:vAlign w:val="center"/>
          </w:tcPr>
          <w:p w:rsidR="00B37580" w:rsidRPr="00B37580" w:rsidRDefault="00B37580" w:rsidP="00B37580">
            <w:pPr>
              <w:autoSpaceDE w:val="0"/>
              <w:autoSpaceDN w:val="0"/>
              <w:adjustRightInd w:val="0"/>
              <w:jc w:val="center"/>
              <w:rPr>
                <w:b/>
                <w:bCs/>
                <w:sz w:val="24"/>
                <w:szCs w:val="24"/>
              </w:rPr>
            </w:pPr>
            <w:r w:rsidRPr="00B37580">
              <w:rPr>
                <w:b/>
                <w:bCs/>
                <w:sz w:val="24"/>
                <w:szCs w:val="24"/>
              </w:rPr>
              <w:t>2021</w:t>
            </w:r>
          </w:p>
        </w:tc>
        <w:tc>
          <w:tcPr>
            <w:tcW w:w="1134" w:type="dxa"/>
            <w:shd w:val="clear" w:color="auto" w:fill="BFBFBF" w:themeFill="background1" w:themeFillShade="BF"/>
            <w:vAlign w:val="center"/>
          </w:tcPr>
          <w:p w:rsidR="00B37580" w:rsidRPr="00B37580" w:rsidRDefault="00B37580" w:rsidP="00B37580">
            <w:pPr>
              <w:autoSpaceDE w:val="0"/>
              <w:autoSpaceDN w:val="0"/>
              <w:adjustRightInd w:val="0"/>
              <w:jc w:val="center"/>
              <w:rPr>
                <w:b/>
                <w:bCs/>
                <w:sz w:val="24"/>
                <w:szCs w:val="24"/>
              </w:rPr>
            </w:pPr>
            <w:r w:rsidRPr="00B37580">
              <w:rPr>
                <w:b/>
                <w:bCs/>
                <w:sz w:val="24"/>
                <w:szCs w:val="24"/>
              </w:rPr>
              <w:t>2022</w:t>
            </w:r>
          </w:p>
        </w:tc>
      </w:tr>
      <w:tr w:rsidR="00B37580" w:rsidRPr="00B37580" w:rsidTr="008046BF">
        <w:trPr>
          <w:trHeight w:val="70"/>
        </w:trPr>
        <w:tc>
          <w:tcPr>
            <w:tcW w:w="4530" w:type="dxa"/>
          </w:tcPr>
          <w:p w:rsidR="00B37580" w:rsidRPr="00B37580" w:rsidRDefault="00B37580" w:rsidP="00B37580">
            <w:pPr>
              <w:autoSpaceDE w:val="0"/>
              <w:autoSpaceDN w:val="0"/>
              <w:adjustRightInd w:val="0"/>
              <w:rPr>
                <w:color w:val="000000"/>
                <w:sz w:val="24"/>
                <w:szCs w:val="24"/>
              </w:rPr>
            </w:pPr>
            <w:r w:rsidRPr="00B37580">
              <w:rPr>
                <w:color w:val="000000"/>
                <w:sz w:val="24"/>
                <w:szCs w:val="24"/>
              </w:rPr>
              <w:t>Indikátor ABC</w:t>
            </w:r>
          </w:p>
        </w:tc>
        <w:tc>
          <w:tcPr>
            <w:tcW w:w="1134" w:type="dxa"/>
          </w:tcPr>
          <w:p w:rsidR="00B37580" w:rsidRPr="00B37580" w:rsidRDefault="00B37580" w:rsidP="00B37580">
            <w:pPr>
              <w:autoSpaceDE w:val="0"/>
              <w:autoSpaceDN w:val="0"/>
              <w:adjustRightInd w:val="0"/>
              <w:jc w:val="right"/>
              <w:rPr>
                <w:color w:val="000000"/>
                <w:sz w:val="24"/>
                <w:szCs w:val="24"/>
              </w:rPr>
            </w:pPr>
          </w:p>
        </w:tc>
        <w:tc>
          <w:tcPr>
            <w:tcW w:w="1134" w:type="dxa"/>
          </w:tcPr>
          <w:p w:rsidR="00B37580" w:rsidRPr="00B37580" w:rsidRDefault="00B37580" w:rsidP="00B37580">
            <w:pPr>
              <w:autoSpaceDE w:val="0"/>
              <w:autoSpaceDN w:val="0"/>
              <w:adjustRightInd w:val="0"/>
              <w:jc w:val="right"/>
              <w:rPr>
                <w:color w:val="000000"/>
                <w:sz w:val="24"/>
                <w:szCs w:val="24"/>
              </w:rPr>
            </w:pPr>
          </w:p>
        </w:tc>
        <w:tc>
          <w:tcPr>
            <w:tcW w:w="1134" w:type="dxa"/>
          </w:tcPr>
          <w:p w:rsidR="00B37580" w:rsidRPr="00B37580" w:rsidRDefault="00B37580" w:rsidP="00B37580">
            <w:pPr>
              <w:autoSpaceDE w:val="0"/>
              <w:autoSpaceDN w:val="0"/>
              <w:adjustRightInd w:val="0"/>
              <w:jc w:val="right"/>
              <w:rPr>
                <w:color w:val="000000"/>
                <w:sz w:val="24"/>
                <w:szCs w:val="24"/>
              </w:rPr>
            </w:pPr>
          </w:p>
        </w:tc>
        <w:tc>
          <w:tcPr>
            <w:tcW w:w="1134" w:type="dxa"/>
          </w:tcPr>
          <w:p w:rsidR="00B37580" w:rsidRPr="00B37580" w:rsidRDefault="00B37580" w:rsidP="00B37580">
            <w:pPr>
              <w:autoSpaceDE w:val="0"/>
              <w:autoSpaceDN w:val="0"/>
              <w:adjustRightInd w:val="0"/>
              <w:jc w:val="right"/>
              <w:rPr>
                <w:color w:val="000000"/>
                <w:sz w:val="24"/>
                <w:szCs w:val="24"/>
              </w:rPr>
            </w:pPr>
          </w:p>
        </w:tc>
      </w:tr>
      <w:tr w:rsidR="00B37580" w:rsidRPr="00B37580" w:rsidTr="008046BF">
        <w:trPr>
          <w:trHeight w:val="70"/>
        </w:trPr>
        <w:tc>
          <w:tcPr>
            <w:tcW w:w="4530" w:type="dxa"/>
          </w:tcPr>
          <w:p w:rsidR="00B37580" w:rsidRPr="00B37580" w:rsidRDefault="00B37580" w:rsidP="00B37580">
            <w:pPr>
              <w:autoSpaceDE w:val="0"/>
              <w:autoSpaceDN w:val="0"/>
              <w:adjustRightInd w:val="0"/>
              <w:rPr>
                <w:color w:val="000000"/>
                <w:sz w:val="24"/>
                <w:szCs w:val="24"/>
              </w:rPr>
            </w:pPr>
            <w:r w:rsidRPr="00B37580">
              <w:rPr>
                <w:color w:val="000000"/>
                <w:sz w:val="24"/>
                <w:szCs w:val="24"/>
              </w:rPr>
              <w:t>Indikátor KLM</w:t>
            </w:r>
          </w:p>
        </w:tc>
        <w:tc>
          <w:tcPr>
            <w:tcW w:w="1134" w:type="dxa"/>
          </w:tcPr>
          <w:p w:rsidR="00B37580" w:rsidRPr="00B37580" w:rsidRDefault="00B37580" w:rsidP="00B37580">
            <w:pPr>
              <w:autoSpaceDE w:val="0"/>
              <w:autoSpaceDN w:val="0"/>
              <w:adjustRightInd w:val="0"/>
              <w:jc w:val="right"/>
              <w:rPr>
                <w:color w:val="000000"/>
                <w:sz w:val="24"/>
                <w:szCs w:val="24"/>
              </w:rPr>
            </w:pPr>
          </w:p>
        </w:tc>
        <w:tc>
          <w:tcPr>
            <w:tcW w:w="1134" w:type="dxa"/>
          </w:tcPr>
          <w:p w:rsidR="00B37580" w:rsidRPr="00B37580" w:rsidRDefault="00B37580" w:rsidP="00B37580">
            <w:pPr>
              <w:autoSpaceDE w:val="0"/>
              <w:autoSpaceDN w:val="0"/>
              <w:adjustRightInd w:val="0"/>
              <w:jc w:val="right"/>
              <w:rPr>
                <w:color w:val="000000"/>
                <w:sz w:val="24"/>
                <w:szCs w:val="24"/>
              </w:rPr>
            </w:pPr>
          </w:p>
        </w:tc>
        <w:tc>
          <w:tcPr>
            <w:tcW w:w="1134" w:type="dxa"/>
          </w:tcPr>
          <w:p w:rsidR="00B37580" w:rsidRPr="00B37580" w:rsidRDefault="00B37580" w:rsidP="00B37580">
            <w:pPr>
              <w:autoSpaceDE w:val="0"/>
              <w:autoSpaceDN w:val="0"/>
              <w:adjustRightInd w:val="0"/>
              <w:jc w:val="right"/>
              <w:rPr>
                <w:color w:val="000000"/>
                <w:sz w:val="24"/>
                <w:szCs w:val="24"/>
              </w:rPr>
            </w:pPr>
          </w:p>
        </w:tc>
        <w:tc>
          <w:tcPr>
            <w:tcW w:w="1134" w:type="dxa"/>
          </w:tcPr>
          <w:p w:rsidR="00B37580" w:rsidRPr="00B37580" w:rsidRDefault="00B37580" w:rsidP="00B37580">
            <w:pPr>
              <w:autoSpaceDE w:val="0"/>
              <w:autoSpaceDN w:val="0"/>
              <w:adjustRightInd w:val="0"/>
              <w:jc w:val="right"/>
              <w:rPr>
                <w:color w:val="000000"/>
                <w:sz w:val="24"/>
                <w:szCs w:val="24"/>
              </w:rPr>
            </w:pPr>
          </w:p>
        </w:tc>
      </w:tr>
      <w:tr w:rsidR="00B37580" w:rsidRPr="00B37580" w:rsidTr="008046BF">
        <w:trPr>
          <w:trHeight w:val="70"/>
        </w:trPr>
        <w:tc>
          <w:tcPr>
            <w:tcW w:w="4530" w:type="dxa"/>
          </w:tcPr>
          <w:p w:rsidR="00B37580" w:rsidRPr="00B37580" w:rsidRDefault="00B37580" w:rsidP="00B37580">
            <w:pPr>
              <w:autoSpaceDE w:val="0"/>
              <w:autoSpaceDN w:val="0"/>
              <w:adjustRightInd w:val="0"/>
              <w:rPr>
                <w:color w:val="000000"/>
                <w:sz w:val="24"/>
                <w:szCs w:val="24"/>
              </w:rPr>
            </w:pPr>
            <w:r w:rsidRPr="00B37580">
              <w:rPr>
                <w:color w:val="000000"/>
                <w:sz w:val="24"/>
                <w:szCs w:val="24"/>
              </w:rPr>
              <w:t>Indikátor XYZ</w:t>
            </w:r>
          </w:p>
        </w:tc>
        <w:tc>
          <w:tcPr>
            <w:tcW w:w="1134" w:type="dxa"/>
          </w:tcPr>
          <w:p w:rsidR="00B37580" w:rsidRPr="00B37580" w:rsidRDefault="00B37580" w:rsidP="00B37580">
            <w:pPr>
              <w:autoSpaceDE w:val="0"/>
              <w:autoSpaceDN w:val="0"/>
              <w:adjustRightInd w:val="0"/>
              <w:jc w:val="right"/>
              <w:rPr>
                <w:color w:val="000000"/>
                <w:sz w:val="24"/>
                <w:szCs w:val="24"/>
              </w:rPr>
            </w:pPr>
          </w:p>
        </w:tc>
        <w:tc>
          <w:tcPr>
            <w:tcW w:w="1134" w:type="dxa"/>
          </w:tcPr>
          <w:p w:rsidR="00B37580" w:rsidRPr="00B37580" w:rsidRDefault="00B37580" w:rsidP="00B37580">
            <w:pPr>
              <w:autoSpaceDE w:val="0"/>
              <w:autoSpaceDN w:val="0"/>
              <w:adjustRightInd w:val="0"/>
              <w:jc w:val="right"/>
              <w:rPr>
                <w:color w:val="000000"/>
                <w:sz w:val="24"/>
                <w:szCs w:val="24"/>
              </w:rPr>
            </w:pPr>
          </w:p>
        </w:tc>
        <w:tc>
          <w:tcPr>
            <w:tcW w:w="1134" w:type="dxa"/>
          </w:tcPr>
          <w:p w:rsidR="00B37580" w:rsidRPr="00B37580" w:rsidRDefault="00B37580" w:rsidP="00B37580">
            <w:pPr>
              <w:autoSpaceDE w:val="0"/>
              <w:autoSpaceDN w:val="0"/>
              <w:adjustRightInd w:val="0"/>
              <w:jc w:val="right"/>
              <w:rPr>
                <w:color w:val="000000"/>
                <w:sz w:val="24"/>
                <w:szCs w:val="24"/>
              </w:rPr>
            </w:pPr>
          </w:p>
        </w:tc>
        <w:tc>
          <w:tcPr>
            <w:tcW w:w="1134" w:type="dxa"/>
          </w:tcPr>
          <w:p w:rsidR="00B37580" w:rsidRPr="00B37580" w:rsidRDefault="00B37580" w:rsidP="00B37580">
            <w:pPr>
              <w:autoSpaceDE w:val="0"/>
              <w:autoSpaceDN w:val="0"/>
              <w:adjustRightInd w:val="0"/>
              <w:jc w:val="right"/>
              <w:rPr>
                <w:color w:val="000000"/>
                <w:sz w:val="24"/>
                <w:szCs w:val="24"/>
              </w:rPr>
            </w:pPr>
          </w:p>
        </w:tc>
      </w:tr>
    </w:tbl>
    <w:p w:rsidR="00B37580" w:rsidRPr="00B37580" w:rsidRDefault="00B37580" w:rsidP="00B37580">
      <w:pPr>
        <w:rPr>
          <w:sz w:val="24"/>
          <w:szCs w:val="24"/>
        </w:rPr>
      </w:pPr>
    </w:p>
    <w:p w:rsidR="00B37580" w:rsidRPr="00B37580" w:rsidRDefault="00B37580" w:rsidP="00B37580">
      <w:pPr>
        <w:rPr>
          <w:sz w:val="24"/>
          <w:szCs w:val="24"/>
        </w:rPr>
      </w:pPr>
    </w:p>
    <w:p w:rsidR="00B37580" w:rsidRPr="00B37580" w:rsidRDefault="00B37580" w:rsidP="00B37580">
      <w:pPr>
        <w:rPr>
          <w:b/>
          <w:bCs/>
          <w:sz w:val="24"/>
          <w:szCs w:val="24"/>
        </w:rPr>
      </w:pPr>
      <w:r w:rsidRPr="00B37580">
        <w:rPr>
          <w:b/>
          <w:bCs/>
          <w:sz w:val="24"/>
          <w:szCs w:val="24"/>
        </w:rPr>
        <w:t>2.2.4. Výpočty vplyvov na verejné financie</w:t>
      </w:r>
    </w:p>
    <w:p w:rsidR="00B37580" w:rsidRPr="00B37580" w:rsidRDefault="00B37580" w:rsidP="00B37580">
      <w:pPr>
        <w:autoSpaceDE w:val="0"/>
        <w:autoSpaceDN w:val="0"/>
        <w:adjustRightInd w:val="0"/>
        <w:jc w:val="both"/>
        <w:rPr>
          <w:bCs/>
          <w:sz w:val="22"/>
          <w:szCs w:val="22"/>
          <w:lang w:eastAsia="en-US"/>
        </w:rPr>
      </w:pPr>
    </w:p>
    <w:p w:rsidR="00B37580" w:rsidRPr="00B37580" w:rsidRDefault="00B37580" w:rsidP="00B37580">
      <w:pPr>
        <w:autoSpaceDE w:val="0"/>
        <w:autoSpaceDN w:val="0"/>
        <w:adjustRightInd w:val="0"/>
        <w:jc w:val="both"/>
        <w:rPr>
          <w:sz w:val="24"/>
          <w:szCs w:val="24"/>
          <w:lang w:eastAsia="en-US"/>
        </w:rPr>
      </w:pPr>
      <w:r w:rsidRPr="00B37580">
        <w:rPr>
          <w:sz w:val="24"/>
          <w:szCs w:val="24"/>
          <w:lang w:eastAsia="en-US"/>
        </w:rPr>
        <w:t>Pri kvantifikácii vplyvov na verejné financie sa vychádzalo z platného znenia zákona                               č. 328/2002 Z. z.</w:t>
      </w:r>
      <w:r w:rsidRPr="00B37580">
        <w:rPr>
          <w:bCs/>
          <w:sz w:val="24"/>
          <w:szCs w:val="24"/>
          <w:lang w:eastAsia="en-US"/>
        </w:rPr>
        <w:t xml:space="preserve"> o sociálnom zabezpečení policajtov a vojakov a o zmene a doplnení niektorých zákonov v znení neskorších predpisov</w:t>
      </w:r>
      <w:r w:rsidRPr="00B37580">
        <w:rPr>
          <w:sz w:val="24"/>
          <w:szCs w:val="24"/>
          <w:lang w:eastAsia="en-US"/>
        </w:rPr>
        <w:t xml:space="preserve"> </w:t>
      </w:r>
      <w:r w:rsidRPr="00B37580">
        <w:rPr>
          <w:bCs/>
          <w:sz w:val="24"/>
          <w:szCs w:val="24"/>
          <w:lang w:eastAsia="en-US"/>
        </w:rPr>
        <w:t>(ďalej len „zákon č. 328/2002 Z. z.“), k</w:t>
      </w:r>
      <w:r w:rsidRPr="00B37580">
        <w:rPr>
          <w:sz w:val="24"/>
          <w:szCs w:val="24"/>
          <w:lang w:eastAsia="en-US"/>
        </w:rPr>
        <w:t xml:space="preserve">torým by sa dôchodkové dávky výsluhového zabezpečenia od 01.07.2019 zvyšovali o tzv. dôchodcovskú </w:t>
      </w:r>
      <w:r w:rsidRPr="00B37580">
        <w:rPr>
          <w:sz w:val="24"/>
          <w:szCs w:val="24"/>
          <w:lang w:eastAsia="en-US"/>
        </w:rPr>
        <w:lastRenderedPageBreak/>
        <w:t xml:space="preserve">infláciu. </w:t>
      </w:r>
      <w:r w:rsidRPr="00B37580">
        <w:rPr>
          <w:bCs/>
          <w:sz w:val="24"/>
          <w:szCs w:val="24"/>
          <w:lang w:eastAsia="en-US"/>
        </w:rPr>
        <w:t xml:space="preserve">Predmetný vládny návrh zákona, ktorým sa mení a dopĺňa zákon č. 328/2002 Z. z. </w:t>
      </w:r>
      <w:r w:rsidRPr="00B37580">
        <w:rPr>
          <w:sz w:val="24"/>
          <w:szCs w:val="24"/>
          <w:lang w:eastAsia="en-US"/>
        </w:rPr>
        <w:t xml:space="preserve">má priamy vplyv na osobitný účet útvarov sociálneho zabezpečenia a Vojenský úrad sociálneho zabezpečenia v rokoch 2019 až 2022 s tým, že znižuje ich výdavky, s výnimkou útvaru sociálneho zabezpečenia Finančného riaditeľstva SR. Kvantifikácia oproti existujúcemu právnemu stavu predpokladá pozitívny vplyv na osobitný účet útvarov sociálneho zabezpečenia a Vojenský úrad sociálneho zabezpečenia na úrovni </w:t>
      </w:r>
      <w:proofErr w:type="spellStart"/>
      <w:r w:rsidRPr="00B37580">
        <w:rPr>
          <w:sz w:val="24"/>
          <w:szCs w:val="24"/>
          <w:lang w:eastAsia="en-US"/>
        </w:rPr>
        <w:t>napr</w:t>
      </w:r>
      <w:proofErr w:type="spellEnd"/>
      <w:r w:rsidRPr="00B37580">
        <w:rPr>
          <w:sz w:val="24"/>
          <w:szCs w:val="24"/>
          <w:lang w:eastAsia="en-US"/>
        </w:rPr>
        <w:t>:</w:t>
      </w:r>
    </w:p>
    <w:p w:rsidR="00B37580" w:rsidRPr="00B37580" w:rsidRDefault="00B37580" w:rsidP="00B37580">
      <w:pPr>
        <w:autoSpaceDE w:val="0"/>
        <w:autoSpaceDN w:val="0"/>
        <w:adjustRightInd w:val="0"/>
        <w:jc w:val="both"/>
        <w:rPr>
          <w:sz w:val="24"/>
          <w:szCs w:val="24"/>
          <w:lang w:eastAsia="en-US"/>
        </w:rPr>
      </w:pPr>
    </w:p>
    <w:p w:rsidR="00B37580" w:rsidRPr="00B37580" w:rsidRDefault="00B37580" w:rsidP="00B37580">
      <w:pPr>
        <w:autoSpaceDE w:val="0"/>
        <w:autoSpaceDN w:val="0"/>
        <w:adjustRightInd w:val="0"/>
        <w:jc w:val="both"/>
        <w:rPr>
          <w:sz w:val="24"/>
          <w:szCs w:val="24"/>
          <w:lang w:eastAsia="en-US"/>
        </w:rPr>
      </w:pPr>
      <w:r w:rsidRPr="00B37580">
        <w:rPr>
          <w:sz w:val="24"/>
          <w:szCs w:val="24"/>
          <w:lang w:eastAsia="en-US"/>
        </w:rPr>
        <w:t>1) Vojenský úrad sociálneho zabezpečenia cca  634.788 eur v roku 2019; cca  1.081.569 eur v roku 2020, cca 875.612 eur, v roku 2021 a cca 824.799 eur v roku 2022,</w:t>
      </w:r>
    </w:p>
    <w:p w:rsidR="00B37580" w:rsidRPr="00B37580" w:rsidRDefault="00B37580" w:rsidP="00B37580">
      <w:pPr>
        <w:autoSpaceDE w:val="0"/>
        <w:autoSpaceDN w:val="0"/>
        <w:adjustRightInd w:val="0"/>
        <w:jc w:val="both"/>
        <w:rPr>
          <w:color w:val="FF0000"/>
          <w:sz w:val="24"/>
          <w:szCs w:val="24"/>
          <w:lang w:eastAsia="en-US"/>
        </w:rPr>
      </w:pPr>
    </w:p>
    <w:p w:rsidR="00B37580" w:rsidRPr="00B37580" w:rsidRDefault="00B37580" w:rsidP="00B37580">
      <w:pPr>
        <w:autoSpaceDE w:val="0"/>
        <w:autoSpaceDN w:val="0"/>
        <w:adjustRightInd w:val="0"/>
        <w:jc w:val="both"/>
        <w:rPr>
          <w:sz w:val="24"/>
          <w:szCs w:val="24"/>
          <w:lang w:eastAsia="en-US"/>
        </w:rPr>
      </w:pPr>
      <w:r w:rsidRPr="00B37580">
        <w:rPr>
          <w:sz w:val="24"/>
          <w:szCs w:val="24"/>
          <w:lang w:eastAsia="en-US"/>
        </w:rPr>
        <w:t>2) útvar sociálneho zabezpečenia Zboru väzenskej a justičnej stráže cca 79.292 eur v roku 2019; cca 113.721 eur v roku 2020, cca 60.400 eur, v roku 2021 a cca 44.521 eur v roku 2022,</w:t>
      </w:r>
    </w:p>
    <w:p w:rsidR="00B37580" w:rsidRPr="00B37580" w:rsidRDefault="00B37580" w:rsidP="00B37580">
      <w:pPr>
        <w:autoSpaceDE w:val="0"/>
        <w:autoSpaceDN w:val="0"/>
        <w:adjustRightInd w:val="0"/>
        <w:jc w:val="both"/>
        <w:rPr>
          <w:color w:val="FF0000"/>
          <w:sz w:val="24"/>
          <w:szCs w:val="24"/>
          <w:lang w:eastAsia="en-US"/>
        </w:rPr>
      </w:pPr>
    </w:p>
    <w:p w:rsidR="00B37580" w:rsidRPr="00B37580" w:rsidRDefault="00B37580" w:rsidP="00B37580">
      <w:pPr>
        <w:autoSpaceDE w:val="0"/>
        <w:autoSpaceDN w:val="0"/>
        <w:adjustRightInd w:val="0"/>
        <w:jc w:val="both"/>
        <w:rPr>
          <w:sz w:val="24"/>
          <w:szCs w:val="24"/>
          <w:lang w:eastAsia="en-US"/>
        </w:rPr>
      </w:pPr>
      <w:r w:rsidRPr="00B37580">
        <w:rPr>
          <w:sz w:val="24"/>
          <w:szCs w:val="24"/>
          <w:lang w:eastAsia="en-US"/>
        </w:rPr>
        <w:t>3) útvar sociálneho zabezpečenia MV SR a SIS cca 445.263 eur v roku 2019; cca 735.710 eur v roku 2020, cca 606.024 eur v roku 2021 a cca 662.737 eur v roku 2022.</w:t>
      </w:r>
    </w:p>
    <w:p w:rsidR="00B37580" w:rsidRPr="00B37580" w:rsidRDefault="00B37580" w:rsidP="00B37580">
      <w:pPr>
        <w:autoSpaceDE w:val="0"/>
        <w:autoSpaceDN w:val="0"/>
        <w:adjustRightInd w:val="0"/>
        <w:jc w:val="both"/>
        <w:rPr>
          <w:sz w:val="24"/>
          <w:szCs w:val="24"/>
          <w:lang w:eastAsia="en-US"/>
        </w:rPr>
      </w:pPr>
    </w:p>
    <w:p w:rsidR="00B37580" w:rsidRPr="00B37580" w:rsidRDefault="00B37580" w:rsidP="00B37580">
      <w:pPr>
        <w:autoSpaceDE w:val="0"/>
        <w:autoSpaceDN w:val="0"/>
        <w:adjustRightInd w:val="0"/>
        <w:jc w:val="both"/>
        <w:rPr>
          <w:sz w:val="24"/>
          <w:szCs w:val="24"/>
          <w:lang w:eastAsia="en-US"/>
        </w:rPr>
      </w:pPr>
    </w:p>
    <w:p w:rsidR="00B37580" w:rsidRPr="00B37580" w:rsidRDefault="00B37580" w:rsidP="00B37580">
      <w:pPr>
        <w:autoSpaceDE w:val="0"/>
        <w:autoSpaceDN w:val="0"/>
        <w:adjustRightInd w:val="0"/>
        <w:jc w:val="both"/>
        <w:rPr>
          <w:sz w:val="22"/>
          <w:szCs w:val="22"/>
          <w:lang w:eastAsia="en-US"/>
        </w:rPr>
      </w:pPr>
    </w:p>
    <w:p w:rsidR="00B37580" w:rsidRPr="00B37580" w:rsidRDefault="00B37580" w:rsidP="00B37580">
      <w:pPr>
        <w:rPr>
          <w:rFonts w:cs="Verdana"/>
          <w:b/>
          <w:bCs/>
          <w:iCs/>
          <w:sz w:val="24"/>
          <w:szCs w:val="24"/>
          <w:lang w:eastAsia="en-US"/>
        </w:rPr>
      </w:pPr>
      <w:r w:rsidRPr="00B37580">
        <w:rPr>
          <w:rFonts w:cs="Verdana"/>
          <w:b/>
          <w:bCs/>
          <w:iCs/>
          <w:sz w:val="24"/>
          <w:szCs w:val="24"/>
          <w:lang w:eastAsia="en-US"/>
        </w:rPr>
        <w:t>2.2.4.1 Kvantifikácia príjmov</w:t>
      </w:r>
    </w:p>
    <w:p w:rsidR="00B37580" w:rsidRPr="00B37580" w:rsidRDefault="00B37580" w:rsidP="00B37580">
      <w:pPr>
        <w:jc w:val="both"/>
        <w:rPr>
          <w:sz w:val="24"/>
          <w:szCs w:val="24"/>
        </w:rPr>
      </w:pPr>
    </w:p>
    <w:p w:rsidR="00B37580" w:rsidRPr="00B37580" w:rsidRDefault="00B37580" w:rsidP="00B37580">
      <w:pPr>
        <w:jc w:val="both"/>
        <w:rPr>
          <w:sz w:val="24"/>
          <w:szCs w:val="24"/>
        </w:rPr>
      </w:pPr>
      <w:r w:rsidRPr="00B37580">
        <w:rPr>
          <w:sz w:val="24"/>
          <w:szCs w:val="24"/>
        </w:rPr>
        <w:t xml:space="preserve">Predmetný </w:t>
      </w:r>
      <w:r w:rsidRPr="00B37580">
        <w:rPr>
          <w:sz w:val="24"/>
          <w:szCs w:val="24"/>
          <w:lang w:eastAsia="en-US"/>
        </w:rPr>
        <w:t xml:space="preserve">návrh zákona, ktorým sa mení a dopĺňa zákon č. 328/2002 Z. z. </w:t>
      </w:r>
      <w:r w:rsidRPr="00B37580">
        <w:rPr>
          <w:sz w:val="24"/>
          <w:szCs w:val="24"/>
        </w:rPr>
        <w:t>nemá vplyv na príjmy útvarov sociálneho zabezpečenia a Vojenský úrad sociálneho zabezpečenia (nezvyšuje ich, ale ani ich neznižuje).</w:t>
      </w:r>
    </w:p>
    <w:p w:rsidR="00B37580" w:rsidRPr="00B37580" w:rsidRDefault="00B37580" w:rsidP="00B37580">
      <w:pPr>
        <w:jc w:val="both"/>
        <w:rPr>
          <w:sz w:val="24"/>
          <w:szCs w:val="24"/>
        </w:rPr>
      </w:pPr>
    </w:p>
    <w:p w:rsidR="00B37580" w:rsidRPr="00B37580" w:rsidRDefault="00B37580" w:rsidP="00B37580">
      <w:pPr>
        <w:jc w:val="right"/>
      </w:pPr>
      <w:r w:rsidRPr="00B37580">
        <w:t>Tabuľka č. 3</w:t>
      </w:r>
    </w:p>
    <w:tbl>
      <w:tblPr>
        <w:tblW w:w="9142" w:type="dxa"/>
        <w:tblCellMar>
          <w:left w:w="70" w:type="dxa"/>
          <w:right w:w="70" w:type="dxa"/>
        </w:tblCellMar>
        <w:tblLook w:val="0000" w:firstRow="0" w:lastRow="0" w:firstColumn="0" w:lastColumn="0" w:noHBand="0" w:noVBand="0"/>
      </w:tblPr>
      <w:tblGrid>
        <w:gridCol w:w="3614"/>
        <w:gridCol w:w="1134"/>
        <w:gridCol w:w="992"/>
        <w:gridCol w:w="993"/>
        <w:gridCol w:w="1134"/>
        <w:gridCol w:w="1275"/>
      </w:tblGrid>
      <w:tr w:rsidR="00B37580" w:rsidRPr="00B37580" w:rsidTr="008046BF">
        <w:trPr>
          <w:trHeight w:val="255"/>
        </w:trPr>
        <w:tc>
          <w:tcPr>
            <w:tcW w:w="361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37580" w:rsidRPr="00B37580" w:rsidRDefault="00B37580" w:rsidP="00B37580">
            <w:pPr>
              <w:jc w:val="center"/>
              <w:rPr>
                <w:b/>
                <w:bCs/>
                <w:sz w:val="24"/>
                <w:szCs w:val="24"/>
              </w:rPr>
            </w:pPr>
            <w:r w:rsidRPr="00B37580">
              <w:rPr>
                <w:b/>
                <w:bCs/>
                <w:sz w:val="24"/>
                <w:szCs w:val="24"/>
              </w:rPr>
              <w:t>Príjmy (v eurách)</w:t>
            </w:r>
          </w:p>
        </w:tc>
        <w:tc>
          <w:tcPr>
            <w:tcW w:w="4253"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B37580" w:rsidRPr="00B37580" w:rsidRDefault="00B37580" w:rsidP="00B37580">
            <w:pPr>
              <w:jc w:val="center"/>
              <w:rPr>
                <w:b/>
                <w:bCs/>
                <w:sz w:val="24"/>
                <w:szCs w:val="24"/>
              </w:rPr>
            </w:pPr>
            <w:r w:rsidRPr="00B37580">
              <w:rPr>
                <w:b/>
                <w:bCs/>
                <w:sz w:val="24"/>
                <w:szCs w:val="24"/>
              </w:rPr>
              <w:t>Vplyv na rozpočet verejnej správy</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37580" w:rsidRPr="00B37580" w:rsidRDefault="00B37580" w:rsidP="00B37580">
            <w:pPr>
              <w:jc w:val="center"/>
              <w:rPr>
                <w:b/>
                <w:bCs/>
                <w:sz w:val="24"/>
                <w:szCs w:val="24"/>
              </w:rPr>
            </w:pPr>
            <w:r w:rsidRPr="00B37580">
              <w:rPr>
                <w:b/>
                <w:bCs/>
                <w:sz w:val="24"/>
                <w:szCs w:val="24"/>
              </w:rPr>
              <w:t>poznámka</w:t>
            </w:r>
          </w:p>
        </w:tc>
      </w:tr>
      <w:tr w:rsidR="00B37580" w:rsidRPr="00B37580" w:rsidTr="008046BF">
        <w:trPr>
          <w:trHeight w:val="255"/>
        </w:trPr>
        <w:tc>
          <w:tcPr>
            <w:tcW w:w="3614" w:type="dxa"/>
            <w:vMerge/>
            <w:tcBorders>
              <w:top w:val="single" w:sz="4" w:space="0" w:color="auto"/>
              <w:left w:val="single" w:sz="4" w:space="0" w:color="auto"/>
              <w:bottom w:val="single" w:sz="4" w:space="0" w:color="auto"/>
              <w:right w:val="single" w:sz="4" w:space="0" w:color="auto"/>
            </w:tcBorders>
            <w:vAlign w:val="center"/>
          </w:tcPr>
          <w:p w:rsidR="00B37580" w:rsidRPr="00B37580" w:rsidRDefault="00B37580" w:rsidP="00B37580">
            <w:pPr>
              <w:rPr>
                <w:b/>
                <w:bCs/>
                <w:color w:val="FFFFFF"/>
                <w:sz w:val="24"/>
                <w:szCs w:val="24"/>
              </w:rPr>
            </w:pPr>
          </w:p>
        </w:tc>
        <w:tc>
          <w:tcPr>
            <w:tcW w:w="1134" w:type="dxa"/>
            <w:tcBorders>
              <w:top w:val="nil"/>
              <w:left w:val="nil"/>
              <w:bottom w:val="single" w:sz="4" w:space="0" w:color="auto"/>
              <w:right w:val="single" w:sz="4" w:space="0" w:color="auto"/>
            </w:tcBorders>
            <w:shd w:val="clear" w:color="auto" w:fill="BFBFBF" w:themeFill="background1" w:themeFillShade="BF"/>
            <w:vAlign w:val="center"/>
          </w:tcPr>
          <w:p w:rsidR="00B37580" w:rsidRPr="00B37580" w:rsidRDefault="00B37580" w:rsidP="00B37580">
            <w:pPr>
              <w:jc w:val="right"/>
              <w:rPr>
                <w:b/>
                <w:bCs/>
                <w:sz w:val="24"/>
                <w:szCs w:val="24"/>
              </w:rPr>
            </w:pPr>
            <w:r w:rsidRPr="00B37580">
              <w:rPr>
                <w:b/>
                <w:bCs/>
                <w:sz w:val="24"/>
                <w:szCs w:val="24"/>
              </w:rPr>
              <w:t>2019</w:t>
            </w:r>
          </w:p>
        </w:tc>
        <w:tc>
          <w:tcPr>
            <w:tcW w:w="992" w:type="dxa"/>
            <w:tcBorders>
              <w:top w:val="nil"/>
              <w:left w:val="nil"/>
              <w:bottom w:val="single" w:sz="4" w:space="0" w:color="auto"/>
              <w:right w:val="single" w:sz="4" w:space="0" w:color="auto"/>
            </w:tcBorders>
            <w:shd w:val="clear" w:color="auto" w:fill="BFBFBF" w:themeFill="background1" w:themeFillShade="BF"/>
            <w:vAlign w:val="center"/>
          </w:tcPr>
          <w:p w:rsidR="00B37580" w:rsidRPr="00B37580" w:rsidRDefault="00B37580" w:rsidP="00B37580">
            <w:pPr>
              <w:jc w:val="right"/>
              <w:rPr>
                <w:b/>
                <w:bCs/>
                <w:sz w:val="24"/>
                <w:szCs w:val="24"/>
              </w:rPr>
            </w:pPr>
            <w:r w:rsidRPr="00B37580">
              <w:rPr>
                <w:b/>
                <w:bCs/>
                <w:sz w:val="24"/>
                <w:szCs w:val="24"/>
              </w:rPr>
              <w:t>2020</w:t>
            </w:r>
          </w:p>
        </w:tc>
        <w:tc>
          <w:tcPr>
            <w:tcW w:w="993" w:type="dxa"/>
            <w:tcBorders>
              <w:top w:val="nil"/>
              <w:left w:val="nil"/>
              <w:bottom w:val="single" w:sz="4" w:space="0" w:color="auto"/>
              <w:right w:val="single" w:sz="4" w:space="0" w:color="auto"/>
            </w:tcBorders>
            <w:shd w:val="clear" w:color="auto" w:fill="BFBFBF" w:themeFill="background1" w:themeFillShade="BF"/>
            <w:vAlign w:val="center"/>
          </w:tcPr>
          <w:p w:rsidR="00B37580" w:rsidRPr="00B37580" w:rsidRDefault="00B37580" w:rsidP="00B37580">
            <w:pPr>
              <w:jc w:val="right"/>
              <w:rPr>
                <w:b/>
                <w:bCs/>
                <w:sz w:val="24"/>
                <w:szCs w:val="24"/>
              </w:rPr>
            </w:pPr>
            <w:r w:rsidRPr="00B37580">
              <w:rPr>
                <w:b/>
                <w:bCs/>
                <w:sz w:val="24"/>
                <w:szCs w:val="24"/>
              </w:rPr>
              <w:t>2021</w:t>
            </w:r>
          </w:p>
        </w:tc>
        <w:tc>
          <w:tcPr>
            <w:tcW w:w="1134" w:type="dxa"/>
            <w:tcBorders>
              <w:top w:val="nil"/>
              <w:left w:val="nil"/>
              <w:bottom w:val="single" w:sz="4" w:space="0" w:color="auto"/>
              <w:right w:val="single" w:sz="4" w:space="0" w:color="auto"/>
            </w:tcBorders>
            <w:shd w:val="clear" w:color="auto" w:fill="BFBFBF" w:themeFill="background1" w:themeFillShade="BF"/>
            <w:vAlign w:val="center"/>
          </w:tcPr>
          <w:p w:rsidR="00B37580" w:rsidRPr="00B37580" w:rsidRDefault="00B37580" w:rsidP="00B37580">
            <w:pPr>
              <w:jc w:val="right"/>
              <w:rPr>
                <w:b/>
                <w:bCs/>
                <w:sz w:val="24"/>
                <w:szCs w:val="24"/>
              </w:rPr>
            </w:pPr>
            <w:r w:rsidRPr="00B37580">
              <w:rPr>
                <w:b/>
                <w:bCs/>
                <w:sz w:val="24"/>
                <w:szCs w:val="24"/>
              </w:rPr>
              <w:t>2022</w:t>
            </w:r>
          </w:p>
        </w:tc>
        <w:tc>
          <w:tcPr>
            <w:tcW w:w="1275" w:type="dxa"/>
            <w:vMerge/>
            <w:tcBorders>
              <w:top w:val="single" w:sz="4" w:space="0" w:color="auto"/>
              <w:left w:val="single" w:sz="4" w:space="0" w:color="auto"/>
              <w:bottom w:val="single" w:sz="4" w:space="0" w:color="auto"/>
              <w:right w:val="single" w:sz="4" w:space="0" w:color="auto"/>
            </w:tcBorders>
            <w:vAlign w:val="center"/>
          </w:tcPr>
          <w:p w:rsidR="00B37580" w:rsidRPr="00B37580" w:rsidRDefault="00B37580" w:rsidP="00B37580">
            <w:pPr>
              <w:rPr>
                <w:b/>
                <w:bCs/>
                <w:color w:val="FFFFFF"/>
                <w:sz w:val="24"/>
                <w:szCs w:val="24"/>
              </w:rPr>
            </w:pPr>
          </w:p>
        </w:tc>
      </w:tr>
      <w:tr w:rsidR="00B37580" w:rsidRPr="00B37580" w:rsidTr="008046BF">
        <w:trPr>
          <w:trHeight w:val="255"/>
        </w:trPr>
        <w:tc>
          <w:tcPr>
            <w:tcW w:w="3614" w:type="dxa"/>
            <w:tcBorders>
              <w:top w:val="nil"/>
              <w:left w:val="single" w:sz="4" w:space="0" w:color="auto"/>
              <w:bottom w:val="single" w:sz="4" w:space="0" w:color="auto"/>
              <w:right w:val="single" w:sz="4" w:space="0" w:color="auto"/>
            </w:tcBorders>
          </w:tcPr>
          <w:p w:rsidR="00B37580" w:rsidRPr="00B37580" w:rsidRDefault="00B37580" w:rsidP="00B37580">
            <w:pPr>
              <w:rPr>
                <w:bCs/>
                <w:sz w:val="24"/>
                <w:szCs w:val="24"/>
                <w:vertAlign w:val="superscript"/>
              </w:rPr>
            </w:pPr>
            <w:r w:rsidRPr="00B37580">
              <w:rPr>
                <w:bCs/>
                <w:sz w:val="24"/>
                <w:szCs w:val="24"/>
              </w:rPr>
              <w:t>Daňové príjmy (100)</w:t>
            </w:r>
          </w:p>
        </w:tc>
        <w:tc>
          <w:tcPr>
            <w:tcW w:w="1134" w:type="dxa"/>
            <w:tcBorders>
              <w:top w:val="nil"/>
              <w:left w:val="nil"/>
              <w:bottom w:val="single" w:sz="4" w:space="0" w:color="auto"/>
              <w:right w:val="single" w:sz="4" w:space="0" w:color="auto"/>
            </w:tcBorders>
            <w:vAlign w:val="center"/>
          </w:tcPr>
          <w:p w:rsidR="00B37580" w:rsidRPr="00B37580" w:rsidRDefault="00B37580" w:rsidP="00B37580">
            <w:pPr>
              <w:jc w:val="right"/>
              <w:rPr>
                <w:bCs/>
                <w:sz w:val="24"/>
                <w:szCs w:val="24"/>
              </w:rPr>
            </w:pPr>
            <w:r w:rsidRPr="00B37580">
              <w:rPr>
                <w:bCs/>
                <w:sz w:val="24"/>
                <w:szCs w:val="24"/>
              </w:rPr>
              <w:t>0</w:t>
            </w:r>
          </w:p>
        </w:tc>
        <w:tc>
          <w:tcPr>
            <w:tcW w:w="992" w:type="dxa"/>
            <w:tcBorders>
              <w:top w:val="nil"/>
              <w:left w:val="nil"/>
              <w:bottom w:val="single" w:sz="4" w:space="0" w:color="auto"/>
              <w:right w:val="single" w:sz="4" w:space="0" w:color="auto"/>
            </w:tcBorders>
            <w:vAlign w:val="center"/>
          </w:tcPr>
          <w:p w:rsidR="00B37580" w:rsidRPr="00B37580" w:rsidRDefault="00B37580" w:rsidP="00B37580">
            <w:pPr>
              <w:jc w:val="right"/>
              <w:rPr>
                <w:bCs/>
                <w:sz w:val="24"/>
                <w:szCs w:val="24"/>
              </w:rPr>
            </w:pPr>
            <w:r w:rsidRPr="00B37580">
              <w:rPr>
                <w:bCs/>
                <w:sz w:val="24"/>
                <w:szCs w:val="24"/>
              </w:rPr>
              <w:t>0</w:t>
            </w:r>
          </w:p>
        </w:tc>
        <w:tc>
          <w:tcPr>
            <w:tcW w:w="993" w:type="dxa"/>
            <w:tcBorders>
              <w:top w:val="nil"/>
              <w:left w:val="nil"/>
              <w:bottom w:val="single" w:sz="4" w:space="0" w:color="auto"/>
              <w:right w:val="single" w:sz="4" w:space="0" w:color="auto"/>
            </w:tcBorders>
            <w:vAlign w:val="center"/>
          </w:tcPr>
          <w:p w:rsidR="00B37580" w:rsidRPr="00B37580" w:rsidRDefault="00B37580" w:rsidP="00B37580">
            <w:pPr>
              <w:jc w:val="right"/>
              <w:rPr>
                <w:bCs/>
                <w:sz w:val="24"/>
                <w:szCs w:val="24"/>
              </w:rPr>
            </w:pPr>
            <w:r w:rsidRPr="00B37580">
              <w:rPr>
                <w:bCs/>
                <w:sz w:val="24"/>
                <w:szCs w:val="24"/>
              </w:rPr>
              <w:t>0</w:t>
            </w:r>
          </w:p>
        </w:tc>
        <w:tc>
          <w:tcPr>
            <w:tcW w:w="1134" w:type="dxa"/>
            <w:tcBorders>
              <w:top w:val="nil"/>
              <w:left w:val="nil"/>
              <w:bottom w:val="single" w:sz="4" w:space="0" w:color="auto"/>
              <w:right w:val="single" w:sz="4" w:space="0" w:color="auto"/>
            </w:tcBorders>
            <w:vAlign w:val="center"/>
          </w:tcPr>
          <w:p w:rsidR="00B37580" w:rsidRPr="00B37580" w:rsidRDefault="00B37580" w:rsidP="00B37580">
            <w:pPr>
              <w:jc w:val="right"/>
              <w:rPr>
                <w:bCs/>
                <w:sz w:val="24"/>
                <w:szCs w:val="24"/>
              </w:rPr>
            </w:pPr>
            <w:r w:rsidRPr="00B37580">
              <w:rPr>
                <w:bCs/>
                <w:sz w:val="24"/>
                <w:szCs w:val="24"/>
              </w:rPr>
              <w:t>0</w:t>
            </w:r>
          </w:p>
        </w:tc>
        <w:tc>
          <w:tcPr>
            <w:tcW w:w="1275" w:type="dxa"/>
            <w:tcBorders>
              <w:top w:val="nil"/>
              <w:left w:val="nil"/>
              <w:bottom w:val="single" w:sz="4" w:space="0" w:color="auto"/>
              <w:right w:val="single" w:sz="4" w:space="0" w:color="auto"/>
            </w:tcBorders>
            <w:noWrap/>
            <w:vAlign w:val="bottom"/>
          </w:tcPr>
          <w:p w:rsidR="00B37580" w:rsidRPr="00B37580" w:rsidRDefault="00B37580" w:rsidP="00B37580">
            <w:pPr>
              <w:rPr>
                <w:sz w:val="24"/>
                <w:szCs w:val="24"/>
              </w:rPr>
            </w:pPr>
            <w:r w:rsidRPr="00B37580">
              <w:rPr>
                <w:sz w:val="24"/>
                <w:szCs w:val="24"/>
              </w:rPr>
              <w:t> </w:t>
            </w:r>
          </w:p>
        </w:tc>
      </w:tr>
      <w:tr w:rsidR="00B37580" w:rsidRPr="00B37580" w:rsidTr="008046BF">
        <w:trPr>
          <w:trHeight w:val="255"/>
        </w:trPr>
        <w:tc>
          <w:tcPr>
            <w:tcW w:w="3614" w:type="dxa"/>
            <w:tcBorders>
              <w:top w:val="nil"/>
              <w:left w:val="single" w:sz="4" w:space="0" w:color="auto"/>
              <w:bottom w:val="single" w:sz="4" w:space="0" w:color="auto"/>
              <w:right w:val="single" w:sz="4" w:space="0" w:color="auto"/>
            </w:tcBorders>
          </w:tcPr>
          <w:p w:rsidR="00B37580" w:rsidRPr="00B37580" w:rsidRDefault="00B37580" w:rsidP="00B37580">
            <w:pPr>
              <w:rPr>
                <w:bCs/>
                <w:sz w:val="24"/>
                <w:szCs w:val="24"/>
              </w:rPr>
            </w:pPr>
            <w:r w:rsidRPr="00B37580">
              <w:rPr>
                <w:bCs/>
                <w:sz w:val="24"/>
                <w:szCs w:val="24"/>
              </w:rPr>
              <w:t>Nedaňové príjmy (200)</w:t>
            </w:r>
          </w:p>
        </w:tc>
        <w:tc>
          <w:tcPr>
            <w:tcW w:w="1134" w:type="dxa"/>
            <w:tcBorders>
              <w:top w:val="nil"/>
              <w:left w:val="nil"/>
              <w:bottom w:val="single" w:sz="4" w:space="0" w:color="auto"/>
              <w:right w:val="single" w:sz="4" w:space="0" w:color="auto"/>
            </w:tcBorders>
            <w:vAlign w:val="center"/>
          </w:tcPr>
          <w:p w:rsidR="00B37580" w:rsidRPr="00B37580" w:rsidRDefault="00B37580" w:rsidP="00B37580">
            <w:pPr>
              <w:jc w:val="right"/>
              <w:rPr>
                <w:bCs/>
                <w:sz w:val="24"/>
                <w:szCs w:val="24"/>
              </w:rPr>
            </w:pPr>
            <w:r w:rsidRPr="00B37580">
              <w:rPr>
                <w:bCs/>
                <w:sz w:val="24"/>
                <w:szCs w:val="24"/>
              </w:rPr>
              <w:t>0</w:t>
            </w:r>
          </w:p>
        </w:tc>
        <w:tc>
          <w:tcPr>
            <w:tcW w:w="992" w:type="dxa"/>
            <w:tcBorders>
              <w:top w:val="nil"/>
              <w:left w:val="nil"/>
              <w:bottom w:val="single" w:sz="4" w:space="0" w:color="auto"/>
              <w:right w:val="single" w:sz="4" w:space="0" w:color="auto"/>
            </w:tcBorders>
            <w:vAlign w:val="center"/>
          </w:tcPr>
          <w:p w:rsidR="00B37580" w:rsidRPr="00B37580" w:rsidRDefault="00B37580" w:rsidP="00B37580">
            <w:pPr>
              <w:jc w:val="right"/>
              <w:rPr>
                <w:bCs/>
                <w:sz w:val="24"/>
                <w:szCs w:val="24"/>
              </w:rPr>
            </w:pPr>
            <w:r w:rsidRPr="00B37580">
              <w:rPr>
                <w:bCs/>
                <w:sz w:val="24"/>
                <w:szCs w:val="24"/>
              </w:rPr>
              <w:t>0</w:t>
            </w:r>
          </w:p>
        </w:tc>
        <w:tc>
          <w:tcPr>
            <w:tcW w:w="993" w:type="dxa"/>
            <w:tcBorders>
              <w:top w:val="nil"/>
              <w:left w:val="nil"/>
              <w:bottom w:val="single" w:sz="4" w:space="0" w:color="auto"/>
              <w:right w:val="single" w:sz="4" w:space="0" w:color="auto"/>
            </w:tcBorders>
            <w:vAlign w:val="center"/>
          </w:tcPr>
          <w:p w:rsidR="00B37580" w:rsidRPr="00B37580" w:rsidRDefault="00B37580" w:rsidP="00B37580">
            <w:pPr>
              <w:jc w:val="right"/>
              <w:rPr>
                <w:bCs/>
                <w:sz w:val="24"/>
                <w:szCs w:val="24"/>
              </w:rPr>
            </w:pPr>
            <w:r w:rsidRPr="00B37580">
              <w:rPr>
                <w:bCs/>
                <w:sz w:val="24"/>
                <w:szCs w:val="24"/>
              </w:rPr>
              <w:t>0</w:t>
            </w:r>
          </w:p>
        </w:tc>
        <w:tc>
          <w:tcPr>
            <w:tcW w:w="1134" w:type="dxa"/>
            <w:tcBorders>
              <w:top w:val="nil"/>
              <w:left w:val="nil"/>
              <w:bottom w:val="single" w:sz="4" w:space="0" w:color="auto"/>
              <w:right w:val="single" w:sz="4" w:space="0" w:color="auto"/>
            </w:tcBorders>
            <w:vAlign w:val="center"/>
          </w:tcPr>
          <w:p w:rsidR="00B37580" w:rsidRPr="00B37580" w:rsidRDefault="00B37580" w:rsidP="00B37580">
            <w:pPr>
              <w:jc w:val="right"/>
              <w:rPr>
                <w:bCs/>
                <w:sz w:val="24"/>
                <w:szCs w:val="24"/>
              </w:rPr>
            </w:pPr>
            <w:r w:rsidRPr="00B37580">
              <w:rPr>
                <w:bCs/>
                <w:sz w:val="24"/>
                <w:szCs w:val="24"/>
              </w:rPr>
              <w:t>0</w:t>
            </w:r>
          </w:p>
        </w:tc>
        <w:tc>
          <w:tcPr>
            <w:tcW w:w="1275" w:type="dxa"/>
            <w:tcBorders>
              <w:top w:val="nil"/>
              <w:left w:val="nil"/>
              <w:bottom w:val="single" w:sz="4" w:space="0" w:color="auto"/>
              <w:right w:val="single" w:sz="4" w:space="0" w:color="auto"/>
            </w:tcBorders>
            <w:noWrap/>
            <w:vAlign w:val="bottom"/>
          </w:tcPr>
          <w:p w:rsidR="00B37580" w:rsidRPr="00B37580" w:rsidRDefault="00B37580" w:rsidP="00B37580">
            <w:pPr>
              <w:rPr>
                <w:sz w:val="24"/>
                <w:szCs w:val="24"/>
              </w:rPr>
            </w:pPr>
            <w:r w:rsidRPr="00B37580">
              <w:rPr>
                <w:sz w:val="24"/>
                <w:szCs w:val="24"/>
              </w:rPr>
              <w:t> </w:t>
            </w:r>
          </w:p>
        </w:tc>
      </w:tr>
      <w:tr w:rsidR="00B37580" w:rsidRPr="00B37580" w:rsidTr="008046BF">
        <w:trPr>
          <w:trHeight w:val="255"/>
        </w:trPr>
        <w:tc>
          <w:tcPr>
            <w:tcW w:w="3614" w:type="dxa"/>
            <w:tcBorders>
              <w:top w:val="nil"/>
              <w:left w:val="single" w:sz="4" w:space="0" w:color="auto"/>
              <w:bottom w:val="single" w:sz="4" w:space="0" w:color="auto"/>
              <w:right w:val="single" w:sz="4" w:space="0" w:color="auto"/>
            </w:tcBorders>
          </w:tcPr>
          <w:p w:rsidR="00B37580" w:rsidRPr="00B37580" w:rsidRDefault="00B37580" w:rsidP="00B37580">
            <w:pPr>
              <w:rPr>
                <w:bCs/>
                <w:sz w:val="24"/>
                <w:szCs w:val="24"/>
              </w:rPr>
            </w:pPr>
            <w:r w:rsidRPr="00B37580">
              <w:rPr>
                <w:bCs/>
                <w:sz w:val="24"/>
                <w:szCs w:val="24"/>
              </w:rPr>
              <w:t>Granty a transfery (300)</w:t>
            </w:r>
          </w:p>
        </w:tc>
        <w:tc>
          <w:tcPr>
            <w:tcW w:w="1134" w:type="dxa"/>
            <w:tcBorders>
              <w:top w:val="nil"/>
              <w:left w:val="nil"/>
              <w:bottom w:val="single" w:sz="4" w:space="0" w:color="auto"/>
              <w:right w:val="single" w:sz="4" w:space="0" w:color="auto"/>
            </w:tcBorders>
            <w:vAlign w:val="center"/>
          </w:tcPr>
          <w:p w:rsidR="00B37580" w:rsidRPr="00B37580" w:rsidRDefault="00B37580" w:rsidP="00B37580">
            <w:pPr>
              <w:jc w:val="right"/>
              <w:rPr>
                <w:bCs/>
                <w:sz w:val="24"/>
                <w:szCs w:val="24"/>
              </w:rPr>
            </w:pPr>
            <w:r w:rsidRPr="00B37580">
              <w:rPr>
                <w:bCs/>
                <w:sz w:val="24"/>
                <w:szCs w:val="24"/>
              </w:rPr>
              <w:t>0</w:t>
            </w:r>
          </w:p>
        </w:tc>
        <w:tc>
          <w:tcPr>
            <w:tcW w:w="992" w:type="dxa"/>
            <w:tcBorders>
              <w:top w:val="nil"/>
              <w:left w:val="nil"/>
              <w:bottom w:val="single" w:sz="4" w:space="0" w:color="auto"/>
              <w:right w:val="single" w:sz="4" w:space="0" w:color="auto"/>
            </w:tcBorders>
            <w:vAlign w:val="center"/>
          </w:tcPr>
          <w:p w:rsidR="00B37580" w:rsidRPr="00B37580" w:rsidRDefault="00B37580" w:rsidP="00B37580">
            <w:pPr>
              <w:jc w:val="right"/>
              <w:rPr>
                <w:bCs/>
                <w:sz w:val="24"/>
                <w:szCs w:val="24"/>
              </w:rPr>
            </w:pPr>
            <w:r w:rsidRPr="00B37580">
              <w:rPr>
                <w:bCs/>
                <w:sz w:val="24"/>
                <w:szCs w:val="24"/>
              </w:rPr>
              <w:t>0</w:t>
            </w:r>
          </w:p>
        </w:tc>
        <w:tc>
          <w:tcPr>
            <w:tcW w:w="993" w:type="dxa"/>
            <w:tcBorders>
              <w:top w:val="nil"/>
              <w:left w:val="nil"/>
              <w:bottom w:val="single" w:sz="4" w:space="0" w:color="auto"/>
              <w:right w:val="single" w:sz="4" w:space="0" w:color="auto"/>
            </w:tcBorders>
            <w:vAlign w:val="center"/>
          </w:tcPr>
          <w:p w:rsidR="00B37580" w:rsidRPr="00B37580" w:rsidRDefault="00B37580" w:rsidP="00B37580">
            <w:pPr>
              <w:jc w:val="right"/>
              <w:rPr>
                <w:bCs/>
                <w:sz w:val="24"/>
                <w:szCs w:val="24"/>
              </w:rPr>
            </w:pPr>
            <w:r w:rsidRPr="00B37580">
              <w:rPr>
                <w:bCs/>
                <w:sz w:val="24"/>
                <w:szCs w:val="24"/>
              </w:rPr>
              <w:t>0</w:t>
            </w:r>
          </w:p>
        </w:tc>
        <w:tc>
          <w:tcPr>
            <w:tcW w:w="1134" w:type="dxa"/>
            <w:tcBorders>
              <w:top w:val="nil"/>
              <w:left w:val="nil"/>
              <w:bottom w:val="single" w:sz="4" w:space="0" w:color="auto"/>
              <w:right w:val="single" w:sz="4" w:space="0" w:color="auto"/>
            </w:tcBorders>
            <w:vAlign w:val="center"/>
          </w:tcPr>
          <w:p w:rsidR="00B37580" w:rsidRPr="00B37580" w:rsidRDefault="00B37580" w:rsidP="00B37580">
            <w:pPr>
              <w:jc w:val="right"/>
              <w:rPr>
                <w:bCs/>
                <w:sz w:val="24"/>
                <w:szCs w:val="24"/>
              </w:rPr>
            </w:pPr>
            <w:r w:rsidRPr="00B37580">
              <w:rPr>
                <w:bCs/>
                <w:sz w:val="24"/>
                <w:szCs w:val="24"/>
              </w:rPr>
              <w:t>0</w:t>
            </w:r>
          </w:p>
        </w:tc>
        <w:tc>
          <w:tcPr>
            <w:tcW w:w="1275" w:type="dxa"/>
            <w:tcBorders>
              <w:top w:val="nil"/>
              <w:left w:val="nil"/>
              <w:bottom w:val="single" w:sz="4" w:space="0" w:color="auto"/>
              <w:right w:val="single" w:sz="4" w:space="0" w:color="auto"/>
            </w:tcBorders>
            <w:noWrap/>
            <w:vAlign w:val="bottom"/>
          </w:tcPr>
          <w:p w:rsidR="00B37580" w:rsidRPr="00B37580" w:rsidRDefault="00B37580" w:rsidP="00B37580">
            <w:pPr>
              <w:rPr>
                <w:sz w:val="24"/>
                <w:szCs w:val="24"/>
              </w:rPr>
            </w:pPr>
            <w:r w:rsidRPr="00B37580">
              <w:rPr>
                <w:sz w:val="24"/>
                <w:szCs w:val="24"/>
              </w:rPr>
              <w:t> </w:t>
            </w:r>
          </w:p>
        </w:tc>
      </w:tr>
      <w:tr w:rsidR="00B37580" w:rsidRPr="00B37580" w:rsidTr="008046BF">
        <w:trPr>
          <w:trHeight w:val="255"/>
        </w:trPr>
        <w:tc>
          <w:tcPr>
            <w:tcW w:w="3614" w:type="dxa"/>
            <w:tcBorders>
              <w:top w:val="nil"/>
              <w:left w:val="single" w:sz="4" w:space="0" w:color="auto"/>
              <w:bottom w:val="single" w:sz="4" w:space="0" w:color="auto"/>
              <w:right w:val="single" w:sz="4" w:space="0" w:color="auto"/>
            </w:tcBorders>
          </w:tcPr>
          <w:p w:rsidR="00B37580" w:rsidRPr="00B37580" w:rsidRDefault="00B37580" w:rsidP="00B37580">
            <w:pPr>
              <w:rPr>
                <w:bCs/>
                <w:sz w:val="24"/>
                <w:szCs w:val="24"/>
              </w:rPr>
            </w:pPr>
            <w:r w:rsidRPr="00B37580">
              <w:rPr>
                <w:bCs/>
                <w:sz w:val="24"/>
                <w:szCs w:val="24"/>
              </w:rPr>
              <w:t>Príjmy z transakcií s finančnými aktívami a finančnými pasívami (400)</w:t>
            </w:r>
          </w:p>
        </w:tc>
        <w:tc>
          <w:tcPr>
            <w:tcW w:w="1134" w:type="dxa"/>
            <w:tcBorders>
              <w:top w:val="nil"/>
              <w:left w:val="nil"/>
              <w:bottom w:val="single" w:sz="4" w:space="0" w:color="auto"/>
              <w:right w:val="single" w:sz="4" w:space="0" w:color="auto"/>
            </w:tcBorders>
            <w:shd w:val="clear" w:color="auto" w:fill="FFFF99"/>
            <w:vAlign w:val="center"/>
          </w:tcPr>
          <w:p w:rsidR="00B37580" w:rsidRPr="00B37580" w:rsidRDefault="00B37580" w:rsidP="00B37580">
            <w:pPr>
              <w:jc w:val="right"/>
              <w:rPr>
                <w:bCs/>
                <w:sz w:val="24"/>
                <w:szCs w:val="24"/>
              </w:rPr>
            </w:pPr>
            <w:r w:rsidRPr="00B37580">
              <w:rPr>
                <w:bCs/>
                <w:sz w:val="24"/>
                <w:szCs w:val="24"/>
              </w:rPr>
              <w:t> 0</w:t>
            </w:r>
          </w:p>
        </w:tc>
        <w:tc>
          <w:tcPr>
            <w:tcW w:w="992" w:type="dxa"/>
            <w:tcBorders>
              <w:top w:val="nil"/>
              <w:left w:val="nil"/>
              <w:bottom w:val="single" w:sz="4" w:space="0" w:color="auto"/>
              <w:right w:val="single" w:sz="4" w:space="0" w:color="auto"/>
            </w:tcBorders>
            <w:shd w:val="clear" w:color="auto" w:fill="FFFF99"/>
            <w:vAlign w:val="center"/>
          </w:tcPr>
          <w:p w:rsidR="00B37580" w:rsidRPr="00B37580" w:rsidRDefault="00B37580" w:rsidP="00B37580">
            <w:pPr>
              <w:jc w:val="right"/>
              <w:rPr>
                <w:bCs/>
                <w:sz w:val="24"/>
                <w:szCs w:val="24"/>
              </w:rPr>
            </w:pPr>
            <w:r w:rsidRPr="00B37580">
              <w:rPr>
                <w:bCs/>
                <w:sz w:val="24"/>
                <w:szCs w:val="24"/>
              </w:rPr>
              <w:t> 0</w:t>
            </w:r>
          </w:p>
        </w:tc>
        <w:tc>
          <w:tcPr>
            <w:tcW w:w="993" w:type="dxa"/>
            <w:tcBorders>
              <w:top w:val="nil"/>
              <w:left w:val="nil"/>
              <w:bottom w:val="single" w:sz="4" w:space="0" w:color="auto"/>
              <w:right w:val="single" w:sz="4" w:space="0" w:color="auto"/>
            </w:tcBorders>
            <w:shd w:val="clear" w:color="auto" w:fill="FFFF99"/>
            <w:vAlign w:val="center"/>
          </w:tcPr>
          <w:p w:rsidR="00B37580" w:rsidRPr="00B37580" w:rsidRDefault="00B37580" w:rsidP="00B37580">
            <w:pPr>
              <w:jc w:val="right"/>
              <w:rPr>
                <w:bCs/>
                <w:sz w:val="24"/>
                <w:szCs w:val="24"/>
              </w:rPr>
            </w:pPr>
            <w:r w:rsidRPr="00B37580">
              <w:rPr>
                <w:bCs/>
                <w:sz w:val="24"/>
                <w:szCs w:val="24"/>
              </w:rPr>
              <w:t> 0</w:t>
            </w:r>
          </w:p>
        </w:tc>
        <w:tc>
          <w:tcPr>
            <w:tcW w:w="1134" w:type="dxa"/>
            <w:tcBorders>
              <w:top w:val="nil"/>
              <w:left w:val="nil"/>
              <w:bottom w:val="single" w:sz="4" w:space="0" w:color="auto"/>
              <w:right w:val="single" w:sz="4" w:space="0" w:color="auto"/>
            </w:tcBorders>
            <w:shd w:val="clear" w:color="auto" w:fill="FFFF99"/>
            <w:vAlign w:val="center"/>
          </w:tcPr>
          <w:p w:rsidR="00B37580" w:rsidRPr="00B37580" w:rsidRDefault="00B37580" w:rsidP="00B37580">
            <w:pPr>
              <w:jc w:val="right"/>
              <w:rPr>
                <w:bCs/>
                <w:sz w:val="24"/>
                <w:szCs w:val="24"/>
              </w:rPr>
            </w:pPr>
            <w:r w:rsidRPr="00B37580">
              <w:rPr>
                <w:bCs/>
                <w:sz w:val="24"/>
                <w:szCs w:val="24"/>
              </w:rPr>
              <w:t> 0</w:t>
            </w:r>
          </w:p>
        </w:tc>
        <w:tc>
          <w:tcPr>
            <w:tcW w:w="1275" w:type="dxa"/>
            <w:tcBorders>
              <w:top w:val="nil"/>
              <w:left w:val="nil"/>
              <w:bottom w:val="single" w:sz="4" w:space="0" w:color="auto"/>
              <w:right w:val="single" w:sz="4" w:space="0" w:color="auto"/>
            </w:tcBorders>
            <w:noWrap/>
            <w:vAlign w:val="bottom"/>
          </w:tcPr>
          <w:p w:rsidR="00B37580" w:rsidRPr="00B37580" w:rsidRDefault="00B37580" w:rsidP="00B37580">
            <w:pPr>
              <w:rPr>
                <w:sz w:val="24"/>
                <w:szCs w:val="24"/>
              </w:rPr>
            </w:pPr>
            <w:r w:rsidRPr="00B37580">
              <w:rPr>
                <w:sz w:val="24"/>
                <w:szCs w:val="24"/>
              </w:rPr>
              <w:t> </w:t>
            </w:r>
          </w:p>
        </w:tc>
      </w:tr>
      <w:tr w:rsidR="00B37580" w:rsidRPr="00B37580" w:rsidTr="008046BF">
        <w:trPr>
          <w:trHeight w:val="255"/>
        </w:trPr>
        <w:tc>
          <w:tcPr>
            <w:tcW w:w="3614" w:type="dxa"/>
            <w:tcBorders>
              <w:top w:val="nil"/>
              <w:left w:val="single" w:sz="4" w:space="0" w:color="auto"/>
              <w:bottom w:val="single" w:sz="4" w:space="0" w:color="auto"/>
              <w:right w:val="single" w:sz="4" w:space="0" w:color="auto"/>
            </w:tcBorders>
          </w:tcPr>
          <w:p w:rsidR="00B37580" w:rsidRPr="00B37580" w:rsidRDefault="00B37580" w:rsidP="00B37580">
            <w:pPr>
              <w:rPr>
                <w:bCs/>
                <w:sz w:val="24"/>
                <w:szCs w:val="24"/>
              </w:rPr>
            </w:pPr>
            <w:r w:rsidRPr="00B37580">
              <w:rPr>
                <w:bCs/>
                <w:sz w:val="24"/>
                <w:szCs w:val="24"/>
              </w:rPr>
              <w:t>Prijaté úvery, pôžičky a návratné finančné výpomoci (500)</w:t>
            </w:r>
          </w:p>
        </w:tc>
        <w:tc>
          <w:tcPr>
            <w:tcW w:w="1134" w:type="dxa"/>
            <w:tcBorders>
              <w:top w:val="nil"/>
              <w:left w:val="nil"/>
              <w:bottom w:val="single" w:sz="4" w:space="0" w:color="auto"/>
              <w:right w:val="single" w:sz="4" w:space="0" w:color="auto"/>
            </w:tcBorders>
            <w:shd w:val="clear" w:color="auto" w:fill="FFFF99"/>
            <w:vAlign w:val="center"/>
          </w:tcPr>
          <w:p w:rsidR="00B37580" w:rsidRPr="00B37580" w:rsidRDefault="00B37580" w:rsidP="00B37580">
            <w:pPr>
              <w:jc w:val="right"/>
              <w:rPr>
                <w:bCs/>
                <w:sz w:val="24"/>
                <w:szCs w:val="24"/>
              </w:rPr>
            </w:pPr>
            <w:r w:rsidRPr="00B37580">
              <w:rPr>
                <w:bCs/>
                <w:sz w:val="24"/>
                <w:szCs w:val="24"/>
              </w:rPr>
              <w:t> 0</w:t>
            </w:r>
          </w:p>
        </w:tc>
        <w:tc>
          <w:tcPr>
            <w:tcW w:w="992" w:type="dxa"/>
            <w:tcBorders>
              <w:top w:val="nil"/>
              <w:left w:val="nil"/>
              <w:bottom w:val="single" w:sz="4" w:space="0" w:color="auto"/>
              <w:right w:val="single" w:sz="4" w:space="0" w:color="auto"/>
            </w:tcBorders>
            <w:shd w:val="clear" w:color="auto" w:fill="FFFF99"/>
            <w:vAlign w:val="center"/>
          </w:tcPr>
          <w:p w:rsidR="00B37580" w:rsidRPr="00B37580" w:rsidRDefault="00B37580" w:rsidP="00B37580">
            <w:pPr>
              <w:jc w:val="right"/>
              <w:rPr>
                <w:bCs/>
                <w:sz w:val="24"/>
                <w:szCs w:val="24"/>
              </w:rPr>
            </w:pPr>
            <w:r w:rsidRPr="00B37580">
              <w:rPr>
                <w:bCs/>
                <w:sz w:val="24"/>
                <w:szCs w:val="24"/>
              </w:rPr>
              <w:t>0 </w:t>
            </w:r>
          </w:p>
        </w:tc>
        <w:tc>
          <w:tcPr>
            <w:tcW w:w="993" w:type="dxa"/>
            <w:tcBorders>
              <w:top w:val="nil"/>
              <w:left w:val="nil"/>
              <w:bottom w:val="single" w:sz="4" w:space="0" w:color="auto"/>
              <w:right w:val="single" w:sz="4" w:space="0" w:color="auto"/>
            </w:tcBorders>
            <w:shd w:val="clear" w:color="auto" w:fill="FFFF99"/>
            <w:vAlign w:val="center"/>
          </w:tcPr>
          <w:p w:rsidR="00B37580" w:rsidRPr="00B37580" w:rsidRDefault="00B37580" w:rsidP="00B37580">
            <w:pPr>
              <w:jc w:val="right"/>
              <w:rPr>
                <w:bCs/>
                <w:sz w:val="24"/>
                <w:szCs w:val="24"/>
              </w:rPr>
            </w:pPr>
            <w:r w:rsidRPr="00B37580">
              <w:rPr>
                <w:bCs/>
                <w:sz w:val="24"/>
                <w:szCs w:val="24"/>
              </w:rPr>
              <w:t> 0</w:t>
            </w:r>
          </w:p>
        </w:tc>
        <w:tc>
          <w:tcPr>
            <w:tcW w:w="1134" w:type="dxa"/>
            <w:tcBorders>
              <w:top w:val="nil"/>
              <w:left w:val="nil"/>
              <w:bottom w:val="single" w:sz="4" w:space="0" w:color="auto"/>
              <w:right w:val="single" w:sz="4" w:space="0" w:color="auto"/>
            </w:tcBorders>
            <w:shd w:val="clear" w:color="auto" w:fill="FFFF99"/>
            <w:vAlign w:val="center"/>
          </w:tcPr>
          <w:p w:rsidR="00B37580" w:rsidRPr="00B37580" w:rsidRDefault="00B37580" w:rsidP="00B37580">
            <w:pPr>
              <w:jc w:val="right"/>
              <w:rPr>
                <w:bCs/>
                <w:sz w:val="24"/>
                <w:szCs w:val="24"/>
              </w:rPr>
            </w:pPr>
            <w:r w:rsidRPr="00B37580">
              <w:rPr>
                <w:bCs/>
                <w:sz w:val="24"/>
                <w:szCs w:val="24"/>
              </w:rPr>
              <w:t> 0</w:t>
            </w:r>
          </w:p>
        </w:tc>
        <w:tc>
          <w:tcPr>
            <w:tcW w:w="1275" w:type="dxa"/>
            <w:tcBorders>
              <w:top w:val="nil"/>
              <w:left w:val="nil"/>
              <w:bottom w:val="single" w:sz="4" w:space="0" w:color="auto"/>
              <w:right w:val="single" w:sz="4" w:space="0" w:color="auto"/>
            </w:tcBorders>
            <w:noWrap/>
            <w:vAlign w:val="bottom"/>
          </w:tcPr>
          <w:p w:rsidR="00B37580" w:rsidRPr="00B37580" w:rsidRDefault="00B37580" w:rsidP="00B37580">
            <w:pPr>
              <w:rPr>
                <w:sz w:val="24"/>
                <w:szCs w:val="24"/>
              </w:rPr>
            </w:pPr>
            <w:r w:rsidRPr="00B37580">
              <w:rPr>
                <w:sz w:val="24"/>
                <w:szCs w:val="24"/>
              </w:rPr>
              <w:t> </w:t>
            </w:r>
          </w:p>
        </w:tc>
      </w:tr>
      <w:tr w:rsidR="00B37580" w:rsidRPr="00B37580" w:rsidTr="008046BF">
        <w:trPr>
          <w:trHeight w:val="255"/>
        </w:trPr>
        <w:tc>
          <w:tcPr>
            <w:tcW w:w="3614" w:type="dxa"/>
            <w:tcBorders>
              <w:top w:val="nil"/>
              <w:left w:val="single" w:sz="4" w:space="0" w:color="auto"/>
              <w:bottom w:val="single" w:sz="4" w:space="0" w:color="auto"/>
              <w:right w:val="single" w:sz="4" w:space="0" w:color="auto"/>
            </w:tcBorders>
            <w:shd w:val="clear" w:color="auto" w:fill="BFBFBF" w:themeFill="background1" w:themeFillShade="BF"/>
          </w:tcPr>
          <w:p w:rsidR="00B37580" w:rsidRPr="00B37580" w:rsidRDefault="00B37580" w:rsidP="00B37580">
            <w:pPr>
              <w:rPr>
                <w:bCs/>
                <w:sz w:val="24"/>
                <w:szCs w:val="24"/>
              </w:rPr>
            </w:pPr>
            <w:r w:rsidRPr="00B37580">
              <w:rPr>
                <w:bCs/>
                <w:sz w:val="24"/>
                <w:szCs w:val="24"/>
              </w:rPr>
              <w:t>Dopad na príjmy verejnej správy celkom</w:t>
            </w:r>
          </w:p>
        </w:tc>
        <w:tc>
          <w:tcPr>
            <w:tcW w:w="1134" w:type="dxa"/>
            <w:tcBorders>
              <w:top w:val="nil"/>
              <w:left w:val="nil"/>
              <w:bottom w:val="single" w:sz="4" w:space="0" w:color="auto"/>
              <w:right w:val="single" w:sz="4" w:space="0" w:color="auto"/>
            </w:tcBorders>
            <w:shd w:val="clear" w:color="auto" w:fill="BFBFBF" w:themeFill="background1" w:themeFillShade="BF"/>
            <w:vAlign w:val="center"/>
          </w:tcPr>
          <w:p w:rsidR="00B37580" w:rsidRPr="00B37580" w:rsidRDefault="00B37580" w:rsidP="00B37580">
            <w:pPr>
              <w:jc w:val="right"/>
              <w:rPr>
                <w:bCs/>
                <w:sz w:val="24"/>
                <w:szCs w:val="24"/>
              </w:rPr>
            </w:pPr>
            <w:r w:rsidRPr="00B37580">
              <w:rPr>
                <w:bCs/>
                <w:sz w:val="24"/>
                <w:szCs w:val="24"/>
              </w:rPr>
              <w:t>0</w:t>
            </w:r>
          </w:p>
        </w:tc>
        <w:tc>
          <w:tcPr>
            <w:tcW w:w="992" w:type="dxa"/>
            <w:tcBorders>
              <w:top w:val="nil"/>
              <w:left w:val="nil"/>
              <w:bottom w:val="single" w:sz="4" w:space="0" w:color="auto"/>
              <w:right w:val="single" w:sz="4" w:space="0" w:color="auto"/>
            </w:tcBorders>
            <w:shd w:val="clear" w:color="auto" w:fill="BFBFBF" w:themeFill="background1" w:themeFillShade="BF"/>
            <w:vAlign w:val="center"/>
          </w:tcPr>
          <w:p w:rsidR="00B37580" w:rsidRPr="00B37580" w:rsidRDefault="00B37580" w:rsidP="00B37580">
            <w:pPr>
              <w:jc w:val="right"/>
              <w:rPr>
                <w:bCs/>
                <w:sz w:val="24"/>
                <w:szCs w:val="24"/>
              </w:rPr>
            </w:pPr>
            <w:r w:rsidRPr="00B37580">
              <w:rPr>
                <w:bCs/>
                <w:sz w:val="24"/>
                <w:szCs w:val="24"/>
              </w:rPr>
              <w:t>0</w:t>
            </w:r>
          </w:p>
        </w:tc>
        <w:tc>
          <w:tcPr>
            <w:tcW w:w="993" w:type="dxa"/>
            <w:tcBorders>
              <w:top w:val="nil"/>
              <w:left w:val="nil"/>
              <w:bottom w:val="single" w:sz="4" w:space="0" w:color="auto"/>
              <w:right w:val="single" w:sz="4" w:space="0" w:color="auto"/>
            </w:tcBorders>
            <w:shd w:val="clear" w:color="auto" w:fill="BFBFBF" w:themeFill="background1" w:themeFillShade="BF"/>
            <w:vAlign w:val="center"/>
          </w:tcPr>
          <w:p w:rsidR="00B37580" w:rsidRPr="00B37580" w:rsidRDefault="00B37580" w:rsidP="00B37580">
            <w:pPr>
              <w:jc w:val="right"/>
              <w:rPr>
                <w:bCs/>
                <w:sz w:val="24"/>
                <w:szCs w:val="24"/>
              </w:rPr>
            </w:pPr>
            <w:r w:rsidRPr="00B37580">
              <w:rPr>
                <w:bCs/>
                <w:sz w:val="24"/>
                <w:szCs w:val="24"/>
              </w:rPr>
              <w:t>0</w:t>
            </w:r>
          </w:p>
        </w:tc>
        <w:tc>
          <w:tcPr>
            <w:tcW w:w="1134" w:type="dxa"/>
            <w:tcBorders>
              <w:top w:val="nil"/>
              <w:left w:val="nil"/>
              <w:bottom w:val="single" w:sz="4" w:space="0" w:color="auto"/>
              <w:right w:val="single" w:sz="4" w:space="0" w:color="auto"/>
            </w:tcBorders>
            <w:shd w:val="clear" w:color="auto" w:fill="BFBFBF" w:themeFill="background1" w:themeFillShade="BF"/>
            <w:vAlign w:val="center"/>
          </w:tcPr>
          <w:p w:rsidR="00B37580" w:rsidRPr="00B37580" w:rsidRDefault="00B37580" w:rsidP="00B37580">
            <w:pPr>
              <w:jc w:val="right"/>
              <w:rPr>
                <w:bCs/>
                <w:sz w:val="24"/>
                <w:szCs w:val="24"/>
              </w:rPr>
            </w:pPr>
            <w:r w:rsidRPr="00B37580">
              <w:rPr>
                <w:bCs/>
                <w:sz w:val="24"/>
                <w:szCs w:val="24"/>
              </w:rPr>
              <w:t>0</w:t>
            </w:r>
          </w:p>
        </w:tc>
        <w:tc>
          <w:tcPr>
            <w:tcW w:w="1275" w:type="dxa"/>
            <w:tcBorders>
              <w:top w:val="nil"/>
              <w:left w:val="nil"/>
              <w:bottom w:val="single" w:sz="4" w:space="0" w:color="auto"/>
              <w:right w:val="single" w:sz="4" w:space="0" w:color="auto"/>
            </w:tcBorders>
            <w:shd w:val="clear" w:color="auto" w:fill="BFBFBF" w:themeFill="background1" w:themeFillShade="BF"/>
            <w:noWrap/>
            <w:vAlign w:val="bottom"/>
          </w:tcPr>
          <w:p w:rsidR="00B37580" w:rsidRPr="00B37580" w:rsidRDefault="00B37580" w:rsidP="00B37580">
            <w:pPr>
              <w:rPr>
                <w:sz w:val="24"/>
                <w:szCs w:val="24"/>
              </w:rPr>
            </w:pPr>
            <w:r w:rsidRPr="00B37580">
              <w:rPr>
                <w:sz w:val="24"/>
                <w:szCs w:val="24"/>
              </w:rPr>
              <w:t> </w:t>
            </w:r>
          </w:p>
        </w:tc>
      </w:tr>
    </w:tbl>
    <w:p w:rsidR="00B37580" w:rsidRPr="00B37580" w:rsidRDefault="00B37580" w:rsidP="00B37580">
      <w:pPr>
        <w:jc w:val="both"/>
        <w:rPr>
          <w:sz w:val="24"/>
          <w:szCs w:val="24"/>
        </w:rPr>
      </w:pPr>
    </w:p>
    <w:p w:rsidR="00B37580" w:rsidRPr="00B37580" w:rsidRDefault="00B37580" w:rsidP="00B37580">
      <w:pPr>
        <w:rPr>
          <w:rFonts w:cs="Verdana"/>
          <w:b/>
          <w:bCs/>
          <w:iCs/>
          <w:sz w:val="24"/>
          <w:szCs w:val="24"/>
          <w:lang w:eastAsia="en-US"/>
        </w:rPr>
      </w:pPr>
    </w:p>
    <w:p w:rsidR="00B37580" w:rsidRPr="00B37580" w:rsidRDefault="00B37580" w:rsidP="00B37580">
      <w:pPr>
        <w:rPr>
          <w:rFonts w:cs="Verdana"/>
          <w:b/>
          <w:bCs/>
          <w:iCs/>
          <w:sz w:val="24"/>
          <w:szCs w:val="24"/>
          <w:lang w:eastAsia="en-US"/>
        </w:rPr>
      </w:pPr>
      <w:r w:rsidRPr="00B37580">
        <w:rPr>
          <w:rFonts w:cs="Verdana"/>
          <w:b/>
          <w:bCs/>
          <w:iCs/>
          <w:sz w:val="24"/>
          <w:szCs w:val="24"/>
          <w:lang w:eastAsia="en-US"/>
        </w:rPr>
        <w:t>2.2.4.2 Kvantifikácia výdavkov</w:t>
      </w:r>
    </w:p>
    <w:p w:rsidR="00B37580" w:rsidRPr="00B37580" w:rsidRDefault="00B37580" w:rsidP="00B37580">
      <w:pPr>
        <w:jc w:val="both"/>
        <w:rPr>
          <w:sz w:val="24"/>
          <w:szCs w:val="24"/>
        </w:rPr>
      </w:pPr>
      <w:r w:rsidRPr="00B37580">
        <w:rPr>
          <w:sz w:val="24"/>
          <w:szCs w:val="24"/>
        </w:rPr>
        <w:t xml:space="preserve">    </w:t>
      </w:r>
    </w:p>
    <w:p w:rsidR="00B37580" w:rsidRPr="00B37580" w:rsidRDefault="00B37580" w:rsidP="00B37580">
      <w:pPr>
        <w:jc w:val="both"/>
        <w:rPr>
          <w:sz w:val="24"/>
          <w:szCs w:val="24"/>
          <w:lang w:eastAsia="en-US"/>
        </w:rPr>
      </w:pPr>
      <w:r w:rsidRPr="00B37580">
        <w:rPr>
          <w:sz w:val="24"/>
          <w:szCs w:val="24"/>
          <w:lang w:eastAsia="en-US"/>
        </w:rPr>
        <w:t xml:space="preserve">Pri kvantifikácii návrhu zákona, ktorou je </w:t>
      </w:r>
      <w:r w:rsidRPr="00B37580">
        <w:rPr>
          <w:sz w:val="24"/>
          <w:szCs w:val="24"/>
        </w:rPr>
        <w:t xml:space="preserve">zvýšenie dôchodkových dávok výsluhového zabezpečenia pre stanovený okruh poberateľov, </w:t>
      </w:r>
      <w:r w:rsidRPr="00B37580">
        <w:rPr>
          <w:sz w:val="24"/>
          <w:szCs w:val="24"/>
          <w:lang w:eastAsia="en-US"/>
        </w:rPr>
        <w:t xml:space="preserve">sa ako základné parametre použili ročné náklady na výplatu </w:t>
      </w:r>
      <w:r w:rsidRPr="00B37580">
        <w:rPr>
          <w:sz w:val="24"/>
          <w:szCs w:val="24"/>
        </w:rPr>
        <w:t>dôchodkových</w:t>
      </w:r>
      <w:r w:rsidRPr="00B37580">
        <w:rPr>
          <w:sz w:val="24"/>
          <w:szCs w:val="24"/>
          <w:lang w:eastAsia="en-US"/>
        </w:rPr>
        <w:t xml:space="preserve"> dávok výsluhového zabezpečenia, dôchodcovská inflácia v jednotlivých rokoch 2019 až 2022 zverejnená v Makroekonomickej prognóze Inštitútom finančnej politiky - 46. zasadnutie výboru pre makroekonomické prognózy (september 2018), počet poberateľov </w:t>
      </w:r>
      <w:r w:rsidRPr="00B37580">
        <w:rPr>
          <w:sz w:val="24"/>
          <w:szCs w:val="24"/>
        </w:rPr>
        <w:t>dôchodkových</w:t>
      </w:r>
      <w:r w:rsidRPr="00B37580">
        <w:rPr>
          <w:sz w:val="24"/>
          <w:szCs w:val="24"/>
          <w:lang w:eastAsia="en-US"/>
        </w:rPr>
        <w:t xml:space="preserve"> dávok výsluhového zabezpečenia, ktorých sa predmetné zvýšenie týka, a to poberateľov výsluhového dôchodku, invalidného výsluhového dôchodku, vdovského výsluhového dôchodku, vdoveckého výsluhového dôchodku a sirotského výsluhového dôchodku v rámci útvarov sociálneho zabezpečenia a Vojenského úradu sociálneho zabezpečenia, priemerná suma starobného dôchodku vykázaná Sociálnou poisťovňou ku dňu 30.06.2018. </w:t>
      </w:r>
    </w:p>
    <w:p w:rsidR="00B37580" w:rsidRPr="00B37580" w:rsidRDefault="00B37580" w:rsidP="00B37580">
      <w:pPr>
        <w:jc w:val="both"/>
        <w:rPr>
          <w:sz w:val="24"/>
          <w:szCs w:val="24"/>
          <w:lang w:eastAsia="en-US"/>
        </w:rPr>
      </w:pPr>
    </w:p>
    <w:p w:rsidR="00B37580" w:rsidRPr="00B37580" w:rsidRDefault="00B37580" w:rsidP="00B37580">
      <w:pPr>
        <w:jc w:val="both"/>
        <w:rPr>
          <w:sz w:val="24"/>
          <w:szCs w:val="24"/>
          <w:lang w:eastAsia="en-US"/>
        </w:rPr>
      </w:pPr>
      <w:r w:rsidRPr="00B37580">
        <w:rPr>
          <w:color w:val="FF0000"/>
          <w:sz w:val="24"/>
          <w:szCs w:val="24"/>
          <w:lang w:eastAsia="en-US"/>
        </w:rPr>
        <w:lastRenderedPageBreak/>
        <w:tab/>
      </w:r>
      <w:r w:rsidRPr="00B37580">
        <w:rPr>
          <w:sz w:val="24"/>
          <w:szCs w:val="24"/>
          <w:lang w:eastAsia="en-US"/>
        </w:rPr>
        <w:t>Počet dotknutých osôb, ktorých sa predmetné zvýšenie týka sa odhaduje v rokoch 2019 až 2022 na úrovni cca 46.500 osôb.</w:t>
      </w:r>
    </w:p>
    <w:p w:rsidR="00B37580" w:rsidRPr="00B37580" w:rsidRDefault="00B37580" w:rsidP="00B37580">
      <w:pPr>
        <w:jc w:val="both"/>
        <w:rPr>
          <w:color w:val="FF0000"/>
          <w:sz w:val="24"/>
          <w:szCs w:val="24"/>
          <w:lang w:eastAsia="en-US"/>
        </w:rPr>
      </w:pPr>
    </w:p>
    <w:p w:rsidR="00B37580" w:rsidRPr="00B37580" w:rsidRDefault="00B37580" w:rsidP="00B37580">
      <w:pPr>
        <w:jc w:val="both"/>
        <w:rPr>
          <w:sz w:val="24"/>
          <w:szCs w:val="24"/>
          <w:lang w:eastAsia="en-US"/>
        </w:rPr>
      </w:pPr>
      <w:r w:rsidRPr="00B37580">
        <w:rPr>
          <w:color w:val="FF0000"/>
          <w:sz w:val="24"/>
          <w:szCs w:val="24"/>
          <w:lang w:eastAsia="en-US"/>
        </w:rPr>
        <w:tab/>
      </w:r>
      <w:r w:rsidRPr="00B37580">
        <w:rPr>
          <w:sz w:val="24"/>
          <w:szCs w:val="24"/>
          <w:lang w:eastAsia="en-US"/>
        </w:rPr>
        <w:t>Predpokladá sa, že celkové výdavky na rozpočet osobitných účtov vplyvom stanoveného nového modelu zvýšenia dôchodkových dávok výsluhového zabezpečenia budú v porovnaní so súčasným právnym stavom v roku 2019 nižšie o cca 1.153.606 eur, v roku 2020 o cca 1.905.623 eur, v roku 2021 o cca 1.472.653 eur a v roku 2022 o cca 1.436.582 eur.</w:t>
      </w:r>
    </w:p>
    <w:p w:rsidR="00B37580" w:rsidRPr="00B37580" w:rsidRDefault="00B37580" w:rsidP="00B37580">
      <w:pPr>
        <w:jc w:val="both"/>
        <w:rPr>
          <w:sz w:val="24"/>
          <w:szCs w:val="24"/>
          <w:lang w:eastAsia="en-US"/>
        </w:rPr>
      </w:pPr>
    </w:p>
    <w:p w:rsidR="00B37580" w:rsidRPr="00B37580" w:rsidRDefault="00B37580" w:rsidP="00B37580">
      <w:pPr>
        <w:jc w:val="right"/>
        <w:rPr>
          <w:lang w:eastAsia="en-US"/>
        </w:rPr>
      </w:pPr>
      <w:r w:rsidRPr="00B37580">
        <w:t>Tabuľka č. 4</w:t>
      </w:r>
    </w:p>
    <w:tbl>
      <w:tblPr>
        <w:tblpPr w:leftFromText="141" w:rightFromText="141" w:vertAnchor="text" w:horzAnchor="page" w:tblpX="1335" w:tblpY="2"/>
        <w:tblW w:w="9284" w:type="dxa"/>
        <w:tblCellMar>
          <w:left w:w="70" w:type="dxa"/>
          <w:right w:w="70" w:type="dxa"/>
        </w:tblCellMar>
        <w:tblLook w:val="0000" w:firstRow="0" w:lastRow="0" w:firstColumn="0" w:lastColumn="0" w:noHBand="0" w:noVBand="0"/>
      </w:tblPr>
      <w:tblGrid>
        <w:gridCol w:w="3961"/>
        <w:gridCol w:w="1093"/>
        <w:gridCol w:w="1092"/>
        <w:gridCol w:w="870"/>
        <w:gridCol w:w="870"/>
        <w:gridCol w:w="10"/>
        <w:gridCol w:w="1388"/>
      </w:tblGrid>
      <w:tr w:rsidR="00B37580" w:rsidRPr="00B37580" w:rsidTr="008046BF">
        <w:trPr>
          <w:cantSplit/>
          <w:trHeight w:val="255"/>
        </w:trPr>
        <w:tc>
          <w:tcPr>
            <w:tcW w:w="3961"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B37580" w:rsidRPr="00B37580" w:rsidRDefault="00B37580" w:rsidP="00B37580">
            <w:pPr>
              <w:jc w:val="center"/>
              <w:rPr>
                <w:b/>
                <w:bCs/>
              </w:rPr>
            </w:pPr>
            <w:r w:rsidRPr="00B37580">
              <w:rPr>
                <w:b/>
                <w:bCs/>
              </w:rPr>
              <w:t>Výdavky útvarov sociálneho zabezpečenia a Vojenského úradu sociálneho zabezpečenia                  (v eurách)</w:t>
            </w:r>
          </w:p>
        </w:tc>
        <w:tc>
          <w:tcPr>
            <w:tcW w:w="3935"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B37580" w:rsidRPr="00B37580" w:rsidRDefault="00B37580" w:rsidP="00B37580">
            <w:pPr>
              <w:jc w:val="center"/>
              <w:rPr>
                <w:b/>
                <w:bCs/>
              </w:rPr>
            </w:pPr>
            <w:r w:rsidRPr="00B37580">
              <w:rPr>
                <w:b/>
                <w:bCs/>
              </w:rPr>
              <w:t>Vplyv na rozpočet verejnej správy (</w:t>
            </w:r>
            <w:proofErr w:type="spellStart"/>
            <w:r w:rsidRPr="00B37580">
              <w:rPr>
                <w:b/>
                <w:bCs/>
              </w:rPr>
              <w:t>cash</w:t>
            </w:r>
            <w:proofErr w:type="spellEnd"/>
            <w:r w:rsidRPr="00B37580">
              <w:rPr>
                <w:b/>
                <w:bCs/>
              </w:rPr>
              <w:t>= ESA2010)</w:t>
            </w:r>
          </w:p>
        </w:tc>
        <w:tc>
          <w:tcPr>
            <w:tcW w:w="13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37580" w:rsidRPr="00B37580" w:rsidRDefault="00B37580" w:rsidP="00B37580">
            <w:pPr>
              <w:jc w:val="center"/>
              <w:rPr>
                <w:bCs/>
                <w:sz w:val="24"/>
                <w:szCs w:val="24"/>
              </w:rPr>
            </w:pPr>
            <w:r w:rsidRPr="00B37580">
              <w:rPr>
                <w:bCs/>
                <w:sz w:val="24"/>
                <w:szCs w:val="24"/>
              </w:rPr>
              <w:t>poznámka</w:t>
            </w:r>
          </w:p>
        </w:tc>
      </w:tr>
      <w:tr w:rsidR="00B37580" w:rsidRPr="00B37580" w:rsidTr="008046BF">
        <w:trPr>
          <w:cantSplit/>
          <w:trHeight w:val="255"/>
        </w:trPr>
        <w:tc>
          <w:tcPr>
            <w:tcW w:w="3961" w:type="dxa"/>
            <w:vMerge/>
            <w:tcBorders>
              <w:top w:val="single" w:sz="4" w:space="0" w:color="auto"/>
              <w:left w:val="single" w:sz="4" w:space="0" w:color="auto"/>
              <w:bottom w:val="single" w:sz="4" w:space="0" w:color="000000"/>
              <w:right w:val="single" w:sz="4" w:space="0" w:color="auto"/>
            </w:tcBorders>
            <w:vAlign w:val="center"/>
          </w:tcPr>
          <w:p w:rsidR="00B37580" w:rsidRPr="00B37580" w:rsidRDefault="00B37580" w:rsidP="00B37580">
            <w:pPr>
              <w:rPr>
                <w:b/>
                <w:bCs/>
                <w:color w:val="FFFFFF"/>
              </w:rPr>
            </w:pPr>
          </w:p>
        </w:tc>
        <w:tc>
          <w:tcPr>
            <w:tcW w:w="1093" w:type="dxa"/>
            <w:tcBorders>
              <w:top w:val="nil"/>
              <w:left w:val="nil"/>
              <w:bottom w:val="single" w:sz="4" w:space="0" w:color="auto"/>
              <w:right w:val="single" w:sz="4" w:space="0" w:color="auto"/>
            </w:tcBorders>
            <w:shd w:val="clear" w:color="auto" w:fill="BFBFBF" w:themeFill="background1" w:themeFillShade="BF"/>
            <w:vAlign w:val="center"/>
          </w:tcPr>
          <w:p w:rsidR="00B37580" w:rsidRPr="00B37580" w:rsidRDefault="00B37580" w:rsidP="00B37580">
            <w:pPr>
              <w:jc w:val="center"/>
              <w:rPr>
                <w:rFonts w:ascii="Arial Narrow" w:hAnsi="Arial Narrow"/>
                <w:b/>
                <w:bCs/>
                <w:color w:val="000000"/>
              </w:rPr>
            </w:pPr>
            <w:r w:rsidRPr="00B37580">
              <w:rPr>
                <w:rFonts w:ascii="Arial Narrow" w:hAnsi="Arial Narrow"/>
                <w:b/>
                <w:bCs/>
                <w:color w:val="000000"/>
              </w:rPr>
              <w:t>2019</w:t>
            </w:r>
          </w:p>
        </w:tc>
        <w:tc>
          <w:tcPr>
            <w:tcW w:w="1092" w:type="dxa"/>
            <w:tcBorders>
              <w:top w:val="nil"/>
              <w:left w:val="nil"/>
              <w:bottom w:val="single" w:sz="4" w:space="0" w:color="auto"/>
              <w:right w:val="single" w:sz="4" w:space="0" w:color="auto"/>
            </w:tcBorders>
            <w:shd w:val="clear" w:color="auto" w:fill="BFBFBF" w:themeFill="background1" w:themeFillShade="BF"/>
            <w:vAlign w:val="center"/>
          </w:tcPr>
          <w:p w:rsidR="00B37580" w:rsidRPr="00B37580" w:rsidRDefault="00B37580" w:rsidP="00B37580">
            <w:pPr>
              <w:jc w:val="center"/>
              <w:rPr>
                <w:rFonts w:ascii="Arial Narrow" w:hAnsi="Arial Narrow"/>
                <w:b/>
                <w:bCs/>
                <w:color w:val="000000"/>
              </w:rPr>
            </w:pPr>
            <w:r w:rsidRPr="00B37580">
              <w:rPr>
                <w:rFonts w:ascii="Arial Narrow" w:hAnsi="Arial Narrow"/>
                <w:b/>
                <w:bCs/>
                <w:color w:val="000000"/>
              </w:rPr>
              <w:t>2020</w:t>
            </w:r>
          </w:p>
        </w:tc>
        <w:tc>
          <w:tcPr>
            <w:tcW w:w="870" w:type="dxa"/>
            <w:tcBorders>
              <w:top w:val="nil"/>
              <w:left w:val="nil"/>
              <w:bottom w:val="single" w:sz="4" w:space="0" w:color="auto"/>
              <w:right w:val="single" w:sz="4" w:space="0" w:color="auto"/>
            </w:tcBorders>
            <w:shd w:val="clear" w:color="auto" w:fill="BFBFBF" w:themeFill="background1" w:themeFillShade="BF"/>
            <w:vAlign w:val="center"/>
          </w:tcPr>
          <w:p w:rsidR="00B37580" w:rsidRPr="00B37580" w:rsidRDefault="00B37580" w:rsidP="00B37580">
            <w:pPr>
              <w:jc w:val="center"/>
              <w:rPr>
                <w:rFonts w:ascii="Arial Narrow" w:hAnsi="Arial Narrow"/>
                <w:b/>
                <w:bCs/>
                <w:color w:val="000000"/>
              </w:rPr>
            </w:pPr>
            <w:r w:rsidRPr="00B37580">
              <w:rPr>
                <w:rFonts w:ascii="Arial Narrow" w:hAnsi="Arial Narrow"/>
                <w:b/>
                <w:bCs/>
                <w:color w:val="000000"/>
              </w:rPr>
              <w:t>2021</w:t>
            </w:r>
          </w:p>
        </w:tc>
        <w:tc>
          <w:tcPr>
            <w:tcW w:w="870" w:type="dxa"/>
            <w:tcBorders>
              <w:top w:val="nil"/>
              <w:left w:val="nil"/>
              <w:bottom w:val="single" w:sz="4" w:space="0" w:color="auto"/>
              <w:right w:val="single" w:sz="4" w:space="0" w:color="auto"/>
            </w:tcBorders>
            <w:shd w:val="clear" w:color="auto" w:fill="BFBFBF" w:themeFill="background1" w:themeFillShade="BF"/>
            <w:vAlign w:val="center"/>
          </w:tcPr>
          <w:p w:rsidR="00B37580" w:rsidRPr="00B37580" w:rsidRDefault="00B37580" w:rsidP="00B37580">
            <w:pPr>
              <w:jc w:val="center"/>
              <w:rPr>
                <w:rFonts w:ascii="Arial Narrow" w:hAnsi="Arial Narrow"/>
                <w:b/>
                <w:bCs/>
                <w:color w:val="000000"/>
              </w:rPr>
            </w:pPr>
            <w:r w:rsidRPr="00B37580">
              <w:rPr>
                <w:rFonts w:ascii="Arial Narrow" w:hAnsi="Arial Narrow"/>
                <w:b/>
                <w:bCs/>
                <w:color w:val="000000"/>
              </w:rPr>
              <w:t>2022</w:t>
            </w:r>
          </w:p>
        </w:tc>
        <w:tc>
          <w:tcPr>
            <w:tcW w:w="1398" w:type="dxa"/>
            <w:gridSpan w:val="2"/>
            <w:tcBorders>
              <w:top w:val="single" w:sz="4" w:space="0" w:color="auto"/>
              <w:left w:val="single" w:sz="4" w:space="0" w:color="auto"/>
              <w:bottom w:val="single" w:sz="4" w:space="0" w:color="auto"/>
              <w:right w:val="single" w:sz="4" w:space="0" w:color="auto"/>
            </w:tcBorders>
            <w:vAlign w:val="center"/>
          </w:tcPr>
          <w:p w:rsidR="00B37580" w:rsidRPr="00B37580" w:rsidRDefault="00B37580" w:rsidP="00B37580">
            <w:pPr>
              <w:rPr>
                <w:b/>
                <w:bCs/>
                <w:color w:val="FFFFFF"/>
                <w:sz w:val="24"/>
                <w:szCs w:val="24"/>
              </w:rPr>
            </w:pPr>
          </w:p>
        </w:tc>
      </w:tr>
      <w:tr w:rsidR="00B37580" w:rsidRPr="00B37580" w:rsidTr="008046BF">
        <w:trPr>
          <w:trHeight w:val="255"/>
        </w:trPr>
        <w:tc>
          <w:tcPr>
            <w:tcW w:w="3961" w:type="dxa"/>
            <w:tcBorders>
              <w:top w:val="nil"/>
              <w:left w:val="single" w:sz="4" w:space="0" w:color="auto"/>
              <w:bottom w:val="single" w:sz="4" w:space="0" w:color="auto"/>
              <w:right w:val="single" w:sz="4" w:space="0" w:color="auto"/>
            </w:tcBorders>
          </w:tcPr>
          <w:p w:rsidR="00B37580" w:rsidRPr="00B37580" w:rsidRDefault="00B37580" w:rsidP="00B37580">
            <w:pPr>
              <w:rPr>
                <w:b/>
                <w:bCs/>
              </w:rPr>
            </w:pPr>
            <w:r w:rsidRPr="00B37580">
              <w:rPr>
                <w:b/>
                <w:bCs/>
              </w:rPr>
              <w:t>Bežné výdavky (600)</w:t>
            </w:r>
          </w:p>
        </w:tc>
        <w:tc>
          <w:tcPr>
            <w:tcW w:w="1093" w:type="dxa"/>
            <w:tcBorders>
              <w:top w:val="nil"/>
              <w:left w:val="nil"/>
              <w:bottom w:val="single" w:sz="4" w:space="0" w:color="auto"/>
              <w:right w:val="single" w:sz="4" w:space="0" w:color="auto"/>
            </w:tcBorders>
            <w:vAlign w:val="bottom"/>
          </w:tcPr>
          <w:p w:rsidR="00B37580" w:rsidRPr="00B37580" w:rsidRDefault="00B37580" w:rsidP="00B37580">
            <w:pPr>
              <w:jc w:val="right"/>
              <w:rPr>
                <w:rFonts w:ascii="Arial Narrow" w:hAnsi="Arial Narrow" w:cs="Calibri"/>
                <w:b/>
                <w:lang w:eastAsia="en-US"/>
              </w:rPr>
            </w:pPr>
            <w:r w:rsidRPr="00B37580">
              <w:rPr>
                <w:rFonts w:ascii="Arial Narrow" w:hAnsi="Arial Narrow" w:cs="Calibri"/>
                <w:b/>
                <w:lang w:eastAsia="en-US"/>
              </w:rPr>
              <w:t xml:space="preserve">-1.153.606 </w:t>
            </w:r>
          </w:p>
        </w:tc>
        <w:tc>
          <w:tcPr>
            <w:tcW w:w="1092" w:type="dxa"/>
            <w:tcBorders>
              <w:top w:val="nil"/>
              <w:left w:val="nil"/>
              <w:bottom w:val="single" w:sz="4" w:space="0" w:color="auto"/>
              <w:right w:val="single" w:sz="4" w:space="0" w:color="auto"/>
            </w:tcBorders>
            <w:vAlign w:val="bottom"/>
          </w:tcPr>
          <w:p w:rsidR="00B37580" w:rsidRPr="00B37580" w:rsidRDefault="00B37580" w:rsidP="00B37580">
            <w:pPr>
              <w:jc w:val="right"/>
              <w:rPr>
                <w:rFonts w:ascii="Arial Narrow" w:hAnsi="Arial Narrow" w:cs="Calibri"/>
                <w:b/>
                <w:bCs/>
                <w:lang w:eastAsia="en-US"/>
              </w:rPr>
            </w:pPr>
            <w:r w:rsidRPr="00B37580">
              <w:rPr>
                <w:rFonts w:ascii="Arial Narrow" w:hAnsi="Arial Narrow" w:cs="Calibri"/>
                <w:b/>
                <w:bCs/>
                <w:lang w:eastAsia="en-US"/>
              </w:rPr>
              <w:t xml:space="preserve">-1.905.623 </w:t>
            </w:r>
          </w:p>
        </w:tc>
        <w:tc>
          <w:tcPr>
            <w:tcW w:w="870" w:type="dxa"/>
            <w:tcBorders>
              <w:top w:val="nil"/>
              <w:left w:val="nil"/>
              <w:bottom w:val="single" w:sz="4" w:space="0" w:color="auto"/>
              <w:right w:val="single" w:sz="4" w:space="0" w:color="auto"/>
            </w:tcBorders>
            <w:vAlign w:val="bottom"/>
          </w:tcPr>
          <w:p w:rsidR="00B37580" w:rsidRPr="00B37580" w:rsidRDefault="00B37580" w:rsidP="00B37580">
            <w:pPr>
              <w:rPr>
                <w:rFonts w:ascii="Arial Narrow" w:hAnsi="Arial Narrow" w:cs="Calibri"/>
                <w:b/>
                <w:bCs/>
                <w:lang w:eastAsia="en-US"/>
              </w:rPr>
            </w:pPr>
            <w:r w:rsidRPr="00B37580">
              <w:rPr>
                <w:rFonts w:ascii="Arial Narrow" w:hAnsi="Arial Narrow" w:cs="Calibri"/>
                <w:b/>
                <w:bCs/>
                <w:lang w:eastAsia="en-US"/>
              </w:rPr>
              <w:t xml:space="preserve">- 1.472.653 </w:t>
            </w:r>
          </w:p>
        </w:tc>
        <w:tc>
          <w:tcPr>
            <w:tcW w:w="870" w:type="dxa"/>
            <w:tcBorders>
              <w:top w:val="nil"/>
              <w:left w:val="nil"/>
              <w:bottom w:val="single" w:sz="4" w:space="0" w:color="auto"/>
              <w:right w:val="single" w:sz="4" w:space="0" w:color="auto"/>
            </w:tcBorders>
            <w:vAlign w:val="bottom"/>
          </w:tcPr>
          <w:p w:rsidR="00B37580" w:rsidRPr="00B37580" w:rsidRDefault="00B37580" w:rsidP="00B37580">
            <w:pPr>
              <w:rPr>
                <w:rFonts w:ascii="Arial Narrow" w:hAnsi="Arial Narrow" w:cs="Calibri"/>
                <w:b/>
                <w:bCs/>
                <w:lang w:eastAsia="en-US"/>
              </w:rPr>
            </w:pPr>
            <w:r w:rsidRPr="00B37580">
              <w:rPr>
                <w:rFonts w:ascii="Arial Narrow" w:hAnsi="Arial Narrow" w:cs="Calibri"/>
                <w:b/>
                <w:bCs/>
                <w:lang w:eastAsia="en-US"/>
              </w:rPr>
              <w:t xml:space="preserve">- 1.436.582 </w:t>
            </w:r>
          </w:p>
        </w:tc>
        <w:tc>
          <w:tcPr>
            <w:tcW w:w="1398" w:type="dxa"/>
            <w:gridSpan w:val="2"/>
            <w:tcBorders>
              <w:top w:val="nil"/>
              <w:left w:val="nil"/>
              <w:bottom w:val="single" w:sz="4" w:space="0" w:color="auto"/>
              <w:right w:val="single" w:sz="4" w:space="0" w:color="auto"/>
            </w:tcBorders>
            <w:noWrap/>
            <w:vAlign w:val="bottom"/>
          </w:tcPr>
          <w:p w:rsidR="00B37580" w:rsidRPr="00B37580" w:rsidRDefault="00B37580" w:rsidP="00B37580">
            <w:pPr>
              <w:rPr>
                <w:sz w:val="24"/>
                <w:szCs w:val="24"/>
              </w:rPr>
            </w:pPr>
            <w:r w:rsidRPr="00B37580">
              <w:rPr>
                <w:sz w:val="24"/>
                <w:szCs w:val="24"/>
              </w:rPr>
              <w:t> </w:t>
            </w:r>
          </w:p>
        </w:tc>
      </w:tr>
      <w:tr w:rsidR="00B37580" w:rsidRPr="00B37580" w:rsidTr="008046BF">
        <w:trPr>
          <w:trHeight w:val="255"/>
        </w:trPr>
        <w:tc>
          <w:tcPr>
            <w:tcW w:w="3961" w:type="dxa"/>
            <w:tcBorders>
              <w:top w:val="nil"/>
              <w:left w:val="single" w:sz="4" w:space="0" w:color="auto"/>
              <w:bottom w:val="single" w:sz="4" w:space="0" w:color="auto"/>
              <w:right w:val="single" w:sz="4" w:space="0" w:color="auto"/>
            </w:tcBorders>
          </w:tcPr>
          <w:p w:rsidR="00B37580" w:rsidRPr="00B37580" w:rsidRDefault="00B37580" w:rsidP="00B37580">
            <w:r w:rsidRPr="00B37580">
              <w:t xml:space="preserve">  Mzdy, platy, služobné príjmy a ostatné osobné vyrovnania (610)</w:t>
            </w:r>
          </w:p>
        </w:tc>
        <w:tc>
          <w:tcPr>
            <w:tcW w:w="1093" w:type="dxa"/>
            <w:tcBorders>
              <w:top w:val="nil"/>
              <w:left w:val="nil"/>
              <w:bottom w:val="single" w:sz="4" w:space="0" w:color="auto"/>
              <w:right w:val="single" w:sz="4" w:space="0" w:color="auto"/>
            </w:tcBorders>
            <w:vAlign w:val="center"/>
          </w:tcPr>
          <w:p w:rsidR="00B37580" w:rsidRPr="00B37580" w:rsidRDefault="00B37580" w:rsidP="00B37580">
            <w:pPr>
              <w:jc w:val="right"/>
              <w:rPr>
                <w:rFonts w:ascii="Arial Narrow" w:hAnsi="Arial Narrow"/>
              </w:rPr>
            </w:pPr>
            <w:r w:rsidRPr="00B37580">
              <w:rPr>
                <w:rFonts w:ascii="Arial Narrow" w:hAnsi="Arial Narrow"/>
              </w:rPr>
              <w:t>0</w:t>
            </w:r>
          </w:p>
        </w:tc>
        <w:tc>
          <w:tcPr>
            <w:tcW w:w="1092" w:type="dxa"/>
            <w:tcBorders>
              <w:top w:val="nil"/>
              <w:left w:val="nil"/>
              <w:bottom w:val="single" w:sz="4" w:space="0" w:color="auto"/>
              <w:right w:val="single" w:sz="4" w:space="0" w:color="auto"/>
            </w:tcBorders>
            <w:vAlign w:val="center"/>
          </w:tcPr>
          <w:p w:rsidR="00B37580" w:rsidRPr="00B37580" w:rsidRDefault="00B37580" w:rsidP="00B37580">
            <w:pPr>
              <w:jc w:val="right"/>
              <w:rPr>
                <w:rFonts w:ascii="Arial Narrow" w:hAnsi="Arial Narrow"/>
              </w:rPr>
            </w:pPr>
            <w:r w:rsidRPr="00B37580">
              <w:rPr>
                <w:rFonts w:ascii="Arial Narrow" w:hAnsi="Arial Narrow"/>
              </w:rPr>
              <w:t>0</w:t>
            </w:r>
          </w:p>
        </w:tc>
        <w:tc>
          <w:tcPr>
            <w:tcW w:w="870" w:type="dxa"/>
            <w:tcBorders>
              <w:top w:val="nil"/>
              <w:left w:val="nil"/>
              <w:bottom w:val="single" w:sz="4" w:space="0" w:color="auto"/>
              <w:right w:val="single" w:sz="4" w:space="0" w:color="auto"/>
            </w:tcBorders>
            <w:vAlign w:val="center"/>
          </w:tcPr>
          <w:p w:rsidR="00B37580" w:rsidRPr="00B37580" w:rsidRDefault="00B37580" w:rsidP="00B37580">
            <w:pPr>
              <w:jc w:val="right"/>
              <w:rPr>
                <w:rFonts w:ascii="Arial Narrow" w:hAnsi="Arial Narrow"/>
              </w:rPr>
            </w:pPr>
            <w:r w:rsidRPr="00B37580">
              <w:rPr>
                <w:rFonts w:ascii="Arial Narrow" w:hAnsi="Arial Narrow"/>
              </w:rPr>
              <w:t>0</w:t>
            </w:r>
          </w:p>
        </w:tc>
        <w:tc>
          <w:tcPr>
            <w:tcW w:w="870" w:type="dxa"/>
            <w:tcBorders>
              <w:top w:val="nil"/>
              <w:left w:val="nil"/>
              <w:bottom w:val="single" w:sz="4" w:space="0" w:color="auto"/>
              <w:right w:val="single" w:sz="4" w:space="0" w:color="auto"/>
            </w:tcBorders>
            <w:vAlign w:val="center"/>
          </w:tcPr>
          <w:p w:rsidR="00B37580" w:rsidRPr="00B37580" w:rsidRDefault="00B37580" w:rsidP="00B37580">
            <w:pPr>
              <w:jc w:val="right"/>
              <w:rPr>
                <w:rFonts w:ascii="Arial Narrow" w:hAnsi="Arial Narrow"/>
              </w:rPr>
            </w:pPr>
            <w:r w:rsidRPr="00B37580">
              <w:rPr>
                <w:rFonts w:ascii="Arial Narrow" w:hAnsi="Arial Narrow"/>
              </w:rPr>
              <w:t>0</w:t>
            </w:r>
          </w:p>
        </w:tc>
        <w:tc>
          <w:tcPr>
            <w:tcW w:w="1398" w:type="dxa"/>
            <w:gridSpan w:val="2"/>
            <w:tcBorders>
              <w:top w:val="nil"/>
              <w:left w:val="nil"/>
              <w:bottom w:val="single" w:sz="4" w:space="0" w:color="auto"/>
              <w:right w:val="single" w:sz="4" w:space="0" w:color="auto"/>
            </w:tcBorders>
            <w:noWrap/>
            <w:vAlign w:val="bottom"/>
          </w:tcPr>
          <w:p w:rsidR="00B37580" w:rsidRPr="00B37580" w:rsidRDefault="00B37580" w:rsidP="00B37580">
            <w:pPr>
              <w:rPr>
                <w:sz w:val="24"/>
                <w:szCs w:val="24"/>
              </w:rPr>
            </w:pPr>
            <w:r w:rsidRPr="00B37580">
              <w:rPr>
                <w:sz w:val="24"/>
                <w:szCs w:val="24"/>
              </w:rPr>
              <w:t> </w:t>
            </w:r>
          </w:p>
        </w:tc>
      </w:tr>
      <w:tr w:rsidR="00B37580" w:rsidRPr="00B37580" w:rsidTr="008046BF">
        <w:trPr>
          <w:trHeight w:val="255"/>
        </w:trPr>
        <w:tc>
          <w:tcPr>
            <w:tcW w:w="3961" w:type="dxa"/>
            <w:tcBorders>
              <w:top w:val="nil"/>
              <w:left w:val="single" w:sz="4" w:space="0" w:color="auto"/>
              <w:bottom w:val="single" w:sz="4" w:space="0" w:color="auto"/>
              <w:right w:val="single" w:sz="4" w:space="0" w:color="auto"/>
            </w:tcBorders>
          </w:tcPr>
          <w:p w:rsidR="00B37580" w:rsidRPr="00B37580" w:rsidRDefault="00B37580" w:rsidP="00B37580">
            <w:pPr>
              <w:rPr>
                <w:vertAlign w:val="superscript"/>
              </w:rPr>
            </w:pPr>
            <w:r w:rsidRPr="00B37580">
              <w:t xml:space="preserve">  Poistné a príspevok do poisťovní (620)</w:t>
            </w:r>
          </w:p>
        </w:tc>
        <w:tc>
          <w:tcPr>
            <w:tcW w:w="1093" w:type="dxa"/>
            <w:tcBorders>
              <w:top w:val="nil"/>
              <w:left w:val="nil"/>
              <w:bottom w:val="single" w:sz="4" w:space="0" w:color="auto"/>
              <w:right w:val="single" w:sz="4" w:space="0" w:color="auto"/>
            </w:tcBorders>
            <w:vAlign w:val="center"/>
          </w:tcPr>
          <w:p w:rsidR="00B37580" w:rsidRPr="00B37580" w:rsidRDefault="00B37580" w:rsidP="00B37580">
            <w:pPr>
              <w:jc w:val="right"/>
              <w:rPr>
                <w:rFonts w:ascii="Arial Narrow" w:hAnsi="Arial Narrow"/>
              </w:rPr>
            </w:pPr>
            <w:r w:rsidRPr="00B37580">
              <w:rPr>
                <w:rFonts w:ascii="Arial Narrow" w:hAnsi="Arial Narrow"/>
              </w:rPr>
              <w:t>0</w:t>
            </w:r>
          </w:p>
        </w:tc>
        <w:tc>
          <w:tcPr>
            <w:tcW w:w="1092" w:type="dxa"/>
            <w:tcBorders>
              <w:top w:val="nil"/>
              <w:left w:val="nil"/>
              <w:bottom w:val="single" w:sz="4" w:space="0" w:color="auto"/>
              <w:right w:val="single" w:sz="4" w:space="0" w:color="auto"/>
            </w:tcBorders>
            <w:vAlign w:val="center"/>
          </w:tcPr>
          <w:p w:rsidR="00B37580" w:rsidRPr="00B37580" w:rsidRDefault="00B37580" w:rsidP="00B37580">
            <w:pPr>
              <w:jc w:val="right"/>
              <w:rPr>
                <w:rFonts w:ascii="Arial Narrow" w:hAnsi="Arial Narrow"/>
              </w:rPr>
            </w:pPr>
            <w:r w:rsidRPr="00B37580">
              <w:rPr>
                <w:rFonts w:ascii="Arial Narrow" w:hAnsi="Arial Narrow"/>
              </w:rPr>
              <w:t>0</w:t>
            </w:r>
          </w:p>
        </w:tc>
        <w:tc>
          <w:tcPr>
            <w:tcW w:w="870" w:type="dxa"/>
            <w:tcBorders>
              <w:top w:val="nil"/>
              <w:left w:val="nil"/>
              <w:bottom w:val="single" w:sz="4" w:space="0" w:color="auto"/>
              <w:right w:val="single" w:sz="4" w:space="0" w:color="auto"/>
            </w:tcBorders>
            <w:vAlign w:val="center"/>
          </w:tcPr>
          <w:p w:rsidR="00B37580" w:rsidRPr="00B37580" w:rsidRDefault="00B37580" w:rsidP="00B37580">
            <w:pPr>
              <w:jc w:val="right"/>
              <w:rPr>
                <w:rFonts w:ascii="Arial Narrow" w:hAnsi="Arial Narrow"/>
              </w:rPr>
            </w:pPr>
            <w:r w:rsidRPr="00B37580">
              <w:rPr>
                <w:rFonts w:ascii="Arial Narrow" w:hAnsi="Arial Narrow"/>
              </w:rPr>
              <w:t>0</w:t>
            </w:r>
          </w:p>
        </w:tc>
        <w:tc>
          <w:tcPr>
            <w:tcW w:w="870" w:type="dxa"/>
            <w:tcBorders>
              <w:top w:val="nil"/>
              <w:left w:val="nil"/>
              <w:bottom w:val="single" w:sz="4" w:space="0" w:color="auto"/>
              <w:right w:val="single" w:sz="4" w:space="0" w:color="auto"/>
            </w:tcBorders>
            <w:vAlign w:val="center"/>
          </w:tcPr>
          <w:p w:rsidR="00B37580" w:rsidRPr="00B37580" w:rsidRDefault="00B37580" w:rsidP="00B37580">
            <w:pPr>
              <w:jc w:val="right"/>
              <w:rPr>
                <w:rFonts w:ascii="Arial Narrow" w:hAnsi="Arial Narrow"/>
              </w:rPr>
            </w:pPr>
            <w:r w:rsidRPr="00B37580">
              <w:rPr>
                <w:rFonts w:ascii="Arial Narrow" w:hAnsi="Arial Narrow"/>
              </w:rPr>
              <w:t>0</w:t>
            </w:r>
          </w:p>
        </w:tc>
        <w:tc>
          <w:tcPr>
            <w:tcW w:w="1398" w:type="dxa"/>
            <w:gridSpan w:val="2"/>
            <w:tcBorders>
              <w:top w:val="nil"/>
              <w:left w:val="nil"/>
              <w:bottom w:val="single" w:sz="4" w:space="0" w:color="auto"/>
              <w:right w:val="single" w:sz="4" w:space="0" w:color="auto"/>
            </w:tcBorders>
            <w:noWrap/>
            <w:vAlign w:val="bottom"/>
          </w:tcPr>
          <w:p w:rsidR="00B37580" w:rsidRPr="00B37580" w:rsidRDefault="00B37580" w:rsidP="00B37580">
            <w:pPr>
              <w:rPr>
                <w:sz w:val="24"/>
                <w:szCs w:val="24"/>
              </w:rPr>
            </w:pPr>
            <w:r w:rsidRPr="00B37580">
              <w:rPr>
                <w:sz w:val="24"/>
                <w:szCs w:val="24"/>
              </w:rPr>
              <w:t> </w:t>
            </w:r>
          </w:p>
        </w:tc>
      </w:tr>
      <w:tr w:rsidR="00B37580" w:rsidRPr="00B37580" w:rsidTr="008046BF">
        <w:trPr>
          <w:trHeight w:val="255"/>
        </w:trPr>
        <w:tc>
          <w:tcPr>
            <w:tcW w:w="3961" w:type="dxa"/>
            <w:tcBorders>
              <w:top w:val="nil"/>
              <w:left w:val="single" w:sz="4" w:space="0" w:color="auto"/>
              <w:bottom w:val="single" w:sz="4" w:space="0" w:color="auto"/>
              <w:right w:val="single" w:sz="4" w:space="0" w:color="auto"/>
            </w:tcBorders>
          </w:tcPr>
          <w:p w:rsidR="00B37580" w:rsidRPr="00B37580" w:rsidRDefault="00B37580" w:rsidP="00B37580">
            <w:pPr>
              <w:rPr>
                <w:vertAlign w:val="superscript"/>
              </w:rPr>
            </w:pPr>
            <w:r w:rsidRPr="00B37580">
              <w:t xml:space="preserve">  Tovary a služby (630)</w:t>
            </w:r>
          </w:p>
        </w:tc>
        <w:tc>
          <w:tcPr>
            <w:tcW w:w="1093" w:type="dxa"/>
            <w:tcBorders>
              <w:top w:val="nil"/>
              <w:left w:val="nil"/>
              <w:bottom w:val="single" w:sz="4" w:space="0" w:color="auto"/>
              <w:right w:val="single" w:sz="4" w:space="0" w:color="auto"/>
            </w:tcBorders>
            <w:vAlign w:val="center"/>
          </w:tcPr>
          <w:p w:rsidR="00B37580" w:rsidRPr="00B37580" w:rsidRDefault="00B37580" w:rsidP="00B37580">
            <w:pPr>
              <w:jc w:val="right"/>
              <w:rPr>
                <w:rFonts w:ascii="Arial Narrow" w:hAnsi="Arial Narrow"/>
              </w:rPr>
            </w:pPr>
            <w:r w:rsidRPr="00B37580">
              <w:rPr>
                <w:rFonts w:ascii="Arial Narrow" w:hAnsi="Arial Narrow"/>
              </w:rPr>
              <w:t>0</w:t>
            </w:r>
          </w:p>
        </w:tc>
        <w:tc>
          <w:tcPr>
            <w:tcW w:w="1092" w:type="dxa"/>
            <w:tcBorders>
              <w:top w:val="nil"/>
              <w:left w:val="nil"/>
              <w:bottom w:val="single" w:sz="4" w:space="0" w:color="auto"/>
              <w:right w:val="single" w:sz="4" w:space="0" w:color="auto"/>
            </w:tcBorders>
            <w:vAlign w:val="center"/>
          </w:tcPr>
          <w:p w:rsidR="00B37580" w:rsidRPr="00B37580" w:rsidRDefault="00B37580" w:rsidP="00B37580">
            <w:pPr>
              <w:jc w:val="right"/>
              <w:rPr>
                <w:rFonts w:ascii="Arial Narrow" w:hAnsi="Arial Narrow"/>
              </w:rPr>
            </w:pPr>
            <w:r w:rsidRPr="00B37580">
              <w:rPr>
                <w:rFonts w:ascii="Arial Narrow" w:hAnsi="Arial Narrow"/>
              </w:rPr>
              <w:t>0</w:t>
            </w:r>
          </w:p>
        </w:tc>
        <w:tc>
          <w:tcPr>
            <w:tcW w:w="870" w:type="dxa"/>
            <w:tcBorders>
              <w:top w:val="nil"/>
              <w:left w:val="nil"/>
              <w:bottom w:val="single" w:sz="4" w:space="0" w:color="auto"/>
              <w:right w:val="single" w:sz="4" w:space="0" w:color="auto"/>
            </w:tcBorders>
            <w:vAlign w:val="center"/>
          </w:tcPr>
          <w:p w:rsidR="00B37580" w:rsidRPr="00B37580" w:rsidRDefault="00B37580" w:rsidP="00B37580">
            <w:pPr>
              <w:jc w:val="right"/>
              <w:rPr>
                <w:rFonts w:ascii="Arial Narrow" w:hAnsi="Arial Narrow"/>
              </w:rPr>
            </w:pPr>
            <w:r w:rsidRPr="00B37580">
              <w:rPr>
                <w:rFonts w:ascii="Arial Narrow" w:hAnsi="Arial Narrow"/>
              </w:rPr>
              <w:t>0</w:t>
            </w:r>
          </w:p>
        </w:tc>
        <w:tc>
          <w:tcPr>
            <w:tcW w:w="870" w:type="dxa"/>
            <w:tcBorders>
              <w:top w:val="nil"/>
              <w:left w:val="nil"/>
              <w:bottom w:val="single" w:sz="4" w:space="0" w:color="auto"/>
              <w:right w:val="single" w:sz="4" w:space="0" w:color="auto"/>
            </w:tcBorders>
            <w:vAlign w:val="center"/>
          </w:tcPr>
          <w:p w:rsidR="00B37580" w:rsidRPr="00B37580" w:rsidRDefault="00B37580" w:rsidP="00B37580">
            <w:pPr>
              <w:jc w:val="right"/>
              <w:rPr>
                <w:rFonts w:ascii="Arial Narrow" w:hAnsi="Arial Narrow"/>
              </w:rPr>
            </w:pPr>
            <w:r w:rsidRPr="00B37580">
              <w:rPr>
                <w:rFonts w:ascii="Arial Narrow" w:hAnsi="Arial Narrow"/>
              </w:rPr>
              <w:t>0</w:t>
            </w:r>
          </w:p>
        </w:tc>
        <w:tc>
          <w:tcPr>
            <w:tcW w:w="1398" w:type="dxa"/>
            <w:gridSpan w:val="2"/>
            <w:tcBorders>
              <w:top w:val="nil"/>
              <w:left w:val="nil"/>
              <w:bottom w:val="single" w:sz="4" w:space="0" w:color="auto"/>
              <w:right w:val="single" w:sz="4" w:space="0" w:color="auto"/>
            </w:tcBorders>
            <w:noWrap/>
            <w:vAlign w:val="bottom"/>
          </w:tcPr>
          <w:p w:rsidR="00B37580" w:rsidRPr="00B37580" w:rsidRDefault="00B37580" w:rsidP="00B37580">
            <w:pPr>
              <w:rPr>
                <w:sz w:val="24"/>
                <w:szCs w:val="24"/>
              </w:rPr>
            </w:pPr>
            <w:r w:rsidRPr="00B37580">
              <w:rPr>
                <w:sz w:val="24"/>
                <w:szCs w:val="24"/>
              </w:rPr>
              <w:t> </w:t>
            </w:r>
          </w:p>
        </w:tc>
      </w:tr>
      <w:tr w:rsidR="00B37580" w:rsidRPr="00B37580" w:rsidTr="008046BF">
        <w:trPr>
          <w:trHeight w:val="255"/>
        </w:trPr>
        <w:tc>
          <w:tcPr>
            <w:tcW w:w="3961" w:type="dxa"/>
            <w:tcBorders>
              <w:top w:val="nil"/>
              <w:left w:val="single" w:sz="4" w:space="0" w:color="auto"/>
              <w:bottom w:val="single" w:sz="4" w:space="0" w:color="auto"/>
              <w:right w:val="single" w:sz="4" w:space="0" w:color="auto"/>
            </w:tcBorders>
          </w:tcPr>
          <w:p w:rsidR="00B37580" w:rsidRPr="00B37580" w:rsidRDefault="00B37580" w:rsidP="00B37580">
            <w:r w:rsidRPr="00B37580">
              <w:t xml:space="preserve">  Bežné transfery (640)</w:t>
            </w:r>
          </w:p>
        </w:tc>
        <w:tc>
          <w:tcPr>
            <w:tcW w:w="1093" w:type="dxa"/>
            <w:tcBorders>
              <w:top w:val="nil"/>
              <w:left w:val="nil"/>
              <w:bottom w:val="single" w:sz="4" w:space="0" w:color="auto"/>
              <w:right w:val="single" w:sz="4" w:space="0" w:color="auto"/>
            </w:tcBorders>
            <w:vAlign w:val="bottom"/>
          </w:tcPr>
          <w:p w:rsidR="00B37580" w:rsidRPr="00B37580" w:rsidRDefault="00B37580" w:rsidP="00B37580">
            <w:pPr>
              <w:jc w:val="right"/>
              <w:rPr>
                <w:rFonts w:ascii="Arial Narrow" w:hAnsi="Arial Narrow" w:cs="Calibri"/>
                <w:b/>
                <w:lang w:eastAsia="en-US"/>
              </w:rPr>
            </w:pPr>
            <w:r w:rsidRPr="00B37580">
              <w:rPr>
                <w:rFonts w:ascii="Arial Narrow" w:hAnsi="Arial Narrow" w:cs="Calibri"/>
                <w:b/>
                <w:lang w:eastAsia="en-US"/>
              </w:rPr>
              <w:t xml:space="preserve">-1.153.606 </w:t>
            </w:r>
          </w:p>
        </w:tc>
        <w:tc>
          <w:tcPr>
            <w:tcW w:w="1092" w:type="dxa"/>
            <w:tcBorders>
              <w:top w:val="nil"/>
              <w:left w:val="nil"/>
              <w:bottom w:val="single" w:sz="4" w:space="0" w:color="auto"/>
              <w:right w:val="single" w:sz="4" w:space="0" w:color="auto"/>
            </w:tcBorders>
            <w:vAlign w:val="bottom"/>
          </w:tcPr>
          <w:p w:rsidR="00B37580" w:rsidRPr="00B37580" w:rsidRDefault="00B37580" w:rsidP="00B37580">
            <w:pPr>
              <w:jc w:val="right"/>
              <w:rPr>
                <w:rFonts w:ascii="Arial Narrow" w:hAnsi="Arial Narrow" w:cs="Calibri"/>
                <w:b/>
                <w:bCs/>
                <w:lang w:eastAsia="en-US"/>
              </w:rPr>
            </w:pPr>
            <w:r w:rsidRPr="00B37580">
              <w:rPr>
                <w:rFonts w:ascii="Arial Narrow" w:hAnsi="Arial Narrow" w:cs="Calibri"/>
                <w:b/>
                <w:bCs/>
                <w:lang w:eastAsia="en-US"/>
              </w:rPr>
              <w:t xml:space="preserve">-1.905.623 </w:t>
            </w:r>
          </w:p>
        </w:tc>
        <w:tc>
          <w:tcPr>
            <w:tcW w:w="870" w:type="dxa"/>
            <w:tcBorders>
              <w:top w:val="nil"/>
              <w:left w:val="nil"/>
              <w:bottom w:val="single" w:sz="4" w:space="0" w:color="auto"/>
              <w:right w:val="single" w:sz="4" w:space="0" w:color="auto"/>
            </w:tcBorders>
            <w:vAlign w:val="bottom"/>
          </w:tcPr>
          <w:p w:rsidR="00B37580" w:rsidRPr="00B37580" w:rsidRDefault="00B37580" w:rsidP="00B37580">
            <w:pPr>
              <w:rPr>
                <w:rFonts w:ascii="Arial Narrow" w:hAnsi="Arial Narrow" w:cs="Calibri"/>
                <w:b/>
                <w:bCs/>
                <w:lang w:eastAsia="en-US"/>
              </w:rPr>
            </w:pPr>
            <w:r w:rsidRPr="00B37580">
              <w:rPr>
                <w:rFonts w:ascii="Arial Narrow" w:hAnsi="Arial Narrow" w:cs="Calibri"/>
                <w:b/>
                <w:bCs/>
                <w:lang w:eastAsia="en-US"/>
              </w:rPr>
              <w:t xml:space="preserve">- 1.472.653 </w:t>
            </w:r>
          </w:p>
        </w:tc>
        <w:tc>
          <w:tcPr>
            <w:tcW w:w="870" w:type="dxa"/>
            <w:tcBorders>
              <w:top w:val="nil"/>
              <w:left w:val="nil"/>
              <w:bottom w:val="single" w:sz="4" w:space="0" w:color="auto"/>
              <w:right w:val="single" w:sz="4" w:space="0" w:color="auto"/>
            </w:tcBorders>
            <w:vAlign w:val="bottom"/>
          </w:tcPr>
          <w:p w:rsidR="00B37580" w:rsidRPr="00B37580" w:rsidRDefault="00B37580" w:rsidP="00B37580">
            <w:pPr>
              <w:rPr>
                <w:rFonts w:ascii="Arial Narrow" w:hAnsi="Arial Narrow" w:cs="Calibri"/>
                <w:b/>
                <w:bCs/>
                <w:lang w:eastAsia="en-US"/>
              </w:rPr>
            </w:pPr>
            <w:r w:rsidRPr="00B37580">
              <w:rPr>
                <w:rFonts w:ascii="Arial Narrow" w:hAnsi="Arial Narrow" w:cs="Calibri"/>
                <w:b/>
                <w:bCs/>
                <w:lang w:eastAsia="en-US"/>
              </w:rPr>
              <w:t xml:space="preserve">- 1.436.582 </w:t>
            </w:r>
          </w:p>
        </w:tc>
        <w:tc>
          <w:tcPr>
            <w:tcW w:w="1398" w:type="dxa"/>
            <w:gridSpan w:val="2"/>
            <w:tcBorders>
              <w:top w:val="nil"/>
              <w:left w:val="nil"/>
              <w:bottom w:val="single" w:sz="4" w:space="0" w:color="auto"/>
              <w:right w:val="single" w:sz="4" w:space="0" w:color="auto"/>
            </w:tcBorders>
            <w:noWrap/>
            <w:vAlign w:val="bottom"/>
          </w:tcPr>
          <w:p w:rsidR="00B37580" w:rsidRPr="00B37580" w:rsidRDefault="00B37580" w:rsidP="00B37580">
            <w:pPr>
              <w:rPr>
                <w:color w:val="FF0000"/>
                <w:sz w:val="24"/>
                <w:szCs w:val="24"/>
              </w:rPr>
            </w:pPr>
            <w:r w:rsidRPr="00B37580">
              <w:rPr>
                <w:color w:val="FF0000"/>
                <w:sz w:val="24"/>
                <w:szCs w:val="24"/>
              </w:rPr>
              <w:t> </w:t>
            </w:r>
          </w:p>
        </w:tc>
      </w:tr>
      <w:tr w:rsidR="00B37580" w:rsidRPr="00B37580" w:rsidTr="008046BF">
        <w:trPr>
          <w:trHeight w:val="255"/>
        </w:trPr>
        <w:tc>
          <w:tcPr>
            <w:tcW w:w="3961" w:type="dxa"/>
            <w:tcBorders>
              <w:top w:val="nil"/>
              <w:left w:val="single" w:sz="4" w:space="0" w:color="auto"/>
              <w:bottom w:val="single" w:sz="4" w:space="0" w:color="auto"/>
              <w:right w:val="single" w:sz="4" w:space="0" w:color="auto"/>
            </w:tcBorders>
            <w:vAlign w:val="center"/>
          </w:tcPr>
          <w:p w:rsidR="00B37580" w:rsidRPr="00B37580" w:rsidRDefault="00B37580" w:rsidP="00B37580">
            <w:r w:rsidRPr="00B37580">
              <w:t xml:space="preserve">  Splácanie úrokov a ostatné platby súvisiace s </w:t>
            </w:r>
            <w:r w:rsidRPr="00B37580">
              <w:rPr>
                <w:rFonts w:asciiTheme="minorHAnsi" w:hAnsiTheme="minorHAnsi"/>
                <w:sz w:val="22"/>
                <w:szCs w:val="22"/>
                <w:lang w:eastAsia="en-US"/>
              </w:rPr>
              <w:t xml:space="preserve"> </w:t>
            </w:r>
            <w:r w:rsidRPr="00B37580">
              <w:t>úverom, pôžičkou, návratnou finančnou výpomocou a finančným prenájmom (650)</w:t>
            </w:r>
          </w:p>
        </w:tc>
        <w:tc>
          <w:tcPr>
            <w:tcW w:w="1093" w:type="dxa"/>
            <w:tcBorders>
              <w:top w:val="nil"/>
              <w:left w:val="nil"/>
              <w:bottom w:val="single" w:sz="4" w:space="0" w:color="auto"/>
              <w:right w:val="single" w:sz="4" w:space="0" w:color="auto"/>
            </w:tcBorders>
            <w:vAlign w:val="center"/>
          </w:tcPr>
          <w:p w:rsidR="00B37580" w:rsidRPr="00B37580" w:rsidRDefault="00B37580" w:rsidP="00B37580">
            <w:pPr>
              <w:jc w:val="right"/>
              <w:rPr>
                <w:rFonts w:ascii="Arial Narrow" w:hAnsi="Arial Narrow"/>
              </w:rPr>
            </w:pPr>
            <w:r w:rsidRPr="00B37580">
              <w:rPr>
                <w:rFonts w:ascii="Arial Narrow" w:hAnsi="Arial Narrow"/>
              </w:rPr>
              <w:t>0</w:t>
            </w:r>
          </w:p>
        </w:tc>
        <w:tc>
          <w:tcPr>
            <w:tcW w:w="1092" w:type="dxa"/>
            <w:tcBorders>
              <w:top w:val="nil"/>
              <w:left w:val="nil"/>
              <w:bottom w:val="single" w:sz="4" w:space="0" w:color="auto"/>
              <w:right w:val="single" w:sz="4" w:space="0" w:color="auto"/>
            </w:tcBorders>
            <w:vAlign w:val="center"/>
          </w:tcPr>
          <w:p w:rsidR="00B37580" w:rsidRPr="00B37580" w:rsidRDefault="00B37580" w:rsidP="00B37580">
            <w:pPr>
              <w:jc w:val="right"/>
              <w:rPr>
                <w:rFonts w:ascii="Arial Narrow" w:hAnsi="Arial Narrow"/>
              </w:rPr>
            </w:pPr>
            <w:r w:rsidRPr="00B37580">
              <w:rPr>
                <w:rFonts w:ascii="Arial Narrow" w:hAnsi="Arial Narrow"/>
              </w:rPr>
              <w:t>0</w:t>
            </w:r>
          </w:p>
        </w:tc>
        <w:tc>
          <w:tcPr>
            <w:tcW w:w="870" w:type="dxa"/>
            <w:tcBorders>
              <w:top w:val="nil"/>
              <w:left w:val="nil"/>
              <w:bottom w:val="single" w:sz="4" w:space="0" w:color="auto"/>
              <w:right w:val="single" w:sz="4" w:space="0" w:color="auto"/>
            </w:tcBorders>
            <w:vAlign w:val="center"/>
          </w:tcPr>
          <w:p w:rsidR="00B37580" w:rsidRPr="00B37580" w:rsidRDefault="00B37580" w:rsidP="00B37580">
            <w:pPr>
              <w:jc w:val="right"/>
              <w:rPr>
                <w:rFonts w:ascii="Arial Narrow" w:hAnsi="Arial Narrow"/>
              </w:rPr>
            </w:pPr>
            <w:r w:rsidRPr="00B37580">
              <w:rPr>
                <w:rFonts w:ascii="Arial Narrow" w:hAnsi="Arial Narrow"/>
              </w:rPr>
              <w:t>0</w:t>
            </w:r>
          </w:p>
        </w:tc>
        <w:tc>
          <w:tcPr>
            <w:tcW w:w="870" w:type="dxa"/>
            <w:tcBorders>
              <w:top w:val="nil"/>
              <w:left w:val="nil"/>
              <w:bottom w:val="single" w:sz="4" w:space="0" w:color="auto"/>
              <w:right w:val="single" w:sz="4" w:space="0" w:color="auto"/>
            </w:tcBorders>
            <w:vAlign w:val="center"/>
          </w:tcPr>
          <w:p w:rsidR="00B37580" w:rsidRPr="00B37580" w:rsidRDefault="00B37580" w:rsidP="00B37580">
            <w:pPr>
              <w:jc w:val="right"/>
              <w:rPr>
                <w:rFonts w:ascii="Arial Narrow" w:hAnsi="Arial Narrow"/>
              </w:rPr>
            </w:pPr>
            <w:r w:rsidRPr="00B37580">
              <w:rPr>
                <w:rFonts w:ascii="Arial Narrow" w:hAnsi="Arial Narrow"/>
              </w:rPr>
              <w:t>0</w:t>
            </w:r>
          </w:p>
        </w:tc>
        <w:tc>
          <w:tcPr>
            <w:tcW w:w="1398" w:type="dxa"/>
            <w:gridSpan w:val="2"/>
            <w:tcBorders>
              <w:top w:val="nil"/>
              <w:left w:val="nil"/>
              <w:bottom w:val="single" w:sz="4" w:space="0" w:color="auto"/>
              <w:right w:val="single" w:sz="4" w:space="0" w:color="auto"/>
            </w:tcBorders>
            <w:noWrap/>
            <w:vAlign w:val="bottom"/>
          </w:tcPr>
          <w:p w:rsidR="00B37580" w:rsidRPr="00B37580" w:rsidRDefault="00B37580" w:rsidP="00B37580">
            <w:pPr>
              <w:rPr>
                <w:sz w:val="24"/>
                <w:szCs w:val="24"/>
              </w:rPr>
            </w:pPr>
          </w:p>
        </w:tc>
      </w:tr>
      <w:tr w:rsidR="00B37580" w:rsidRPr="00B37580" w:rsidTr="008046BF">
        <w:trPr>
          <w:trHeight w:val="255"/>
        </w:trPr>
        <w:tc>
          <w:tcPr>
            <w:tcW w:w="3961" w:type="dxa"/>
            <w:tcBorders>
              <w:top w:val="nil"/>
              <w:left w:val="single" w:sz="4" w:space="0" w:color="auto"/>
              <w:bottom w:val="single" w:sz="4" w:space="0" w:color="auto"/>
              <w:right w:val="single" w:sz="4" w:space="0" w:color="auto"/>
            </w:tcBorders>
            <w:vAlign w:val="center"/>
          </w:tcPr>
          <w:p w:rsidR="00B37580" w:rsidRPr="00B37580" w:rsidRDefault="00B37580" w:rsidP="00B37580">
            <w:r w:rsidRPr="00B37580">
              <w:t>Transfery jednotlivcom a neziskovým právnickým osobám (642)</w:t>
            </w:r>
          </w:p>
        </w:tc>
        <w:tc>
          <w:tcPr>
            <w:tcW w:w="1093" w:type="dxa"/>
            <w:tcBorders>
              <w:top w:val="nil"/>
              <w:left w:val="nil"/>
              <w:bottom w:val="single" w:sz="4" w:space="0" w:color="auto"/>
              <w:right w:val="single" w:sz="4" w:space="0" w:color="auto"/>
            </w:tcBorders>
            <w:vAlign w:val="bottom"/>
          </w:tcPr>
          <w:p w:rsidR="00B37580" w:rsidRPr="00B37580" w:rsidRDefault="00B37580" w:rsidP="00B37580">
            <w:pPr>
              <w:jc w:val="right"/>
              <w:rPr>
                <w:rFonts w:ascii="Arial Narrow" w:hAnsi="Arial Narrow" w:cs="Calibri"/>
                <w:b/>
                <w:lang w:eastAsia="en-US"/>
              </w:rPr>
            </w:pPr>
            <w:r w:rsidRPr="00B37580">
              <w:rPr>
                <w:rFonts w:ascii="Arial Narrow" w:hAnsi="Arial Narrow" w:cs="Calibri"/>
                <w:b/>
                <w:lang w:eastAsia="en-US"/>
              </w:rPr>
              <w:t xml:space="preserve">-1.153.606 </w:t>
            </w:r>
          </w:p>
        </w:tc>
        <w:tc>
          <w:tcPr>
            <w:tcW w:w="1092" w:type="dxa"/>
            <w:tcBorders>
              <w:top w:val="nil"/>
              <w:left w:val="nil"/>
              <w:bottom w:val="single" w:sz="4" w:space="0" w:color="auto"/>
              <w:right w:val="single" w:sz="4" w:space="0" w:color="auto"/>
            </w:tcBorders>
            <w:vAlign w:val="bottom"/>
          </w:tcPr>
          <w:p w:rsidR="00B37580" w:rsidRPr="00B37580" w:rsidRDefault="00B37580" w:rsidP="00B37580">
            <w:pPr>
              <w:jc w:val="right"/>
              <w:rPr>
                <w:rFonts w:ascii="Arial Narrow" w:hAnsi="Arial Narrow" w:cs="Calibri"/>
                <w:b/>
                <w:bCs/>
                <w:lang w:eastAsia="en-US"/>
              </w:rPr>
            </w:pPr>
            <w:r w:rsidRPr="00B37580">
              <w:rPr>
                <w:rFonts w:ascii="Arial Narrow" w:hAnsi="Arial Narrow" w:cs="Calibri"/>
                <w:b/>
                <w:bCs/>
                <w:lang w:eastAsia="en-US"/>
              </w:rPr>
              <w:t xml:space="preserve">-1.905.623 </w:t>
            </w:r>
          </w:p>
        </w:tc>
        <w:tc>
          <w:tcPr>
            <w:tcW w:w="870" w:type="dxa"/>
            <w:tcBorders>
              <w:top w:val="nil"/>
              <w:left w:val="nil"/>
              <w:bottom w:val="single" w:sz="4" w:space="0" w:color="auto"/>
              <w:right w:val="single" w:sz="4" w:space="0" w:color="auto"/>
            </w:tcBorders>
            <w:vAlign w:val="bottom"/>
          </w:tcPr>
          <w:p w:rsidR="00B37580" w:rsidRPr="00B37580" w:rsidRDefault="00B37580" w:rsidP="00B37580">
            <w:pPr>
              <w:rPr>
                <w:rFonts w:ascii="Arial Narrow" w:hAnsi="Arial Narrow" w:cs="Calibri"/>
                <w:b/>
                <w:bCs/>
                <w:lang w:eastAsia="en-US"/>
              </w:rPr>
            </w:pPr>
            <w:r w:rsidRPr="00B37580">
              <w:rPr>
                <w:rFonts w:ascii="Arial Narrow" w:hAnsi="Arial Narrow" w:cs="Calibri"/>
                <w:b/>
                <w:bCs/>
                <w:lang w:eastAsia="en-US"/>
              </w:rPr>
              <w:t xml:space="preserve">- 1.472.653 </w:t>
            </w:r>
          </w:p>
        </w:tc>
        <w:tc>
          <w:tcPr>
            <w:tcW w:w="870" w:type="dxa"/>
            <w:tcBorders>
              <w:top w:val="nil"/>
              <w:left w:val="nil"/>
              <w:bottom w:val="single" w:sz="4" w:space="0" w:color="auto"/>
              <w:right w:val="single" w:sz="4" w:space="0" w:color="auto"/>
            </w:tcBorders>
            <w:vAlign w:val="bottom"/>
          </w:tcPr>
          <w:p w:rsidR="00B37580" w:rsidRPr="00B37580" w:rsidRDefault="00B37580" w:rsidP="00B37580">
            <w:pPr>
              <w:rPr>
                <w:rFonts w:ascii="Arial Narrow" w:hAnsi="Arial Narrow" w:cs="Calibri"/>
                <w:b/>
                <w:bCs/>
                <w:lang w:eastAsia="en-US"/>
              </w:rPr>
            </w:pPr>
            <w:r w:rsidRPr="00B37580">
              <w:rPr>
                <w:rFonts w:ascii="Arial Narrow" w:hAnsi="Arial Narrow" w:cs="Calibri"/>
                <w:b/>
                <w:bCs/>
                <w:lang w:eastAsia="en-US"/>
              </w:rPr>
              <w:t xml:space="preserve">- 1.436.582 </w:t>
            </w:r>
          </w:p>
        </w:tc>
        <w:tc>
          <w:tcPr>
            <w:tcW w:w="1398" w:type="dxa"/>
            <w:gridSpan w:val="2"/>
            <w:tcBorders>
              <w:top w:val="nil"/>
              <w:left w:val="nil"/>
              <w:bottom w:val="single" w:sz="4" w:space="0" w:color="auto"/>
              <w:right w:val="single" w:sz="4" w:space="0" w:color="auto"/>
            </w:tcBorders>
            <w:noWrap/>
            <w:vAlign w:val="bottom"/>
          </w:tcPr>
          <w:p w:rsidR="00B37580" w:rsidRPr="00B37580" w:rsidRDefault="00B37580" w:rsidP="00B37580">
            <w:pPr>
              <w:rPr>
                <w:sz w:val="24"/>
                <w:szCs w:val="24"/>
              </w:rPr>
            </w:pPr>
          </w:p>
        </w:tc>
      </w:tr>
      <w:tr w:rsidR="00B37580" w:rsidRPr="00B37580" w:rsidTr="008046BF">
        <w:trPr>
          <w:trHeight w:val="255"/>
        </w:trPr>
        <w:tc>
          <w:tcPr>
            <w:tcW w:w="3961" w:type="dxa"/>
            <w:tcBorders>
              <w:top w:val="nil"/>
              <w:left w:val="single" w:sz="4" w:space="0" w:color="auto"/>
              <w:bottom w:val="single" w:sz="4" w:space="0" w:color="auto"/>
              <w:right w:val="single" w:sz="4" w:space="0" w:color="auto"/>
            </w:tcBorders>
          </w:tcPr>
          <w:p w:rsidR="00B37580" w:rsidRPr="00B37580" w:rsidRDefault="00B37580" w:rsidP="00B37580">
            <w:pPr>
              <w:rPr>
                <w:b/>
                <w:bCs/>
              </w:rPr>
            </w:pPr>
            <w:r w:rsidRPr="00B37580">
              <w:rPr>
                <w:b/>
                <w:bCs/>
              </w:rPr>
              <w:t>Kapitálové výdavky (700)</w:t>
            </w:r>
          </w:p>
        </w:tc>
        <w:tc>
          <w:tcPr>
            <w:tcW w:w="1093" w:type="dxa"/>
            <w:tcBorders>
              <w:top w:val="nil"/>
              <w:left w:val="nil"/>
              <w:bottom w:val="single" w:sz="4" w:space="0" w:color="auto"/>
              <w:right w:val="single" w:sz="4" w:space="0" w:color="auto"/>
            </w:tcBorders>
            <w:vAlign w:val="center"/>
          </w:tcPr>
          <w:p w:rsidR="00B37580" w:rsidRPr="00B37580" w:rsidRDefault="00B37580" w:rsidP="00B37580">
            <w:pPr>
              <w:jc w:val="right"/>
              <w:rPr>
                <w:rFonts w:ascii="Arial Narrow" w:hAnsi="Arial Narrow"/>
                <w:b/>
                <w:bCs/>
              </w:rPr>
            </w:pPr>
            <w:r w:rsidRPr="00B37580">
              <w:rPr>
                <w:rFonts w:ascii="Arial Narrow" w:hAnsi="Arial Narrow"/>
                <w:b/>
                <w:bCs/>
              </w:rPr>
              <w:t>0</w:t>
            </w:r>
          </w:p>
        </w:tc>
        <w:tc>
          <w:tcPr>
            <w:tcW w:w="1092" w:type="dxa"/>
            <w:tcBorders>
              <w:top w:val="nil"/>
              <w:left w:val="nil"/>
              <w:bottom w:val="single" w:sz="4" w:space="0" w:color="auto"/>
              <w:right w:val="single" w:sz="4" w:space="0" w:color="auto"/>
            </w:tcBorders>
            <w:vAlign w:val="center"/>
          </w:tcPr>
          <w:p w:rsidR="00B37580" w:rsidRPr="00B37580" w:rsidRDefault="00B37580" w:rsidP="00B37580">
            <w:pPr>
              <w:jc w:val="right"/>
              <w:rPr>
                <w:rFonts w:ascii="Arial Narrow" w:hAnsi="Arial Narrow"/>
                <w:b/>
                <w:bCs/>
              </w:rPr>
            </w:pPr>
            <w:r w:rsidRPr="00B37580">
              <w:rPr>
                <w:rFonts w:ascii="Arial Narrow" w:hAnsi="Arial Narrow"/>
                <w:b/>
                <w:bCs/>
              </w:rPr>
              <w:t>0</w:t>
            </w:r>
          </w:p>
        </w:tc>
        <w:tc>
          <w:tcPr>
            <w:tcW w:w="870" w:type="dxa"/>
            <w:tcBorders>
              <w:top w:val="nil"/>
              <w:left w:val="nil"/>
              <w:bottom w:val="single" w:sz="4" w:space="0" w:color="auto"/>
              <w:right w:val="single" w:sz="4" w:space="0" w:color="auto"/>
            </w:tcBorders>
            <w:vAlign w:val="center"/>
          </w:tcPr>
          <w:p w:rsidR="00B37580" w:rsidRPr="00B37580" w:rsidRDefault="00B37580" w:rsidP="00B37580">
            <w:pPr>
              <w:jc w:val="right"/>
              <w:rPr>
                <w:rFonts w:ascii="Arial Narrow" w:hAnsi="Arial Narrow"/>
                <w:b/>
                <w:bCs/>
              </w:rPr>
            </w:pPr>
            <w:r w:rsidRPr="00B37580">
              <w:rPr>
                <w:rFonts w:ascii="Arial Narrow" w:hAnsi="Arial Narrow"/>
                <w:b/>
                <w:bCs/>
              </w:rPr>
              <w:t>0</w:t>
            </w:r>
          </w:p>
        </w:tc>
        <w:tc>
          <w:tcPr>
            <w:tcW w:w="870" w:type="dxa"/>
            <w:tcBorders>
              <w:top w:val="nil"/>
              <w:left w:val="nil"/>
              <w:bottom w:val="single" w:sz="4" w:space="0" w:color="auto"/>
              <w:right w:val="single" w:sz="4" w:space="0" w:color="auto"/>
            </w:tcBorders>
            <w:vAlign w:val="center"/>
          </w:tcPr>
          <w:p w:rsidR="00B37580" w:rsidRPr="00B37580" w:rsidRDefault="00B37580" w:rsidP="00B37580">
            <w:pPr>
              <w:jc w:val="right"/>
              <w:rPr>
                <w:rFonts w:ascii="Arial Narrow" w:hAnsi="Arial Narrow"/>
                <w:b/>
                <w:bCs/>
              </w:rPr>
            </w:pPr>
            <w:r w:rsidRPr="00B37580">
              <w:rPr>
                <w:rFonts w:ascii="Arial Narrow" w:hAnsi="Arial Narrow"/>
                <w:b/>
                <w:bCs/>
              </w:rPr>
              <w:t>0</w:t>
            </w:r>
          </w:p>
        </w:tc>
        <w:tc>
          <w:tcPr>
            <w:tcW w:w="1398" w:type="dxa"/>
            <w:gridSpan w:val="2"/>
            <w:tcBorders>
              <w:top w:val="nil"/>
              <w:left w:val="nil"/>
              <w:bottom w:val="single" w:sz="4" w:space="0" w:color="auto"/>
              <w:right w:val="single" w:sz="4" w:space="0" w:color="auto"/>
            </w:tcBorders>
            <w:noWrap/>
            <w:vAlign w:val="bottom"/>
          </w:tcPr>
          <w:p w:rsidR="00B37580" w:rsidRPr="00B37580" w:rsidRDefault="00B37580" w:rsidP="00B37580">
            <w:pPr>
              <w:rPr>
                <w:sz w:val="24"/>
                <w:szCs w:val="24"/>
              </w:rPr>
            </w:pPr>
            <w:r w:rsidRPr="00B37580">
              <w:rPr>
                <w:sz w:val="24"/>
                <w:szCs w:val="24"/>
              </w:rPr>
              <w:t> </w:t>
            </w:r>
          </w:p>
        </w:tc>
      </w:tr>
      <w:tr w:rsidR="00B37580" w:rsidRPr="00B37580" w:rsidTr="008046BF">
        <w:trPr>
          <w:trHeight w:val="255"/>
        </w:trPr>
        <w:tc>
          <w:tcPr>
            <w:tcW w:w="3961" w:type="dxa"/>
            <w:tcBorders>
              <w:top w:val="nil"/>
              <w:left w:val="single" w:sz="4" w:space="0" w:color="auto"/>
              <w:bottom w:val="single" w:sz="4" w:space="0" w:color="auto"/>
              <w:right w:val="single" w:sz="4" w:space="0" w:color="auto"/>
            </w:tcBorders>
          </w:tcPr>
          <w:p w:rsidR="00B37580" w:rsidRPr="00B37580" w:rsidRDefault="00B37580" w:rsidP="00B37580">
            <w:r w:rsidRPr="00B37580">
              <w:t xml:space="preserve">  Obstarávanie kapitálových aktív (710)</w:t>
            </w:r>
          </w:p>
        </w:tc>
        <w:tc>
          <w:tcPr>
            <w:tcW w:w="1093" w:type="dxa"/>
            <w:tcBorders>
              <w:top w:val="nil"/>
              <w:left w:val="nil"/>
              <w:bottom w:val="single" w:sz="4" w:space="0" w:color="auto"/>
              <w:right w:val="single" w:sz="4" w:space="0" w:color="auto"/>
            </w:tcBorders>
            <w:vAlign w:val="center"/>
          </w:tcPr>
          <w:p w:rsidR="00B37580" w:rsidRPr="00B37580" w:rsidRDefault="00B37580" w:rsidP="00B37580">
            <w:pPr>
              <w:jc w:val="right"/>
              <w:rPr>
                <w:rFonts w:ascii="Arial Narrow" w:hAnsi="Arial Narrow"/>
              </w:rPr>
            </w:pPr>
            <w:r w:rsidRPr="00B37580">
              <w:rPr>
                <w:rFonts w:ascii="Arial Narrow" w:hAnsi="Arial Narrow"/>
              </w:rPr>
              <w:t>0</w:t>
            </w:r>
          </w:p>
        </w:tc>
        <w:tc>
          <w:tcPr>
            <w:tcW w:w="1092" w:type="dxa"/>
            <w:tcBorders>
              <w:top w:val="nil"/>
              <w:left w:val="nil"/>
              <w:bottom w:val="single" w:sz="4" w:space="0" w:color="auto"/>
              <w:right w:val="single" w:sz="4" w:space="0" w:color="auto"/>
            </w:tcBorders>
            <w:vAlign w:val="center"/>
          </w:tcPr>
          <w:p w:rsidR="00B37580" w:rsidRPr="00B37580" w:rsidRDefault="00B37580" w:rsidP="00B37580">
            <w:pPr>
              <w:jc w:val="right"/>
              <w:rPr>
                <w:rFonts w:ascii="Arial Narrow" w:hAnsi="Arial Narrow"/>
              </w:rPr>
            </w:pPr>
            <w:r w:rsidRPr="00B37580">
              <w:rPr>
                <w:rFonts w:ascii="Arial Narrow" w:hAnsi="Arial Narrow"/>
              </w:rPr>
              <w:t>0</w:t>
            </w:r>
          </w:p>
        </w:tc>
        <w:tc>
          <w:tcPr>
            <w:tcW w:w="870" w:type="dxa"/>
            <w:tcBorders>
              <w:top w:val="nil"/>
              <w:left w:val="nil"/>
              <w:bottom w:val="single" w:sz="4" w:space="0" w:color="auto"/>
              <w:right w:val="single" w:sz="4" w:space="0" w:color="auto"/>
            </w:tcBorders>
            <w:vAlign w:val="center"/>
          </w:tcPr>
          <w:p w:rsidR="00B37580" w:rsidRPr="00B37580" w:rsidRDefault="00B37580" w:rsidP="00B37580">
            <w:pPr>
              <w:jc w:val="right"/>
              <w:rPr>
                <w:rFonts w:ascii="Arial Narrow" w:hAnsi="Arial Narrow"/>
              </w:rPr>
            </w:pPr>
            <w:r w:rsidRPr="00B37580">
              <w:rPr>
                <w:rFonts w:ascii="Arial Narrow" w:hAnsi="Arial Narrow"/>
              </w:rPr>
              <w:t>0</w:t>
            </w:r>
          </w:p>
        </w:tc>
        <w:tc>
          <w:tcPr>
            <w:tcW w:w="870" w:type="dxa"/>
            <w:tcBorders>
              <w:top w:val="nil"/>
              <w:left w:val="nil"/>
              <w:bottom w:val="single" w:sz="4" w:space="0" w:color="auto"/>
              <w:right w:val="single" w:sz="4" w:space="0" w:color="auto"/>
            </w:tcBorders>
            <w:vAlign w:val="center"/>
          </w:tcPr>
          <w:p w:rsidR="00B37580" w:rsidRPr="00B37580" w:rsidRDefault="00B37580" w:rsidP="00B37580">
            <w:pPr>
              <w:jc w:val="right"/>
              <w:rPr>
                <w:rFonts w:ascii="Arial Narrow" w:hAnsi="Arial Narrow"/>
              </w:rPr>
            </w:pPr>
            <w:r w:rsidRPr="00B37580">
              <w:rPr>
                <w:rFonts w:ascii="Arial Narrow" w:hAnsi="Arial Narrow"/>
              </w:rPr>
              <w:t>0</w:t>
            </w:r>
          </w:p>
        </w:tc>
        <w:tc>
          <w:tcPr>
            <w:tcW w:w="1398" w:type="dxa"/>
            <w:gridSpan w:val="2"/>
            <w:tcBorders>
              <w:top w:val="nil"/>
              <w:left w:val="nil"/>
              <w:bottom w:val="single" w:sz="4" w:space="0" w:color="auto"/>
              <w:right w:val="single" w:sz="4" w:space="0" w:color="auto"/>
            </w:tcBorders>
            <w:noWrap/>
            <w:vAlign w:val="bottom"/>
          </w:tcPr>
          <w:p w:rsidR="00B37580" w:rsidRPr="00B37580" w:rsidRDefault="00B37580" w:rsidP="00B37580">
            <w:pPr>
              <w:rPr>
                <w:sz w:val="24"/>
                <w:szCs w:val="24"/>
              </w:rPr>
            </w:pPr>
            <w:r w:rsidRPr="00B37580">
              <w:rPr>
                <w:sz w:val="24"/>
                <w:szCs w:val="24"/>
              </w:rPr>
              <w:t> </w:t>
            </w:r>
          </w:p>
        </w:tc>
      </w:tr>
      <w:tr w:rsidR="00B37580" w:rsidRPr="00B37580" w:rsidTr="008046BF">
        <w:trPr>
          <w:trHeight w:val="255"/>
        </w:trPr>
        <w:tc>
          <w:tcPr>
            <w:tcW w:w="3961" w:type="dxa"/>
            <w:tcBorders>
              <w:top w:val="nil"/>
              <w:left w:val="single" w:sz="4" w:space="0" w:color="auto"/>
              <w:bottom w:val="single" w:sz="4" w:space="0" w:color="auto"/>
              <w:right w:val="single" w:sz="4" w:space="0" w:color="auto"/>
            </w:tcBorders>
          </w:tcPr>
          <w:p w:rsidR="00B37580" w:rsidRPr="00B37580" w:rsidRDefault="00B37580" w:rsidP="00B37580">
            <w:r w:rsidRPr="00B37580">
              <w:t xml:space="preserve">  Kapitálové transfery (720)</w:t>
            </w:r>
          </w:p>
        </w:tc>
        <w:tc>
          <w:tcPr>
            <w:tcW w:w="1093" w:type="dxa"/>
            <w:tcBorders>
              <w:top w:val="nil"/>
              <w:left w:val="nil"/>
              <w:bottom w:val="single" w:sz="4" w:space="0" w:color="auto"/>
              <w:right w:val="single" w:sz="4" w:space="0" w:color="auto"/>
            </w:tcBorders>
            <w:vAlign w:val="center"/>
          </w:tcPr>
          <w:p w:rsidR="00B37580" w:rsidRPr="00B37580" w:rsidRDefault="00B37580" w:rsidP="00B37580">
            <w:pPr>
              <w:jc w:val="right"/>
              <w:rPr>
                <w:rFonts w:ascii="Arial Narrow" w:hAnsi="Arial Narrow"/>
              </w:rPr>
            </w:pPr>
            <w:r w:rsidRPr="00B37580">
              <w:rPr>
                <w:rFonts w:ascii="Arial Narrow" w:hAnsi="Arial Narrow"/>
              </w:rPr>
              <w:t>0</w:t>
            </w:r>
          </w:p>
        </w:tc>
        <w:tc>
          <w:tcPr>
            <w:tcW w:w="1092" w:type="dxa"/>
            <w:tcBorders>
              <w:top w:val="nil"/>
              <w:left w:val="nil"/>
              <w:bottom w:val="single" w:sz="4" w:space="0" w:color="auto"/>
              <w:right w:val="single" w:sz="4" w:space="0" w:color="auto"/>
            </w:tcBorders>
            <w:vAlign w:val="center"/>
          </w:tcPr>
          <w:p w:rsidR="00B37580" w:rsidRPr="00B37580" w:rsidRDefault="00B37580" w:rsidP="00B37580">
            <w:pPr>
              <w:jc w:val="right"/>
              <w:rPr>
                <w:rFonts w:ascii="Arial Narrow" w:hAnsi="Arial Narrow"/>
              </w:rPr>
            </w:pPr>
            <w:r w:rsidRPr="00B37580">
              <w:rPr>
                <w:rFonts w:ascii="Arial Narrow" w:hAnsi="Arial Narrow"/>
              </w:rPr>
              <w:t>0</w:t>
            </w:r>
          </w:p>
        </w:tc>
        <w:tc>
          <w:tcPr>
            <w:tcW w:w="870" w:type="dxa"/>
            <w:tcBorders>
              <w:top w:val="nil"/>
              <w:left w:val="nil"/>
              <w:bottom w:val="single" w:sz="4" w:space="0" w:color="auto"/>
              <w:right w:val="single" w:sz="4" w:space="0" w:color="auto"/>
            </w:tcBorders>
            <w:vAlign w:val="center"/>
          </w:tcPr>
          <w:p w:rsidR="00B37580" w:rsidRPr="00B37580" w:rsidRDefault="00B37580" w:rsidP="00B37580">
            <w:pPr>
              <w:jc w:val="right"/>
              <w:rPr>
                <w:rFonts w:ascii="Arial Narrow" w:hAnsi="Arial Narrow"/>
              </w:rPr>
            </w:pPr>
            <w:r w:rsidRPr="00B37580">
              <w:rPr>
                <w:rFonts w:ascii="Arial Narrow" w:hAnsi="Arial Narrow"/>
              </w:rPr>
              <w:t>0</w:t>
            </w:r>
          </w:p>
        </w:tc>
        <w:tc>
          <w:tcPr>
            <w:tcW w:w="870" w:type="dxa"/>
            <w:tcBorders>
              <w:top w:val="nil"/>
              <w:left w:val="nil"/>
              <w:bottom w:val="single" w:sz="4" w:space="0" w:color="auto"/>
              <w:right w:val="single" w:sz="4" w:space="0" w:color="auto"/>
            </w:tcBorders>
            <w:vAlign w:val="center"/>
          </w:tcPr>
          <w:p w:rsidR="00B37580" w:rsidRPr="00B37580" w:rsidRDefault="00B37580" w:rsidP="00B37580">
            <w:pPr>
              <w:jc w:val="right"/>
              <w:rPr>
                <w:rFonts w:ascii="Arial Narrow" w:hAnsi="Arial Narrow"/>
              </w:rPr>
            </w:pPr>
            <w:r w:rsidRPr="00B37580">
              <w:rPr>
                <w:rFonts w:ascii="Arial Narrow" w:hAnsi="Arial Narrow"/>
              </w:rPr>
              <w:t>0</w:t>
            </w:r>
          </w:p>
        </w:tc>
        <w:tc>
          <w:tcPr>
            <w:tcW w:w="1398" w:type="dxa"/>
            <w:gridSpan w:val="2"/>
            <w:tcBorders>
              <w:top w:val="nil"/>
              <w:left w:val="nil"/>
              <w:bottom w:val="single" w:sz="4" w:space="0" w:color="auto"/>
              <w:right w:val="single" w:sz="4" w:space="0" w:color="auto"/>
            </w:tcBorders>
            <w:noWrap/>
            <w:vAlign w:val="bottom"/>
          </w:tcPr>
          <w:p w:rsidR="00B37580" w:rsidRPr="00B37580" w:rsidRDefault="00B37580" w:rsidP="00B37580">
            <w:pPr>
              <w:rPr>
                <w:sz w:val="24"/>
                <w:szCs w:val="24"/>
              </w:rPr>
            </w:pPr>
            <w:r w:rsidRPr="00B37580">
              <w:rPr>
                <w:sz w:val="24"/>
                <w:szCs w:val="24"/>
              </w:rPr>
              <w:t> </w:t>
            </w:r>
          </w:p>
        </w:tc>
      </w:tr>
      <w:tr w:rsidR="00B37580" w:rsidRPr="00B37580" w:rsidTr="008046BF">
        <w:trPr>
          <w:trHeight w:val="255"/>
        </w:trPr>
        <w:tc>
          <w:tcPr>
            <w:tcW w:w="3961" w:type="dxa"/>
            <w:tcBorders>
              <w:top w:val="nil"/>
              <w:left w:val="single" w:sz="4" w:space="0" w:color="auto"/>
              <w:bottom w:val="single" w:sz="4" w:space="0" w:color="auto"/>
              <w:right w:val="single" w:sz="4" w:space="0" w:color="auto"/>
            </w:tcBorders>
          </w:tcPr>
          <w:p w:rsidR="00B37580" w:rsidRPr="00B37580" w:rsidRDefault="00B37580" w:rsidP="00B37580">
            <w:pPr>
              <w:rPr>
                <w:b/>
                <w:bCs/>
              </w:rPr>
            </w:pPr>
            <w:r w:rsidRPr="00B37580">
              <w:rPr>
                <w:b/>
                <w:bCs/>
              </w:rPr>
              <w:t>Výdavky z transakcií s finančnými aktívami a finančnými pasívami (800)</w:t>
            </w:r>
          </w:p>
        </w:tc>
        <w:tc>
          <w:tcPr>
            <w:tcW w:w="1093" w:type="dxa"/>
            <w:tcBorders>
              <w:top w:val="nil"/>
              <w:left w:val="nil"/>
              <w:bottom w:val="single" w:sz="4" w:space="0" w:color="auto"/>
              <w:right w:val="single" w:sz="4" w:space="0" w:color="auto"/>
            </w:tcBorders>
            <w:shd w:val="clear" w:color="auto" w:fill="FFFF99"/>
            <w:vAlign w:val="center"/>
          </w:tcPr>
          <w:p w:rsidR="00B37580" w:rsidRPr="00B37580" w:rsidRDefault="00B37580" w:rsidP="00B37580">
            <w:pPr>
              <w:jc w:val="right"/>
              <w:rPr>
                <w:rFonts w:ascii="Arial Narrow" w:hAnsi="Arial Narrow"/>
                <w:b/>
                <w:bCs/>
              </w:rPr>
            </w:pPr>
            <w:r w:rsidRPr="00B37580">
              <w:rPr>
                <w:rFonts w:ascii="Arial Narrow" w:hAnsi="Arial Narrow"/>
                <w:b/>
                <w:bCs/>
              </w:rPr>
              <w:t> 0</w:t>
            </w:r>
          </w:p>
        </w:tc>
        <w:tc>
          <w:tcPr>
            <w:tcW w:w="1092" w:type="dxa"/>
            <w:tcBorders>
              <w:top w:val="nil"/>
              <w:left w:val="nil"/>
              <w:bottom w:val="single" w:sz="4" w:space="0" w:color="auto"/>
              <w:right w:val="single" w:sz="4" w:space="0" w:color="auto"/>
            </w:tcBorders>
            <w:shd w:val="clear" w:color="auto" w:fill="FFFF99"/>
            <w:vAlign w:val="center"/>
          </w:tcPr>
          <w:p w:rsidR="00B37580" w:rsidRPr="00B37580" w:rsidRDefault="00B37580" w:rsidP="00B37580">
            <w:pPr>
              <w:jc w:val="right"/>
              <w:rPr>
                <w:rFonts w:ascii="Arial Narrow" w:hAnsi="Arial Narrow"/>
                <w:b/>
                <w:bCs/>
              </w:rPr>
            </w:pPr>
            <w:r w:rsidRPr="00B37580">
              <w:rPr>
                <w:rFonts w:ascii="Arial Narrow" w:hAnsi="Arial Narrow"/>
                <w:b/>
                <w:bCs/>
              </w:rPr>
              <w:t> 0</w:t>
            </w:r>
          </w:p>
        </w:tc>
        <w:tc>
          <w:tcPr>
            <w:tcW w:w="870" w:type="dxa"/>
            <w:tcBorders>
              <w:top w:val="nil"/>
              <w:left w:val="nil"/>
              <w:bottom w:val="single" w:sz="4" w:space="0" w:color="auto"/>
              <w:right w:val="single" w:sz="4" w:space="0" w:color="auto"/>
            </w:tcBorders>
            <w:shd w:val="clear" w:color="auto" w:fill="FFFF99"/>
            <w:vAlign w:val="center"/>
          </w:tcPr>
          <w:p w:rsidR="00B37580" w:rsidRPr="00B37580" w:rsidRDefault="00B37580" w:rsidP="00B37580">
            <w:pPr>
              <w:jc w:val="right"/>
              <w:rPr>
                <w:rFonts w:ascii="Arial Narrow" w:hAnsi="Arial Narrow"/>
                <w:b/>
                <w:bCs/>
              </w:rPr>
            </w:pPr>
            <w:r w:rsidRPr="00B37580">
              <w:rPr>
                <w:rFonts w:ascii="Arial Narrow" w:hAnsi="Arial Narrow"/>
                <w:b/>
                <w:bCs/>
              </w:rPr>
              <w:t>0 </w:t>
            </w:r>
          </w:p>
        </w:tc>
        <w:tc>
          <w:tcPr>
            <w:tcW w:w="870" w:type="dxa"/>
            <w:tcBorders>
              <w:top w:val="nil"/>
              <w:left w:val="nil"/>
              <w:bottom w:val="single" w:sz="4" w:space="0" w:color="auto"/>
              <w:right w:val="single" w:sz="4" w:space="0" w:color="auto"/>
            </w:tcBorders>
            <w:shd w:val="clear" w:color="auto" w:fill="FFFF99"/>
            <w:vAlign w:val="center"/>
          </w:tcPr>
          <w:p w:rsidR="00B37580" w:rsidRPr="00B37580" w:rsidRDefault="00B37580" w:rsidP="00B37580">
            <w:pPr>
              <w:jc w:val="right"/>
              <w:rPr>
                <w:rFonts w:ascii="Arial Narrow" w:hAnsi="Arial Narrow"/>
                <w:b/>
                <w:bCs/>
              </w:rPr>
            </w:pPr>
            <w:r w:rsidRPr="00B37580">
              <w:rPr>
                <w:rFonts w:ascii="Arial Narrow" w:hAnsi="Arial Narrow"/>
                <w:b/>
                <w:bCs/>
              </w:rPr>
              <w:t>0 </w:t>
            </w:r>
          </w:p>
        </w:tc>
        <w:tc>
          <w:tcPr>
            <w:tcW w:w="1398" w:type="dxa"/>
            <w:gridSpan w:val="2"/>
            <w:tcBorders>
              <w:top w:val="nil"/>
              <w:left w:val="nil"/>
              <w:bottom w:val="single" w:sz="4" w:space="0" w:color="auto"/>
              <w:right w:val="single" w:sz="4" w:space="0" w:color="auto"/>
            </w:tcBorders>
            <w:noWrap/>
            <w:vAlign w:val="bottom"/>
          </w:tcPr>
          <w:p w:rsidR="00B37580" w:rsidRPr="00B37580" w:rsidRDefault="00B37580" w:rsidP="00B37580">
            <w:pPr>
              <w:rPr>
                <w:sz w:val="24"/>
                <w:szCs w:val="24"/>
              </w:rPr>
            </w:pPr>
            <w:r w:rsidRPr="00B37580">
              <w:rPr>
                <w:sz w:val="24"/>
                <w:szCs w:val="24"/>
              </w:rPr>
              <w:t> </w:t>
            </w:r>
          </w:p>
        </w:tc>
      </w:tr>
      <w:tr w:rsidR="00B37580" w:rsidRPr="00B37580" w:rsidTr="008046BF">
        <w:trPr>
          <w:trHeight w:val="255"/>
        </w:trPr>
        <w:tc>
          <w:tcPr>
            <w:tcW w:w="3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37580" w:rsidRPr="00B37580" w:rsidRDefault="00B37580" w:rsidP="00B37580">
            <w:pPr>
              <w:rPr>
                <w:b/>
                <w:bCs/>
              </w:rPr>
            </w:pPr>
            <w:r w:rsidRPr="00B37580">
              <w:rPr>
                <w:b/>
                <w:bCs/>
              </w:rPr>
              <w:t>Dopad na výdavky verejnej správy celkom</w:t>
            </w:r>
          </w:p>
        </w:tc>
        <w:tc>
          <w:tcPr>
            <w:tcW w:w="1093"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B37580" w:rsidRPr="00B37580" w:rsidRDefault="00B37580" w:rsidP="00B37580">
            <w:pPr>
              <w:jc w:val="right"/>
              <w:rPr>
                <w:rFonts w:ascii="Arial Narrow" w:hAnsi="Arial Narrow" w:cs="Calibri"/>
                <w:b/>
                <w:lang w:eastAsia="en-US"/>
              </w:rPr>
            </w:pPr>
            <w:r w:rsidRPr="00B37580">
              <w:rPr>
                <w:rFonts w:ascii="Arial Narrow" w:hAnsi="Arial Narrow" w:cs="Calibri"/>
                <w:b/>
                <w:lang w:eastAsia="en-US"/>
              </w:rPr>
              <w:t xml:space="preserve">-1.153.606 </w:t>
            </w:r>
          </w:p>
        </w:tc>
        <w:tc>
          <w:tcPr>
            <w:tcW w:w="1092"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B37580" w:rsidRPr="00B37580" w:rsidRDefault="00B37580" w:rsidP="00B37580">
            <w:pPr>
              <w:jc w:val="right"/>
              <w:rPr>
                <w:rFonts w:ascii="Arial Narrow" w:hAnsi="Arial Narrow" w:cs="Calibri"/>
                <w:b/>
                <w:bCs/>
                <w:lang w:eastAsia="en-US"/>
              </w:rPr>
            </w:pPr>
            <w:r w:rsidRPr="00B37580">
              <w:rPr>
                <w:rFonts w:ascii="Arial Narrow" w:hAnsi="Arial Narrow" w:cs="Calibri"/>
                <w:b/>
                <w:bCs/>
                <w:lang w:eastAsia="en-US"/>
              </w:rPr>
              <w:t xml:space="preserve">-1.905.623 </w:t>
            </w:r>
          </w:p>
        </w:tc>
        <w:tc>
          <w:tcPr>
            <w:tcW w:w="870"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B37580" w:rsidRPr="00B37580" w:rsidRDefault="00B37580" w:rsidP="00B37580">
            <w:pPr>
              <w:rPr>
                <w:rFonts w:ascii="Arial Narrow" w:hAnsi="Arial Narrow" w:cs="Calibri"/>
                <w:b/>
                <w:bCs/>
                <w:lang w:eastAsia="en-US"/>
              </w:rPr>
            </w:pPr>
            <w:r w:rsidRPr="00B37580">
              <w:rPr>
                <w:rFonts w:ascii="Arial Narrow" w:hAnsi="Arial Narrow" w:cs="Calibri"/>
                <w:b/>
                <w:bCs/>
                <w:lang w:eastAsia="en-US"/>
              </w:rPr>
              <w:t xml:space="preserve">- 1.472.653 </w:t>
            </w:r>
          </w:p>
        </w:tc>
        <w:tc>
          <w:tcPr>
            <w:tcW w:w="870"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B37580" w:rsidRPr="00B37580" w:rsidRDefault="00B37580" w:rsidP="00B37580">
            <w:pPr>
              <w:rPr>
                <w:rFonts w:ascii="Arial Narrow" w:hAnsi="Arial Narrow" w:cs="Calibri"/>
                <w:b/>
                <w:bCs/>
                <w:lang w:eastAsia="en-US"/>
              </w:rPr>
            </w:pPr>
            <w:r w:rsidRPr="00B37580">
              <w:rPr>
                <w:rFonts w:ascii="Arial Narrow" w:hAnsi="Arial Narrow" w:cs="Calibri"/>
                <w:b/>
                <w:bCs/>
                <w:lang w:eastAsia="en-US"/>
              </w:rPr>
              <w:t xml:space="preserve">- 1.436.582 </w:t>
            </w:r>
          </w:p>
        </w:tc>
        <w:tc>
          <w:tcPr>
            <w:tcW w:w="139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B37580" w:rsidRPr="00B37580" w:rsidRDefault="00B37580" w:rsidP="00B37580">
            <w:pPr>
              <w:rPr>
                <w:color w:val="FF0000"/>
                <w:sz w:val="24"/>
                <w:szCs w:val="24"/>
              </w:rPr>
            </w:pPr>
            <w:r w:rsidRPr="00B37580">
              <w:rPr>
                <w:color w:val="FF0000"/>
                <w:sz w:val="24"/>
                <w:szCs w:val="24"/>
              </w:rPr>
              <w:t> </w:t>
            </w:r>
          </w:p>
        </w:tc>
      </w:tr>
    </w:tbl>
    <w:p w:rsidR="00B37580" w:rsidRPr="00B37580" w:rsidRDefault="00B37580" w:rsidP="00B37580">
      <w:pPr>
        <w:framePr w:w="9080" w:wrap="auto" w:hAnchor="text"/>
        <w:jc w:val="both"/>
        <w:rPr>
          <w:bCs/>
          <w:sz w:val="24"/>
        </w:rPr>
        <w:sectPr w:rsidR="00B37580" w:rsidRPr="00B37580" w:rsidSect="00F976E5">
          <w:headerReference w:type="even" r:id="rId10"/>
          <w:footerReference w:type="even" r:id="rId11"/>
          <w:headerReference w:type="first" r:id="rId12"/>
          <w:footerReference w:type="first" r:id="rId13"/>
          <w:pgSz w:w="11906" w:h="16838"/>
          <w:pgMar w:top="1134" w:right="992" w:bottom="851" w:left="1276" w:header="709" w:footer="709" w:gutter="0"/>
          <w:pgNumType w:start="1"/>
          <w:cols w:space="708"/>
          <w:docGrid w:linePitch="360"/>
        </w:sectPr>
      </w:pPr>
    </w:p>
    <w:p w:rsidR="00B37580" w:rsidRPr="00B37580" w:rsidRDefault="00B37580" w:rsidP="00B37580">
      <w:pPr>
        <w:jc w:val="right"/>
        <w:rPr>
          <w:bCs/>
          <w:sz w:val="24"/>
          <w:szCs w:val="24"/>
        </w:rPr>
      </w:pPr>
      <w:r w:rsidRPr="00B37580">
        <w:rPr>
          <w:bCs/>
          <w:sz w:val="24"/>
          <w:szCs w:val="24"/>
        </w:rPr>
        <w:lastRenderedPageBreak/>
        <w:t xml:space="preserve">                 Tabuľka č. 5</w:t>
      </w: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2418"/>
        <w:gridCol w:w="1722"/>
        <w:gridCol w:w="1620"/>
      </w:tblGrid>
      <w:tr w:rsidR="00B37580" w:rsidRPr="00B37580" w:rsidTr="008046BF">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37580" w:rsidRPr="00B37580" w:rsidRDefault="00B37580" w:rsidP="00B37580">
            <w:pPr>
              <w:jc w:val="center"/>
              <w:rPr>
                <w:b/>
                <w:bCs/>
                <w:sz w:val="24"/>
                <w:szCs w:val="24"/>
              </w:rPr>
            </w:pPr>
            <w:r w:rsidRPr="00B37580">
              <w:rPr>
                <w:b/>
                <w:bCs/>
                <w:sz w:val="24"/>
                <w:szCs w:val="24"/>
              </w:rPr>
              <w:t>Zamestnanosť</w:t>
            </w:r>
          </w:p>
        </w:tc>
        <w:tc>
          <w:tcPr>
            <w:tcW w:w="7626"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B37580" w:rsidRPr="00B37580" w:rsidRDefault="00B37580" w:rsidP="00B37580">
            <w:pPr>
              <w:jc w:val="center"/>
              <w:rPr>
                <w:b/>
                <w:bCs/>
                <w:sz w:val="24"/>
                <w:szCs w:val="24"/>
              </w:rPr>
            </w:pPr>
            <w:r w:rsidRPr="00B37580">
              <w:rPr>
                <w:b/>
                <w:bCs/>
                <w:sz w:val="24"/>
                <w:szCs w:val="24"/>
              </w:rPr>
              <w:t>Vplyv na rozpočet verejnej správy</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37580" w:rsidRPr="00B37580" w:rsidRDefault="00B37580" w:rsidP="00B37580">
            <w:pPr>
              <w:jc w:val="center"/>
              <w:rPr>
                <w:b/>
                <w:bCs/>
                <w:sz w:val="24"/>
                <w:szCs w:val="24"/>
              </w:rPr>
            </w:pPr>
            <w:r w:rsidRPr="00B37580">
              <w:rPr>
                <w:b/>
                <w:bCs/>
                <w:sz w:val="24"/>
                <w:szCs w:val="24"/>
              </w:rPr>
              <w:t>poznámka</w:t>
            </w:r>
          </w:p>
        </w:tc>
      </w:tr>
      <w:tr w:rsidR="00B37580" w:rsidRPr="00B37580" w:rsidTr="008046BF">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37580" w:rsidRPr="00B37580" w:rsidRDefault="00B37580" w:rsidP="00B37580">
            <w:pPr>
              <w:rPr>
                <w:b/>
                <w:bCs/>
                <w:sz w:val="24"/>
                <w:szCs w:val="24"/>
              </w:rPr>
            </w:pPr>
          </w:p>
        </w:tc>
        <w:tc>
          <w:tcPr>
            <w:tcW w:w="1698" w:type="dxa"/>
            <w:tcBorders>
              <w:top w:val="nil"/>
              <w:left w:val="nil"/>
              <w:bottom w:val="single" w:sz="4" w:space="0" w:color="auto"/>
              <w:right w:val="single" w:sz="4" w:space="0" w:color="auto"/>
            </w:tcBorders>
            <w:shd w:val="clear" w:color="auto" w:fill="BFBFBF" w:themeFill="background1" w:themeFillShade="BF"/>
          </w:tcPr>
          <w:p w:rsidR="00B37580" w:rsidRPr="00B37580" w:rsidRDefault="00B37580" w:rsidP="00B37580">
            <w:pPr>
              <w:jc w:val="center"/>
              <w:rPr>
                <w:b/>
                <w:bCs/>
                <w:sz w:val="24"/>
                <w:szCs w:val="24"/>
              </w:rPr>
            </w:pPr>
            <w:r w:rsidRPr="00B37580">
              <w:rPr>
                <w:b/>
                <w:bCs/>
                <w:sz w:val="24"/>
                <w:szCs w:val="24"/>
              </w:rPr>
              <w:t>2019</w:t>
            </w:r>
          </w:p>
        </w:tc>
        <w:tc>
          <w:tcPr>
            <w:tcW w:w="1788" w:type="dxa"/>
            <w:tcBorders>
              <w:top w:val="nil"/>
              <w:left w:val="nil"/>
              <w:bottom w:val="single" w:sz="4" w:space="0" w:color="auto"/>
              <w:right w:val="single" w:sz="4" w:space="0" w:color="auto"/>
            </w:tcBorders>
            <w:shd w:val="clear" w:color="auto" w:fill="BFBFBF" w:themeFill="background1" w:themeFillShade="BF"/>
          </w:tcPr>
          <w:p w:rsidR="00B37580" w:rsidRPr="00B37580" w:rsidRDefault="00B37580" w:rsidP="00B37580">
            <w:pPr>
              <w:jc w:val="center"/>
              <w:rPr>
                <w:b/>
                <w:bCs/>
                <w:sz w:val="24"/>
                <w:szCs w:val="24"/>
              </w:rPr>
            </w:pPr>
            <w:r w:rsidRPr="00B37580">
              <w:rPr>
                <w:b/>
                <w:bCs/>
                <w:sz w:val="24"/>
                <w:szCs w:val="24"/>
              </w:rPr>
              <w:t>2020</w:t>
            </w:r>
          </w:p>
        </w:tc>
        <w:tc>
          <w:tcPr>
            <w:tcW w:w="2418" w:type="dxa"/>
            <w:tcBorders>
              <w:top w:val="nil"/>
              <w:left w:val="nil"/>
              <w:bottom w:val="single" w:sz="4" w:space="0" w:color="auto"/>
              <w:right w:val="single" w:sz="4" w:space="0" w:color="auto"/>
            </w:tcBorders>
            <w:shd w:val="clear" w:color="auto" w:fill="BFBFBF" w:themeFill="background1" w:themeFillShade="BF"/>
          </w:tcPr>
          <w:p w:rsidR="00B37580" w:rsidRPr="00B37580" w:rsidRDefault="00B37580" w:rsidP="00B37580">
            <w:pPr>
              <w:jc w:val="center"/>
              <w:rPr>
                <w:b/>
                <w:bCs/>
                <w:sz w:val="24"/>
                <w:szCs w:val="24"/>
              </w:rPr>
            </w:pPr>
            <w:r w:rsidRPr="00B37580">
              <w:rPr>
                <w:b/>
                <w:bCs/>
                <w:sz w:val="24"/>
                <w:szCs w:val="24"/>
              </w:rPr>
              <w:t>2021</w:t>
            </w:r>
          </w:p>
        </w:tc>
        <w:tc>
          <w:tcPr>
            <w:tcW w:w="1722" w:type="dxa"/>
            <w:tcBorders>
              <w:top w:val="nil"/>
              <w:left w:val="nil"/>
              <w:bottom w:val="single" w:sz="4" w:space="0" w:color="auto"/>
              <w:right w:val="single" w:sz="4" w:space="0" w:color="auto"/>
            </w:tcBorders>
            <w:shd w:val="clear" w:color="auto" w:fill="BFBFBF" w:themeFill="background1" w:themeFillShade="BF"/>
          </w:tcPr>
          <w:p w:rsidR="00B37580" w:rsidRPr="00B37580" w:rsidRDefault="00B37580" w:rsidP="00B37580">
            <w:pPr>
              <w:jc w:val="center"/>
              <w:rPr>
                <w:b/>
                <w:bCs/>
                <w:sz w:val="24"/>
                <w:szCs w:val="24"/>
              </w:rPr>
            </w:pPr>
            <w:r w:rsidRPr="00B37580">
              <w:rPr>
                <w:b/>
                <w:bCs/>
                <w:sz w:val="24"/>
                <w:szCs w:val="24"/>
              </w:rPr>
              <w:t>2022</w:t>
            </w:r>
          </w:p>
        </w:tc>
        <w:tc>
          <w:tcPr>
            <w:tcW w:w="162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37580" w:rsidRPr="00B37580" w:rsidRDefault="00B37580" w:rsidP="00B37580">
            <w:pPr>
              <w:rPr>
                <w:b/>
                <w:bCs/>
                <w:color w:val="FFFFFF"/>
                <w:sz w:val="24"/>
                <w:szCs w:val="24"/>
              </w:rPr>
            </w:pPr>
          </w:p>
        </w:tc>
      </w:tr>
      <w:tr w:rsidR="00B37580" w:rsidRPr="00B37580" w:rsidTr="008046BF">
        <w:trPr>
          <w:trHeight w:val="255"/>
        </w:trPr>
        <w:tc>
          <w:tcPr>
            <w:tcW w:w="6188" w:type="dxa"/>
            <w:tcBorders>
              <w:top w:val="nil"/>
              <w:left w:val="single" w:sz="4" w:space="0" w:color="auto"/>
              <w:bottom w:val="single" w:sz="4" w:space="0" w:color="auto"/>
              <w:right w:val="single" w:sz="4" w:space="0" w:color="auto"/>
            </w:tcBorders>
          </w:tcPr>
          <w:p w:rsidR="00B37580" w:rsidRPr="00B37580" w:rsidRDefault="00B37580" w:rsidP="00B37580">
            <w:pPr>
              <w:rPr>
                <w:b/>
                <w:bCs/>
                <w:sz w:val="24"/>
                <w:szCs w:val="24"/>
              </w:rPr>
            </w:pPr>
            <w:r w:rsidRPr="00B37580">
              <w:rPr>
                <w:b/>
                <w:bCs/>
                <w:sz w:val="24"/>
                <w:szCs w:val="24"/>
              </w:rPr>
              <w:t>Počet zamestnancov celkom</w:t>
            </w:r>
          </w:p>
        </w:tc>
        <w:tc>
          <w:tcPr>
            <w:tcW w:w="1698" w:type="dxa"/>
            <w:tcBorders>
              <w:top w:val="nil"/>
              <w:left w:val="nil"/>
              <w:bottom w:val="single" w:sz="4" w:space="0" w:color="auto"/>
              <w:right w:val="single" w:sz="4" w:space="0" w:color="auto"/>
            </w:tcBorders>
          </w:tcPr>
          <w:p w:rsidR="00B37580" w:rsidRPr="00B37580" w:rsidRDefault="00B37580" w:rsidP="00B37580">
            <w:pPr>
              <w:jc w:val="center"/>
              <w:rPr>
                <w:b/>
                <w:bCs/>
                <w:sz w:val="24"/>
                <w:szCs w:val="24"/>
              </w:rPr>
            </w:pPr>
            <w:r w:rsidRPr="00B37580">
              <w:rPr>
                <w:b/>
                <w:bCs/>
                <w:sz w:val="24"/>
                <w:szCs w:val="24"/>
              </w:rPr>
              <w:t>0</w:t>
            </w:r>
          </w:p>
        </w:tc>
        <w:tc>
          <w:tcPr>
            <w:tcW w:w="1788" w:type="dxa"/>
            <w:tcBorders>
              <w:top w:val="nil"/>
              <w:left w:val="nil"/>
              <w:bottom w:val="single" w:sz="4" w:space="0" w:color="auto"/>
              <w:right w:val="single" w:sz="4" w:space="0" w:color="auto"/>
            </w:tcBorders>
          </w:tcPr>
          <w:p w:rsidR="00B37580" w:rsidRPr="00B37580" w:rsidRDefault="00B37580" w:rsidP="00B37580">
            <w:pPr>
              <w:jc w:val="center"/>
              <w:rPr>
                <w:b/>
                <w:bCs/>
                <w:sz w:val="24"/>
                <w:szCs w:val="24"/>
              </w:rPr>
            </w:pPr>
            <w:r w:rsidRPr="00B37580">
              <w:rPr>
                <w:b/>
                <w:bCs/>
                <w:sz w:val="24"/>
                <w:szCs w:val="24"/>
              </w:rPr>
              <w:t>0</w:t>
            </w:r>
          </w:p>
        </w:tc>
        <w:tc>
          <w:tcPr>
            <w:tcW w:w="2418" w:type="dxa"/>
            <w:tcBorders>
              <w:top w:val="nil"/>
              <w:left w:val="nil"/>
              <w:bottom w:val="single" w:sz="4" w:space="0" w:color="auto"/>
              <w:right w:val="single" w:sz="4" w:space="0" w:color="auto"/>
            </w:tcBorders>
          </w:tcPr>
          <w:p w:rsidR="00B37580" w:rsidRPr="00B37580" w:rsidRDefault="00B37580" w:rsidP="00B37580">
            <w:pPr>
              <w:jc w:val="center"/>
              <w:rPr>
                <w:b/>
                <w:bCs/>
                <w:sz w:val="24"/>
                <w:szCs w:val="24"/>
              </w:rPr>
            </w:pPr>
            <w:r w:rsidRPr="00B37580">
              <w:rPr>
                <w:b/>
                <w:bCs/>
                <w:sz w:val="24"/>
                <w:szCs w:val="24"/>
              </w:rPr>
              <w:t>0</w:t>
            </w:r>
          </w:p>
        </w:tc>
        <w:tc>
          <w:tcPr>
            <w:tcW w:w="1722" w:type="dxa"/>
            <w:tcBorders>
              <w:top w:val="nil"/>
              <w:left w:val="nil"/>
              <w:bottom w:val="single" w:sz="4" w:space="0" w:color="auto"/>
              <w:right w:val="single" w:sz="4" w:space="0" w:color="auto"/>
            </w:tcBorders>
          </w:tcPr>
          <w:p w:rsidR="00B37580" w:rsidRPr="00B37580" w:rsidRDefault="00B37580" w:rsidP="00B37580">
            <w:pPr>
              <w:jc w:val="center"/>
              <w:rPr>
                <w:b/>
                <w:bCs/>
                <w:sz w:val="24"/>
                <w:szCs w:val="24"/>
              </w:rPr>
            </w:pPr>
            <w:r w:rsidRPr="00B37580">
              <w:rPr>
                <w:b/>
                <w:bCs/>
                <w:sz w:val="24"/>
                <w:szCs w:val="24"/>
              </w:rPr>
              <w:t>0</w:t>
            </w:r>
          </w:p>
        </w:tc>
        <w:tc>
          <w:tcPr>
            <w:tcW w:w="1620" w:type="dxa"/>
            <w:tcBorders>
              <w:top w:val="nil"/>
              <w:left w:val="nil"/>
              <w:bottom w:val="single" w:sz="4" w:space="0" w:color="auto"/>
              <w:right w:val="single" w:sz="4" w:space="0" w:color="auto"/>
            </w:tcBorders>
            <w:noWrap/>
            <w:vAlign w:val="bottom"/>
          </w:tcPr>
          <w:p w:rsidR="00B37580" w:rsidRPr="00B37580" w:rsidRDefault="00B37580" w:rsidP="00B37580">
            <w:pPr>
              <w:rPr>
                <w:sz w:val="24"/>
                <w:szCs w:val="24"/>
              </w:rPr>
            </w:pPr>
            <w:r w:rsidRPr="00B37580">
              <w:rPr>
                <w:sz w:val="24"/>
                <w:szCs w:val="24"/>
              </w:rPr>
              <w:t> </w:t>
            </w:r>
          </w:p>
        </w:tc>
      </w:tr>
      <w:tr w:rsidR="00B37580" w:rsidRPr="00B37580" w:rsidTr="008046BF">
        <w:trPr>
          <w:trHeight w:val="255"/>
        </w:trPr>
        <w:tc>
          <w:tcPr>
            <w:tcW w:w="6188" w:type="dxa"/>
            <w:tcBorders>
              <w:top w:val="nil"/>
              <w:left w:val="single" w:sz="4" w:space="0" w:color="auto"/>
              <w:bottom w:val="single" w:sz="4" w:space="0" w:color="auto"/>
              <w:right w:val="single" w:sz="4" w:space="0" w:color="auto"/>
            </w:tcBorders>
          </w:tcPr>
          <w:p w:rsidR="00B37580" w:rsidRPr="00B37580" w:rsidRDefault="00B37580" w:rsidP="00B37580">
            <w:pPr>
              <w:rPr>
                <w:b/>
                <w:bCs/>
                <w:sz w:val="24"/>
                <w:szCs w:val="24"/>
              </w:rPr>
            </w:pPr>
            <w:r w:rsidRPr="00B37580">
              <w:rPr>
                <w:b/>
                <w:bCs/>
                <w:sz w:val="24"/>
                <w:szCs w:val="24"/>
              </w:rPr>
              <w:t xml:space="preserve">   z toho vplyv na ŠR</w:t>
            </w:r>
          </w:p>
        </w:tc>
        <w:tc>
          <w:tcPr>
            <w:tcW w:w="1698" w:type="dxa"/>
            <w:tcBorders>
              <w:top w:val="single" w:sz="4" w:space="0" w:color="auto"/>
              <w:left w:val="nil"/>
              <w:bottom w:val="single" w:sz="4" w:space="0" w:color="auto"/>
              <w:right w:val="single" w:sz="4" w:space="0" w:color="auto"/>
            </w:tcBorders>
          </w:tcPr>
          <w:p w:rsidR="00B37580" w:rsidRPr="00B37580" w:rsidRDefault="00B37580" w:rsidP="00B37580">
            <w:pPr>
              <w:jc w:val="center"/>
              <w:rPr>
                <w:b/>
                <w:bCs/>
                <w:sz w:val="24"/>
                <w:szCs w:val="24"/>
              </w:rPr>
            </w:pPr>
            <w:r w:rsidRPr="00B37580">
              <w:rPr>
                <w:b/>
                <w:bCs/>
                <w:sz w:val="24"/>
                <w:szCs w:val="24"/>
              </w:rPr>
              <w:t>0</w:t>
            </w:r>
          </w:p>
        </w:tc>
        <w:tc>
          <w:tcPr>
            <w:tcW w:w="1788" w:type="dxa"/>
            <w:tcBorders>
              <w:top w:val="single" w:sz="4" w:space="0" w:color="auto"/>
              <w:left w:val="nil"/>
              <w:bottom w:val="single" w:sz="4" w:space="0" w:color="auto"/>
              <w:right w:val="single" w:sz="4" w:space="0" w:color="auto"/>
            </w:tcBorders>
          </w:tcPr>
          <w:p w:rsidR="00B37580" w:rsidRPr="00B37580" w:rsidRDefault="00B37580" w:rsidP="00B37580">
            <w:pPr>
              <w:jc w:val="center"/>
              <w:rPr>
                <w:b/>
                <w:bCs/>
                <w:sz w:val="24"/>
                <w:szCs w:val="24"/>
              </w:rPr>
            </w:pPr>
            <w:r w:rsidRPr="00B37580">
              <w:rPr>
                <w:b/>
                <w:bCs/>
                <w:sz w:val="24"/>
                <w:szCs w:val="24"/>
              </w:rPr>
              <w:t>0</w:t>
            </w:r>
          </w:p>
        </w:tc>
        <w:tc>
          <w:tcPr>
            <w:tcW w:w="2418" w:type="dxa"/>
            <w:tcBorders>
              <w:top w:val="single" w:sz="4" w:space="0" w:color="auto"/>
              <w:left w:val="nil"/>
              <w:bottom w:val="single" w:sz="4" w:space="0" w:color="auto"/>
              <w:right w:val="single" w:sz="4" w:space="0" w:color="auto"/>
            </w:tcBorders>
          </w:tcPr>
          <w:p w:rsidR="00B37580" w:rsidRPr="00B37580" w:rsidRDefault="00B37580" w:rsidP="00B37580">
            <w:pPr>
              <w:jc w:val="center"/>
              <w:rPr>
                <w:b/>
                <w:bCs/>
                <w:sz w:val="24"/>
                <w:szCs w:val="24"/>
              </w:rPr>
            </w:pPr>
            <w:r w:rsidRPr="00B37580">
              <w:rPr>
                <w:b/>
                <w:bCs/>
                <w:sz w:val="24"/>
                <w:szCs w:val="24"/>
              </w:rPr>
              <w:t>0</w:t>
            </w:r>
          </w:p>
        </w:tc>
        <w:tc>
          <w:tcPr>
            <w:tcW w:w="1722" w:type="dxa"/>
            <w:tcBorders>
              <w:top w:val="single" w:sz="4" w:space="0" w:color="auto"/>
              <w:left w:val="nil"/>
              <w:bottom w:val="single" w:sz="4" w:space="0" w:color="auto"/>
              <w:right w:val="single" w:sz="4" w:space="0" w:color="auto"/>
            </w:tcBorders>
          </w:tcPr>
          <w:p w:rsidR="00B37580" w:rsidRPr="00B37580" w:rsidRDefault="00B37580" w:rsidP="00B37580">
            <w:pPr>
              <w:jc w:val="center"/>
              <w:rPr>
                <w:b/>
                <w:bCs/>
                <w:sz w:val="24"/>
                <w:szCs w:val="24"/>
              </w:rPr>
            </w:pPr>
            <w:r w:rsidRPr="00B37580">
              <w:rPr>
                <w:b/>
                <w:bCs/>
                <w:sz w:val="24"/>
                <w:szCs w:val="24"/>
              </w:rPr>
              <w:t>0</w:t>
            </w:r>
          </w:p>
        </w:tc>
        <w:tc>
          <w:tcPr>
            <w:tcW w:w="1620" w:type="dxa"/>
            <w:tcBorders>
              <w:top w:val="nil"/>
              <w:left w:val="nil"/>
              <w:bottom w:val="single" w:sz="4" w:space="0" w:color="auto"/>
              <w:right w:val="single" w:sz="4" w:space="0" w:color="auto"/>
            </w:tcBorders>
            <w:noWrap/>
            <w:vAlign w:val="bottom"/>
          </w:tcPr>
          <w:p w:rsidR="00B37580" w:rsidRPr="00B37580" w:rsidRDefault="00B37580" w:rsidP="00B37580">
            <w:pPr>
              <w:rPr>
                <w:sz w:val="24"/>
                <w:szCs w:val="24"/>
              </w:rPr>
            </w:pPr>
          </w:p>
        </w:tc>
      </w:tr>
      <w:tr w:rsidR="00B37580" w:rsidRPr="00B37580" w:rsidTr="008046BF">
        <w:trPr>
          <w:trHeight w:val="255"/>
        </w:trPr>
        <w:tc>
          <w:tcPr>
            <w:tcW w:w="6188" w:type="dxa"/>
            <w:tcBorders>
              <w:top w:val="nil"/>
              <w:left w:val="single" w:sz="4" w:space="0" w:color="auto"/>
              <w:bottom w:val="single" w:sz="4" w:space="0" w:color="auto"/>
              <w:right w:val="single" w:sz="4" w:space="0" w:color="auto"/>
            </w:tcBorders>
          </w:tcPr>
          <w:p w:rsidR="00B37580" w:rsidRPr="00B37580" w:rsidRDefault="00B37580" w:rsidP="00B37580">
            <w:pPr>
              <w:rPr>
                <w:b/>
                <w:bCs/>
                <w:sz w:val="24"/>
                <w:szCs w:val="24"/>
              </w:rPr>
            </w:pPr>
            <w:r w:rsidRPr="00B37580">
              <w:rPr>
                <w:b/>
                <w:bCs/>
                <w:sz w:val="24"/>
                <w:szCs w:val="24"/>
              </w:rPr>
              <w:t>Priemerný mzdový výdavok (v eurách)</w:t>
            </w:r>
          </w:p>
        </w:tc>
        <w:tc>
          <w:tcPr>
            <w:tcW w:w="1698" w:type="dxa"/>
            <w:tcBorders>
              <w:top w:val="single" w:sz="4" w:space="0" w:color="auto"/>
              <w:left w:val="nil"/>
              <w:bottom w:val="single" w:sz="4" w:space="0" w:color="auto"/>
              <w:right w:val="single" w:sz="4" w:space="0" w:color="auto"/>
            </w:tcBorders>
          </w:tcPr>
          <w:p w:rsidR="00B37580" w:rsidRPr="00B37580" w:rsidRDefault="00B37580" w:rsidP="00B37580">
            <w:pPr>
              <w:jc w:val="center"/>
              <w:rPr>
                <w:b/>
                <w:bCs/>
                <w:sz w:val="24"/>
                <w:szCs w:val="24"/>
              </w:rPr>
            </w:pPr>
            <w:r w:rsidRPr="00B37580">
              <w:rPr>
                <w:b/>
                <w:bCs/>
                <w:sz w:val="24"/>
                <w:szCs w:val="24"/>
              </w:rPr>
              <w:t>0</w:t>
            </w:r>
          </w:p>
        </w:tc>
        <w:tc>
          <w:tcPr>
            <w:tcW w:w="1788" w:type="dxa"/>
            <w:tcBorders>
              <w:top w:val="single" w:sz="4" w:space="0" w:color="auto"/>
              <w:left w:val="nil"/>
              <w:bottom w:val="single" w:sz="4" w:space="0" w:color="auto"/>
              <w:right w:val="single" w:sz="4" w:space="0" w:color="auto"/>
            </w:tcBorders>
          </w:tcPr>
          <w:p w:rsidR="00B37580" w:rsidRPr="00B37580" w:rsidRDefault="00B37580" w:rsidP="00B37580">
            <w:pPr>
              <w:jc w:val="center"/>
              <w:rPr>
                <w:b/>
                <w:bCs/>
                <w:sz w:val="24"/>
                <w:szCs w:val="24"/>
              </w:rPr>
            </w:pPr>
            <w:r w:rsidRPr="00B37580">
              <w:rPr>
                <w:b/>
                <w:bCs/>
                <w:sz w:val="24"/>
                <w:szCs w:val="24"/>
              </w:rPr>
              <w:t>0</w:t>
            </w:r>
          </w:p>
        </w:tc>
        <w:tc>
          <w:tcPr>
            <w:tcW w:w="2418" w:type="dxa"/>
            <w:tcBorders>
              <w:top w:val="single" w:sz="4" w:space="0" w:color="auto"/>
              <w:left w:val="nil"/>
              <w:bottom w:val="single" w:sz="4" w:space="0" w:color="auto"/>
              <w:right w:val="single" w:sz="4" w:space="0" w:color="auto"/>
            </w:tcBorders>
          </w:tcPr>
          <w:p w:rsidR="00B37580" w:rsidRPr="00B37580" w:rsidRDefault="00B37580" w:rsidP="00B37580">
            <w:pPr>
              <w:jc w:val="center"/>
              <w:rPr>
                <w:b/>
                <w:bCs/>
                <w:sz w:val="24"/>
                <w:szCs w:val="24"/>
              </w:rPr>
            </w:pPr>
            <w:r w:rsidRPr="00B37580">
              <w:rPr>
                <w:b/>
                <w:bCs/>
                <w:sz w:val="24"/>
                <w:szCs w:val="24"/>
              </w:rPr>
              <w:t>0</w:t>
            </w:r>
          </w:p>
        </w:tc>
        <w:tc>
          <w:tcPr>
            <w:tcW w:w="1722" w:type="dxa"/>
            <w:tcBorders>
              <w:top w:val="single" w:sz="4" w:space="0" w:color="auto"/>
              <w:left w:val="nil"/>
              <w:bottom w:val="single" w:sz="4" w:space="0" w:color="auto"/>
              <w:right w:val="single" w:sz="4" w:space="0" w:color="auto"/>
            </w:tcBorders>
          </w:tcPr>
          <w:p w:rsidR="00B37580" w:rsidRPr="00B37580" w:rsidRDefault="00B37580" w:rsidP="00B37580">
            <w:pPr>
              <w:jc w:val="center"/>
              <w:rPr>
                <w:b/>
                <w:bCs/>
                <w:sz w:val="24"/>
                <w:szCs w:val="24"/>
              </w:rPr>
            </w:pPr>
            <w:r w:rsidRPr="00B37580">
              <w:rPr>
                <w:b/>
                <w:bCs/>
                <w:sz w:val="24"/>
                <w:szCs w:val="24"/>
              </w:rPr>
              <w:t>0</w:t>
            </w:r>
          </w:p>
        </w:tc>
        <w:tc>
          <w:tcPr>
            <w:tcW w:w="1620" w:type="dxa"/>
            <w:tcBorders>
              <w:top w:val="nil"/>
              <w:left w:val="nil"/>
              <w:bottom w:val="single" w:sz="4" w:space="0" w:color="auto"/>
              <w:right w:val="single" w:sz="4" w:space="0" w:color="auto"/>
            </w:tcBorders>
            <w:noWrap/>
            <w:vAlign w:val="bottom"/>
          </w:tcPr>
          <w:p w:rsidR="00B37580" w:rsidRPr="00B37580" w:rsidRDefault="00B37580" w:rsidP="00B37580">
            <w:pPr>
              <w:rPr>
                <w:sz w:val="24"/>
                <w:szCs w:val="24"/>
              </w:rPr>
            </w:pPr>
            <w:r w:rsidRPr="00B37580">
              <w:rPr>
                <w:sz w:val="24"/>
                <w:szCs w:val="24"/>
              </w:rPr>
              <w:t> </w:t>
            </w:r>
          </w:p>
        </w:tc>
      </w:tr>
      <w:tr w:rsidR="00B37580" w:rsidRPr="00B37580" w:rsidTr="008046BF">
        <w:trPr>
          <w:trHeight w:val="255"/>
        </w:trPr>
        <w:tc>
          <w:tcPr>
            <w:tcW w:w="6188" w:type="dxa"/>
            <w:tcBorders>
              <w:top w:val="nil"/>
              <w:left w:val="single" w:sz="4" w:space="0" w:color="auto"/>
              <w:bottom w:val="single" w:sz="4" w:space="0" w:color="auto"/>
              <w:right w:val="single" w:sz="4" w:space="0" w:color="auto"/>
            </w:tcBorders>
          </w:tcPr>
          <w:p w:rsidR="00B37580" w:rsidRPr="00B37580" w:rsidRDefault="00B37580" w:rsidP="00B37580">
            <w:pPr>
              <w:rPr>
                <w:sz w:val="24"/>
                <w:szCs w:val="24"/>
              </w:rPr>
            </w:pPr>
            <w:r w:rsidRPr="00B37580">
              <w:rPr>
                <w:b/>
                <w:bCs/>
                <w:sz w:val="24"/>
                <w:szCs w:val="24"/>
              </w:rPr>
              <w:t xml:space="preserve">   z toho vplyv na ŠR</w:t>
            </w:r>
          </w:p>
        </w:tc>
        <w:tc>
          <w:tcPr>
            <w:tcW w:w="1698" w:type="dxa"/>
            <w:tcBorders>
              <w:top w:val="single" w:sz="4" w:space="0" w:color="auto"/>
              <w:left w:val="nil"/>
              <w:bottom w:val="single" w:sz="4" w:space="0" w:color="auto"/>
              <w:right w:val="single" w:sz="4" w:space="0" w:color="auto"/>
            </w:tcBorders>
          </w:tcPr>
          <w:p w:rsidR="00B37580" w:rsidRPr="00B37580" w:rsidRDefault="00B37580" w:rsidP="00B37580">
            <w:pPr>
              <w:jc w:val="center"/>
              <w:rPr>
                <w:sz w:val="24"/>
                <w:szCs w:val="24"/>
              </w:rPr>
            </w:pPr>
            <w:r w:rsidRPr="00B37580">
              <w:rPr>
                <w:sz w:val="24"/>
                <w:szCs w:val="24"/>
              </w:rPr>
              <w:t> 0</w:t>
            </w:r>
          </w:p>
        </w:tc>
        <w:tc>
          <w:tcPr>
            <w:tcW w:w="1788" w:type="dxa"/>
            <w:tcBorders>
              <w:top w:val="single" w:sz="4" w:space="0" w:color="auto"/>
              <w:left w:val="nil"/>
              <w:bottom w:val="single" w:sz="4" w:space="0" w:color="auto"/>
              <w:right w:val="single" w:sz="4" w:space="0" w:color="auto"/>
            </w:tcBorders>
          </w:tcPr>
          <w:p w:rsidR="00B37580" w:rsidRPr="00B37580" w:rsidRDefault="00B37580" w:rsidP="00B37580">
            <w:pPr>
              <w:jc w:val="center"/>
              <w:rPr>
                <w:sz w:val="24"/>
                <w:szCs w:val="24"/>
              </w:rPr>
            </w:pPr>
            <w:r w:rsidRPr="00B37580">
              <w:rPr>
                <w:sz w:val="24"/>
                <w:szCs w:val="24"/>
              </w:rPr>
              <w:t> 0</w:t>
            </w:r>
          </w:p>
        </w:tc>
        <w:tc>
          <w:tcPr>
            <w:tcW w:w="2418" w:type="dxa"/>
            <w:tcBorders>
              <w:top w:val="single" w:sz="4" w:space="0" w:color="auto"/>
              <w:left w:val="nil"/>
              <w:bottom w:val="single" w:sz="4" w:space="0" w:color="auto"/>
              <w:right w:val="single" w:sz="4" w:space="0" w:color="auto"/>
            </w:tcBorders>
          </w:tcPr>
          <w:p w:rsidR="00B37580" w:rsidRPr="00B37580" w:rsidRDefault="00B37580" w:rsidP="00B37580">
            <w:pPr>
              <w:jc w:val="center"/>
              <w:rPr>
                <w:sz w:val="24"/>
                <w:szCs w:val="24"/>
              </w:rPr>
            </w:pPr>
            <w:r w:rsidRPr="00B37580">
              <w:rPr>
                <w:sz w:val="24"/>
                <w:szCs w:val="24"/>
              </w:rPr>
              <w:t> 0</w:t>
            </w:r>
          </w:p>
        </w:tc>
        <w:tc>
          <w:tcPr>
            <w:tcW w:w="1722" w:type="dxa"/>
            <w:tcBorders>
              <w:top w:val="single" w:sz="4" w:space="0" w:color="auto"/>
              <w:left w:val="nil"/>
              <w:bottom w:val="single" w:sz="4" w:space="0" w:color="auto"/>
              <w:right w:val="single" w:sz="4" w:space="0" w:color="auto"/>
            </w:tcBorders>
          </w:tcPr>
          <w:p w:rsidR="00B37580" w:rsidRPr="00B37580" w:rsidRDefault="00B37580" w:rsidP="00B37580">
            <w:pPr>
              <w:jc w:val="center"/>
              <w:rPr>
                <w:sz w:val="24"/>
                <w:szCs w:val="24"/>
              </w:rPr>
            </w:pPr>
            <w:r w:rsidRPr="00B37580">
              <w:rPr>
                <w:sz w:val="24"/>
                <w:szCs w:val="24"/>
              </w:rPr>
              <w:t> 0</w:t>
            </w:r>
          </w:p>
        </w:tc>
        <w:tc>
          <w:tcPr>
            <w:tcW w:w="1620" w:type="dxa"/>
            <w:tcBorders>
              <w:top w:val="nil"/>
              <w:left w:val="nil"/>
              <w:bottom w:val="single" w:sz="4" w:space="0" w:color="auto"/>
              <w:right w:val="single" w:sz="4" w:space="0" w:color="auto"/>
            </w:tcBorders>
            <w:noWrap/>
            <w:vAlign w:val="bottom"/>
          </w:tcPr>
          <w:p w:rsidR="00B37580" w:rsidRPr="00B37580" w:rsidRDefault="00B37580" w:rsidP="00B37580">
            <w:pPr>
              <w:rPr>
                <w:sz w:val="24"/>
                <w:szCs w:val="24"/>
              </w:rPr>
            </w:pPr>
            <w:r w:rsidRPr="00B37580">
              <w:rPr>
                <w:sz w:val="24"/>
                <w:szCs w:val="24"/>
              </w:rPr>
              <w:t> </w:t>
            </w:r>
          </w:p>
        </w:tc>
      </w:tr>
      <w:tr w:rsidR="00B37580" w:rsidRPr="00B37580" w:rsidTr="008046BF">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B37580" w:rsidRPr="00B37580" w:rsidRDefault="00B37580" w:rsidP="00B37580">
            <w:pPr>
              <w:rPr>
                <w:b/>
                <w:bCs/>
                <w:sz w:val="24"/>
                <w:szCs w:val="24"/>
              </w:rPr>
            </w:pPr>
            <w:r w:rsidRPr="00B37580">
              <w:rPr>
                <w:b/>
                <w:bCs/>
                <w:sz w:val="24"/>
                <w:szCs w:val="24"/>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B37580" w:rsidRPr="00B37580" w:rsidRDefault="00B37580" w:rsidP="00B37580">
            <w:pPr>
              <w:jc w:val="center"/>
              <w:rPr>
                <w:b/>
                <w:bCs/>
                <w:sz w:val="24"/>
                <w:szCs w:val="24"/>
              </w:rPr>
            </w:pPr>
            <w:r w:rsidRPr="00B37580">
              <w:rPr>
                <w:b/>
                <w:bCs/>
                <w:sz w:val="24"/>
                <w:szCs w:val="24"/>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B37580" w:rsidRPr="00B37580" w:rsidRDefault="00B37580" w:rsidP="00B37580">
            <w:pPr>
              <w:jc w:val="center"/>
              <w:rPr>
                <w:b/>
                <w:bCs/>
                <w:sz w:val="24"/>
                <w:szCs w:val="24"/>
              </w:rPr>
            </w:pPr>
            <w:r w:rsidRPr="00B37580">
              <w:rPr>
                <w:b/>
                <w:bCs/>
                <w:sz w:val="24"/>
                <w:szCs w:val="24"/>
              </w:rPr>
              <w:t>0</w:t>
            </w:r>
          </w:p>
        </w:tc>
        <w:tc>
          <w:tcPr>
            <w:tcW w:w="2418" w:type="dxa"/>
            <w:tcBorders>
              <w:top w:val="nil"/>
              <w:left w:val="nil"/>
              <w:bottom w:val="single" w:sz="4" w:space="0" w:color="auto"/>
              <w:right w:val="single" w:sz="4" w:space="0" w:color="auto"/>
            </w:tcBorders>
            <w:shd w:val="clear" w:color="auto" w:fill="BFBFBF" w:themeFill="background1" w:themeFillShade="BF"/>
          </w:tcPr>
          <w:p w:rsidR="00B37580" w:rsidRPr="00B37580" w:rsidRDefault="00B37580" w:rsidP="00B37580">
            <w:pPr>
              <w:jc w:val="center"/>
              <w:rPr>
                <w:b/>
                <w:bCs/>
                <w:sz w:val="24"/>
                <w:szCs w:val="24"/>
              </w:rPr>
            </w:pPr>
            <w:r w:rsidRPr="00B37580">
              <w:rPr>
                <w:b/>
                <w:bCs/>
                <w:sz w:val="24"/>
                <w:szCs w:val="24"/>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B37580" w:rsidRPr="00B37580" w:rsidRDefault="00B37580" w:rsidP="00B37580">
            <w:pPr>
              <w:jc w:val="center"/>
              <w:rPr>
                <w:b/>
                <w:bCs/>
                <w:sz w:val="24"/>
                <w:szCs w:val="24"/>
              </w:rPr>
            </w:pPr>
            <w:r w:rsidRPr="00B37580">
              <w:rPr>
                <w:b/>
                <w:bCs/>
                <w:sz w:val="24"/>
                <w:szCs w:val="24"/>
              </w:rPr>
              <w:t>0</w:t>
            </w:r>
          </w:p>
        </w:tc>
        <w:tc>
          <w:tcPr>
            <w:tcW w:w="1620" w:type="dxa"/>
            <w:tcBorders>
              <w:top w:val="nil"/>
              <w:left w:val="nil"/>
              <w:bottom w:val="single" w:sz="4" w:space="0" w:color="auto"/>
              <w:right w:val="single" w:sz="4" w:space="0" w:color="auto"/>
            </w:tcBorders>
            <w:shd w:val="clear" w:color="auto" w:fill="BFBFBF" w:themeFill="background1" w:themeFillShade="BF"/>
            <w:noWrap/>
            <w:vAlign w:val="bottom"/>
          </w:tcPr>
          <w:p w:rsidR="00B37580" w:rsidRPr="00B37580" w:rsidRDefault="00B37580" w:rsidP="00B37580">
            <w:pPr>
              <w:rPr>
                <w:b/>
                <w:bCs/>
                <w:sz w:val="24"/>
                <w:szCs w:val="24"/>
              </w:rPr>
            </w:pPr>
            <w:r w:rsidRPr="00B37580">
              <w:rPr>
                <w:b/>
                <w:bCs/>
                <w:sz w:val="24"/>
                <w:szCs w:val="24"/>
              </w:rPr>
              <w:t> </w:t>
            </w:r>
          </w:p>
        </w:tc>
      </w:tr>
      <w:tr w:rsidR="00B37580" w:rsidRPr="00B37580" w:rsidTr="008046BF">
        <w:trPr>
          <w:trHeight w:val="255"/>
        </w:trPr>
        <w:tc>
          <w:tcPr>
            <w:tcW w:w="6188" w:type="dxa"/>
            <w:tcBorders>
              <w:top w:val="nil"/>
              <w:left w:val="single" w:sz="4" w:space="0" w:color="auto"/>
              <w:bottom w:val="single" w:sz="4" w:space="0" w:color="auto"/>
              <w:right w:val="single" w:sz="4" w:space="0" w:color="auto"/>
            </w:tcBorders>
          </w:tcPr>
          <w:p w:rsidR="00B37580" w:rsidRPr="00B37580" w:rsidRDefault="00B37580" w:rsidP="00B37580">
            <w:pPr>
              <w:rPr>
                <w:b/>
                <w:bCs/>
                <w:sz w:val="24"/>
                <w:szCs w:val="24"/>
              </w:rPr>
            </w:pPr>
            <w:r w:rsidRPr="00B37580">
              <w:rPr>
                <w:b/>
                <w:bCs/>
                <w:sz w:val="24"/>
                <w:szCs w:val="24"/>
              </w:rPr>
              <w:t>Mzdy, platy, služobné príjmy a ostatné osobné vyrovnania (610)</w:t>
            </w:r>
          </w:p>
        </w:tc>
        <w:tc>
          <w:tcPr>
            <w:tcW w:w="1698" w:type="dxa"/>
            <w:tcBorders>
              <w:top w:val="nil"/>
              <w:left w:val="nil"/>
              <w:bottom w:val="single" w:sz="4" w:space="0" w:color="auto"/>
              <w:right w:val="single" w:sz="4" w:space="0" w:color="auto"/>
            </w:tcBorders>
          </w:tcPr>
          <w:p w:rsidR="00B37580" w:rsidRPr="00B37580" w:rsidRDefault="00B37580" w:rsidP="00B37580">
            <w:pPr>
              <w:jc w:val="center"/>
              <w:rPr>
                <w:b/>
                <w:bCs/>
                <w:sz w:val="24"/>
                <w:szCs w:val="24"/>
              </w:rPr>
            </w:pPr>
            <w:r w:rsidRPr="00B37580">
              <w:rPr>
                <w:b/>
                <w:bCs/>
                <w:sz w:val="24"/>
                <w:szCs w:val="24"/>
              </w:rPr>
              <w:t>0</w:t>
            </w:r>
          </w:p>
        </w:tc>
        <w:tc>
          <w:tcPr>
            <w:tcW w:w="1788" w:type="dxa"/>
            <w:tcBorders>
              <w:top w:val="nil"/>
              <w:left w:val="nil"/>
              <w:bottom w:val="single" w:sz="4" w:space="0" w:color="auto"/>
              <w:right w:val="single" w:sz="4" w:space="0" w:color="auto"/>
            </w:tcBorders>
          </w:tcPr>
          <w:p w:rsidR="00B37580" w:rsidRPr="00B37580" w:rsidRDefault="00B37580" w:rsidP="00B37580">
            <w:pPr>
              <w:jc w:val="center"/>
              <w:rPr>
                <w:b/>
                <w:bCs/>
                <w:sz w:val="24"/>
                <w:szCs w:val="24"/>
              </w:rPr>
            </w:pPr>
            <w:r w:rsidRPr="00B37580">
              <w:rPr>
                <w:b/>
                <w:bCs/>
                <w:sz w:val="24"/>
                <w:szCs w:val="24"/>
              </w:rPr>
              <w:t>0</w:t>
            </w:r>
          </w:p>
        </w:tc>
        <w:tc>
          <w:tcPr>
            <w:tcW w:w="2418" w:type="dxa"/>
            <w:tcBorders>
              <w:top w:val="nil"/>
              <w:left w:val="nil"/>
              <w:bottom w:val="single" w:sz="4" w:space="0" w:color="auto"/>
              <w:right w:val="single" w:sz="4" w:space="0" w:color="auto"/>
            </w:tcBorders>
          </w:tcPr>
          <w:p w:rsidR="00B37580" w:rsidRPr="00B37580" w:rsidRDefault="00B37580" w:rsidP="00B37580">
            <w:pPr>
              <w:jc w:val="center"/>
              <w:rPr>
                <w:b/>
                <w:bCs/>
                <w:sz w:val="24"/>
                <w:szCs w:val="24"/>
              </w:rPr>
            </w:pPr>
            <w:r w:rsidRPr="00B37580">
              <w:rPr>
                <w:b/>
                <w:bCs/>
                <w:sz w:val="24"/>
                <w:szCs w:val="24"/>
              </w:rPr>
              <w:t>0</w:t>
            </w:r>
          </w:p>
        </w:tc>
        <w:tc>
          <w:tcPr>
            <w:tcW w:w="1722" w:type="dxa"/>
            <w:tcBorders>
              <w:top w:val="nil"/>
              <w:left w:val="nil"/>
              <w:bottom w:val="single" w:sz="4" w:space="0" w:color="auto"/>
              <w:right w:val="single" w:sz="4" w:space="0" w:color="auto"/>
            </w:tcBorders>
          </w:tcPr>
          <w:p w:rsidR="00B37580" w:rsidRPr="00B37580" w:rsidRDefault="00B37580" w:rsidP="00B37580">
            <w:pPr>
              <w:jc w:val="center"/>
              <w:rPr>
                <w:b/>
                <w:bCs/>
                <w:sz w:val="24"/>
                <w:szCs w:val="24"/>
              </w:rPr>
            </w:pPr>
            <w:r w:rsidRPr="00B37580">
              <w:rPr>
                <w:b/>
                <w:bCs/>
                <w:sz w:val="24"/>
                <w:szCs w:val="24"/>
              </w:rPr>
              <w:t>0</w:t>
            </w:r>
          </w:p>
        </w:tc>
        <w:tc>
          <w:tcPr>
            <w:tcW w:w="1620" w:type="dxa"/>
            <w:tcBorders>
              <w:top w:val="nil"/>
              <w:left w:val="nil"/>
              <w:bottom w:val="single" w:sz="4" w:space="0" w:color="auto"/>
              <w:right w:val="single" w:sz="4" w:space="0" w:color="auto"/>
            </w:tcBorders>
            <w:noWrap/>
            <w:vAlign w:val="bottom"/>
          </w:tcPr>
          <w:p w:rsidR="00B37580" w:rsidRPr="00B37580" w:rsidRDefault="00B37580" w:rsidP="00B37580">
            <w:pPr>
              <w:rPr>
                <w:b/>
                <w:bCs/>
                <w:sz w:val="24"/>
                <w:szCs w:val="24"/>
              </w:rPr>
            </w:pPr>
            <w:r w:rsidRPr="00B37580">
              <w:rPr>
                <w:b/>
                <w:bCs/>
                <w:sz w:val="24"/>
                <w:szCs w:val="24"/>
              </w:rPr>
              <w:t> </w:t>
            </w:r>
          </w:p>
        </w:tc>
      </w:tr>
      <w:tr w:rsidR="00B37580" w:rsidRPr="00B37580" w:rsidTr="008046BF">
        <w:trPr>
          <w:trHeight w:val="255"/>
        </w:trPr>
        <w:tc>
          <w:tcPr>
            <w:tcW w:w="6188" w:type="dxa"/>
            <w:tcBorders>
              <w:top w:val="nil"/>
              <w:left w:val="single" w:sz="4" w:space="0" w:color="auto"/>
              <w:bottom w:val="single" w:sz="4" w:space="0" w:color="auto"/>
              <w:right w:val="single" w:sz="4" w:space="0" w:color="auto"/>
            </w:tcBorders>
          </w:tcPr>
          <w:p w:rsidR="00B37580" w:rsidRPr="00B37580" w:rsidRDefault="00B37580" w:rsidP="00B37580">
            <w:pPr>
              <w:rPr>
                <w:sz w:val="24"/>
                <w:szCs w:val="24"/>
              </w:rPr>
            </w:pPr>
            <w:r w:rsidRPr="00B37580">
              <w:rPr>
                <w:b/>
                <w:bCs/>
                <w:sz w:val="24"/>
                <w:szCs w:val="24"/>
              </w:rPr>
              <w:t xml:space="preserve">   z toho vplyv na ŠR</w:t>
            </w:r>
          </w:p>
        </w:tc>
        <w:tc>
          <w:tcPr>
            <w:tcW w:w="1698" w:type="dxa"/>
            <w:tcBorders>
              <w:top w:val="nil"/>
              <w:left w:val="nil"/>
              <w:bottom w:val="single" w:sz="4" w:space="0" w:color="auto"/>
              <w:right w:val="single" w:sz="4" w:space="0" w:color="auto"/>
            </w:tcBorders>
          </w:tcPr>
          <w:p w:rsidR="00B37580" w:rsidRPr="00B37580" w:rsidRDefault="00B37580" w:rsidP="00B37580">
            <w:pPr>
              <w:jc w:val="center"/>
              <w:rPr>
                <w:sz w:val="24"/>
                <w:szCs w:val="24"/>
              </w:rPr>
            </w:pPr>
            <w:r w:rsidRPr="00B37580">
              <w:rPr>
                <w:sz w:val="24"/>
                <w:szCs w:val="24"/>
              </w:rPr>
              <w:t>0</w:t>
            </w:r>
          </w:p>
        </w:tc>
        <w:tc>
          <w:tcPr>
            <w:tcW w:w="1788" w:type="dxa"/>
            <w:tcBorders>
              <w:top w:val="nil"/>
              <w:left w:val="nil"/>
              <w:bottom w:val="single" w:sz="4" w:space="0" w:color="auto"/>
              <w:right w:val="single" w:sz="4" w:space="0" w:color="auto"/>
            </w:tcBorders>
          </w:tcPr>
          <w:p w:rsidR="00B37580" w:rsidRPr="00B37580" w:rsidRDefault="00B37580" w:rsidP="00B37580">
            <w:pPr>
              <w:jc w:val="center"/>
              <w:rPr>
                <w:sz w:val="24"/>
                <w:szCs w:val="24"/>
              </w:rPr>
            </w:pPr>
            <w:r w:rsidRPr="00B37580">
              <w:rPr>
                <w:sz w:val="24"/>
                <w:szCs w:val="24"/>
              </w:rPr>
              <w:t>0</w:t>
            </w:r>
          </w:p>
        </w:tc>
        <w:tc>
          <w:tcPr>
            <w:tcW w:w="2418" w:type="dxa"/>
            <w:tcBorders>
              <w:top w:val="nil"/>
              <w:left w:val="nil"/>
              <w:bottom w:val="single" w:sz="4" w:space="0" w:color="auto"/>
              <w:right w:val="single" w:sz="4" w:space="0" w:color="auto"/>
            </w:tcBorders>
          </w:tcPr>
          <w:p w:rsidR="00B37580" w:rsidRPr="00B37580" w:rsidRDefault="00B37580" w:rsidP="00B37580">
            <w:pPr>
              <w:jc w:val="center"/>
              <w:rPr>
                <w:sz w:val="24"/>
                <w:szCs w:val="24"/>
              </w:rPr>
            </w:pPr>
            <w:r w:rsidRPr="00B37580">
              <w:rPr>
                <w:sz w:val="24"/>
                <w:szCs w:val="24"/>
              </w:rPr>
              <w:t>0</w:t>
            </w:r>
          </w:p>
        </w:tc>
        <w:tc>
          <w:tcPr>
            <w:tcW w:w="1722" w:type="dxa"/>
            <w:tcBorders>
              <w:top w:val="nil"/>
              <w:left w:val="nil"/>
              <w:bottom w:val="single" w:sz="4" w:space="0" w:color="auto"/>
              <w:right w:val="single" w:sz="4" w:space="0" w:color="auto"/>
            </w:tcBorders>
          </w:tcPr>
          <w:p w:rsidR="00B37580" w:rsidRPr="00B37580" w:rsidRDefault="00B37580" w:rsidP="00B37580">
            <w:pPr>
              <w:jc w:val="center"/>
              <w:rPr>
                <w:sz w:val="24"/>
                <w:szCs w:val="24"/>
              </w:rPr>
            </w:pPr>
            <w:r w:rsidRPr="00B37580">
              <w:rPr>
                <w:sz w:val="24"/>
                <w:szCs w:val="24"/>
              </w:rPr>
              <w:t>0</w:t>
            </w:r>
          </w:p>
        </w:tc>
        <w:tc>
          <w:tcPr>
            <w:tcW w:w="1620" w:type="dxa"/>
            <w:tcBorders>
              <w:top w:val="nil"/>
              <w:left w:val="nil"/>
              <w:bottom w:val="single" w:sz="4" w:space="0" w:color="auto"/>
              <w:right w:val="single" w:sz="4" w:space="0" w:color="auto"/>
            </w:tcBorders>
            <w:noWrap/>
            <w:vAlign w:val="bottom"/>
          </w:tcPr>
          <w:p w:rsidR="00B37580" w:rsidRPr="00B37580" w:rsidRDefault="00B37580" w:rsidP="00B37580">
            <w:pPr>
              <w:rPr>
                <w:sz w:val="24"/>
                <w:szCs w:val="24"/>
              </w:rPr>
            </w:pPr>
            <w:r w:rsidRPr="00B37580">
              <w:rPr>
                <w:sz w:val="24"/>
                <w:szCs w:val="24"/>
              </w:rPr>
              <w:t> </w:t>
            </w:r>
          </w:p>
        </w:tc>
      </w:tr>
      <w:tr w:rsidR="00B37580" w:rsidRPr="00B37580" w:rsidTr="008046BF">
        <w:trPr>
          <w:trHeight w:val="255"/>
        </w:trPr>
        <w:tc>
          <w:tcPr>
            <w:tcW w:w="6188" w:type="dxa"/>
            <w:tcBorders>
              <w:top w:val="nil"/>
              <w:left w:val="single" w:sz="4" w:space="0" w:color="auto"/>
              <w:bottom w:val="single" w:sz="4" w:space="0" w:color="auto"/>
              <w:right w:val="single" w:sz="4" w:space="0" w:color="auto"/>
            </w:tcBorders>
          </w:tcPr>
          <w:p w:rsidR="00B37580" w:rsidRPr="00B37580" w:rsidRDefault="00B37580" w:rsidP="00B37580">
            <w:pPr>
              <w:rPr>
                <w:b/>
                <w:bCs/>
                <w:sz w:val="24"/>
                <w:szCs w:val="24"/>
              </w:rPr>
            </w:pPr>
            <w:r w:rsidRPr="00B37580">
              <w:rPr>
                <w:b/>
                <w:bCs/>
                <w:sz w:val="24"/>
                <w:szCs w:val="24"/>
              </w:rPr>
              <w:t>Poistné a príspevok do poisťovní (620)</w:t>
            </w:r>
          </w:p>
        </w:tc>
        <w:tc>
          <w:tcPr>
            <w:tcW w:w="1698" w:type="dxa"/>
            <w:tcBorders>
              <w:top w:val="nil"/>
              <w:left w:val="nil"/>
              <w:bottom w:val="single" w:sz="4" w:space="0" w:color="auto"/>
              <w:right w:val="single" w:sz="4" w:space="0" w:color="auto"/>
            </w:tcBorders>
          </w:tcPr>
          <w:p w:rsidR="00B37580" w:rsidRPr="00B37580" w:rsidRDefault="00B37580" w:rsidP="00B37580">
            <w:pPr>
              <w:jc w:val="center"/>
              <w:rPr>
                <w:b/>
                <w:bCs/>
                <w:sz w:val="24"/>
                <w:szCs w:val="24"/>
              </w:rPr>
            </w:pPr>
            <w:r w:rsidRPr="00B37580">
              <w:rPr>
                <w:b/>
                <w:bCs/>
                <w:sz w:val="24"/>
                <w:szCs w:val="24"/>
              </w:rPr>
              <w:t>0</w:t>
            </w:r>
          </w:p>
        </w:tc>
        <w:tc>
          <w:tcPr>
            <w:tcW w:w="1788" w:type="dxa"/>
            <w:tcBorders>
              <w:top w:val="nil"/>
              <w:left w:val="nil"/>
              <w:bottom w:val="single" w:sz="4" w:space="0" w:color="auto"/>
              <w:right w:val="single" w:sz="4" w:space="0" w:color="auto"/>
            </w:tcBorders>
          </w:tcPr>
          <w:p w:rsidR="00B37580" w:rsidRPr="00B37580" w:rsidRDefault="00B37580" w:rsidP="00B37580">
            <w:pPr>
              <w:jc w:val="center"/>
              <w:rPr>
                <w:b/>
                <w:bCs/>
                <w:sz w:val="24"/>
                <w:szCs w:val="24"/>
              </w:rPr>
            </w:pPr>
            <w:r w:rsidRPr="00B37580">
              <w:rPr>
                <w:b/>
                <w:bCs/>
                <w:sz w:val="24"/>
                <w:szCs w:val="24"/>
              </w:rPr>
              <w:t>0</w:t>
            </w:r>
          </w:p>
        </w:tc>
        <w:tc>
          <w:tcPr>
            <w:tcW w:w="2418" w:type="dxa"/>
            <w:tcBorders>
              <w:top w:val="nil"/>
              <w:left w:val="nil"/>
              <w:bottom w:val="single" w:sz="4" w:space="0" w:color="auto"/>
              <w:right w:val="single" w:sz="4" w:space="0" w:color="auto"/>
            </w:tcBorders>
          </w:tcPr>
          <w:p w:rsidR="00B37580" w:rsidRPr="00B37580" w:rsidRDefault="00B37580" w:rsidP="00B37580">
            <w:pPr>
              <w:jc w:val="center"/>
              <w:rPr>
                <w:b/>
                <w:bCs/>
                <w:sz w:val="24"/>
                <w:szCs w:val="24"/>
              </w:rPr>
            </w:pPr>
            <w:r w:rsidRPr="00B37580">
              <w:rPr>
                <w:b/>
                <w:bCs/>
                <w:sz w:val="24"/>
                <w:szCs w:val="24"/>
              </w:rPr>
              <w:t>0</w:t>
            </w:r>
          </w:p>
        </w:tc>
        <w:tc>
          <w:tcPr>
            <w:tcW w:w="1722" w:type="dxa"/>
            <w:tcBorders>
              <w:top w:val="nil"/>
              <w:left w:val="nil"/>
              <w:bottom w:val="single" w:sz="4" w:space="0" w:color="auto"/>
              <w:right w:val="single" w:sz="4" w:space="0" w:color="auto"/>
            </w:tcBorders>
          </w:tcPr>
          <w:p w:rsidR="00B37580" w:rsidRPr="00B37580" w:rsidRDefault="00B37580" w:rsidP="00B37580">
            <w:pPr>
              <w:jc w:val="center"/>
              <w:rPr>
                <w:b/>
                <w:bCs/>
                <w:sz w:val="24"/>
                <w:szCs w:val="24"/>
              </w:rPr>
            </w:pPr>
            <w:r w:rsidRPr="00B37580">
              <w:rPr>
                <w:b/>
                <w:bCs/>
                <w:sz w:val="24"/>
                <w:szCs w:val="24"/>
              </w:rPr>
              <w:t>0</w:t>
            </w:r>
          </w:p>
        </w:tc>
        <w:tc>
          <w:tcPr>
            <w:tcW w:w="1620" w:type="dxa"/>
            <w:tcBorders>
              <w:top w:val="nil"/>
              <w:left w:val="nil"/>
              <w:bottom w:val="single" w:sz="4" w:space="0" w:color="auto"/>
              <w:right w:val="single" w:sz="4" w:space="0" w:color="auto"/>
            </w:tcBorders>
            <w:noWrap/>
            <w:vAlign w:val="bottom"/>
          </w:tcPr>
          <w:p w:rsidR="00B37580" w:rsidRPr="00B37580" w:rsidRDefault="00B37580" w:rsidP="00B37580">
            <w:pPr>
              <w:rPr>
                <w:b/>
                <w:bCs/>
                <w:sz w:val="24"/>
                <w:szCs w:val="24"/>
              </w:rPr>
            </w:pPr>
            <w:r w:rsidRPr="00B37580">
              <w:rPr>
                <w:b/>
                <w:bCs/>
                <w:sz w:val="24"/>
                <w:szCs w:val="24"/>
              </w:rPr>
              <w:t> </w:t>
            </w:r>
          </w:p>
        </w:tc>
      </w:tr>
      <w:tr w:rsidR="00B37580" w:rsidRPr="00B37580" w:rsidTr="008046BF">
        <w:trPr>
          <w:trHeight w:val="255"/>
        </w:trPr>
        <w:tc>
          <w:tcPr>
            <w:tcW w:w="6188" w:type="dxa"/>
            <w:tcBorders>
              <w:top w:val="nil"/>
              <w:left w:val="single" w:sz="4" w:space="0" w:color="auto"/>
              <w:bottom w:val="single" w:sz="4" w:space="0" w:color="auto"/>
              <w:right w:val="single" w:sz="4" w:space="0" w:color="auto"/>
            </w:tcBorders>
          </w:tcPr>
          <w:p w:rsidR="00B37580" w:rsidRPr="00B37580" w:rsidRDefault="00B37580" w:rsidP="00B37580">
            <w:pPr>
              <w:rPr>
                <w:sz w:val="24"/>
                <w:szCs w:val="24"/>
              </w:rPr>
            </w:pPr>
            <w:r w:rsidRPr="00B37580">
              <w:rPr>
                <w:b/>
                <w:bCs/>
                <w:sz w:val="24"/>
                <w:szCs w:val="24"/>
              </w:rPr>
              <w:t xml:space="preserve">   z toho vplyv na ŠR</w:t>
            </w:r>
          </w:p>
        </w:tc>
        <w:tc>
          <w:tcPr>
            <w:tcW w:w="1698" w:type="dxa"/>
            <w:tcBorders>
              <w:top w:val="nil"/>
              <w:left w:val="nil"/>
              <w:bottom w:val="single" w:sz="4" w:space="0" w:color="auto"/>
              <w:right w:val="single" w:sz="4" w:space="0" w:color="auto"/>
            </w:tcBorders>
          </w:tcPr>
          <w:p w:rsidR="00B37580" w:rsidRPr="00B37580" w:rsidRDefault="00B37580" w:rsidP="00B37580">
            <w:pPr>
              <w:jc w:val="center"/>
              <w:rPr>
                <w:sz w:val="24"/>
                <w:szCs w:val="24"/>
              </w:rPr>
            </w:pPr>
            <w:r w:rsidRPr="00B37580">
              <w:rPr>
                <w:sz w:val="24"/>
                <w:szCs w:val="24"/>
              </w:rPr>
              <w:t>0</w:t>
            </w:r>
          </w:p>
        </w:tc>
        <w:tc>
          <w:tcPr>
            <w:tcW w:w="1788" w:type="dxa"/>
            <w:tcBorders>
              <w:top w:val="nil"/>
              <w:left w:val="nil"/>
              <w:bottom w:val="single" w:sz="4" w:space="0" w:color="auto"/>
              <w:right w:val="single" w:sz="4" w:space="0" w:color="auto"/>
            </w:tcBorders>
          </w:tcPr>
          <w:p w:rsidR="00B37580" w:rsidRPr="00B37580" w:rsidRDefault="00B37580" w:rsidP="00B37580">
            <w:pPr>
              <w:jc w:val="center"/>
              <w:rPr>
                <w:sz w:val="24"/>
                <w:szCs w:val="24"/>
              </w:rPr>
            </w:pPr>
            <w:r w:rsidRPr="00B37580">
              <w:rPr>
                <w:sz w:val="24"/>
                <w:szCs w:val="24"/>
              </w:rPr>
              <w:t>0</w:t>
            </w:r>
          </w:p>
        </w:tc>
        <w:tc>
          <w:tcPr>
            <w:tcW w:w="2418" w:type="dxa"/>
            <w:tcBorders>
              <w:top w:val="nil"/>
              <w:left w:val="nil"/>
              <w:bottom w:val="single" w:sz="4" w:space="0" w:color="auto"/>
              <w:right w:val="single" w:sz="4" w:space="0" w:color="auto"/>
            </w:tcBorders>
          </w:tcPr>
          <w:p w:rsidR="00B37580" w:rsidRPr="00B37580" w:rsidRDefault="00B37580" w:rsidP="00B37580">
            <w:pPr>
              <w:jc w:val="center"/>
              <w:rPr>
                <w:sz w:val="24"/>
                <w:szCs w:val="24"/>
              </w:rPr>
            </w:pPr>
            <w:r w:rsidRPr="00B37580">
              <w:rPr>
                <w:sz w:val="24"/>
                <w:szCs w:val="24"/>
              </w:rPr>
              <w:t>0</w:t>
            </w:r>
          </w:p>
        </w:tc>
        <w:tc>
          <w:tcPr>
            <w:tcW w:w="1722" w:type="dxa"/>
            <w:tcBorders>
              <w:top w:val="nil"/>
              <w:left w:val="nil"/>
              <w:bottom w:val="single" w:sz="4" w:space="0" w:color="auto"/>
              <w:right w:val="single" w:sz="4" w:space="0" w:color="auto"/>
            </w:tcBorders>
          </w:tcPr>
          <w:p w:rsidR="00B37580" w:rsidRPr="00B37580" w:rsidRDefault="00B37580" w:rsidP="00B37580">
            <w:pPr>
              <w:jc w:val="center"/>
              <w:rPr>
                <w:sz w:val="24"/>
                <w:szCs w:val="24"/>
              </w:rPr>
            </w:pPr>
            <w:r w:rsidRPr="00B37580">
              <w:rPr>
                <w:sz w:val="24"/>
                <w:szCs w:val="24"/>
              </w:rPr>
              <w:t>0</w:t>
            </w:r>
          </w:p>
        </w:tc>
        <w:tc>
          <w:tcPr>
            <w:tcW w:w="1620" w:type="dxa"/>
            <w:tcBorders>
              <w:top w:val="nil"/>
              <w:left w:val="nil"/>
              <w:bottom w:val="single" w:sz="4" w:space="0" w:color="auto"/>
              <w:right w:val="single" w:sz="4" w:space="0" w:color="auto"/>
            </w:tcBorders>
            <w:noWrap/>
            <w:vAlign w:val="bottom"/>
          </w:tcPr>
          <w:p w:rsidR="00B37580" w:rsidRPr="00B37580" w:rsidRDefault="00B37580" w:rsidP="00B37580">
            <w:pPr>
              <w:rPr>
                <w:sz w:val="24"/>
                <w:szCs w:val="24"/>
              </w:rPr>
            </w:pPr>
            <w:r w:rsidRPr="00B37580">
              <w:rPr>
                <w:sz w:val="24"/>
                <w:szCs w:val="24"/>
              </w:rPr>
              <w:t> </w:t>
            </w:r>
          </w:p>
        </w:tc>
      </w:tr>
      <w:tr w:rsidR="00B37580" w:rsidRPr="00B37580" w:rsidTr="008046BF">
        <w:trPr>
          <w:trHeight w:val="255"/>
        </w:trPr>
        <w:tc>
          <w:tcPr>
            <w:tcW w:w="6188" w:type="dxa"/>
            <w:tcBorders>
              <w:top w:val="nil"/>
              <w:left w:val="nil"/>
              <w:bottom w:val="nil"/>
              <w:right w:val="nil"/>
            </w:tcBorders>
            <w:noWrap/>
            <w:vAlign w:val="bottom"/>
          </w:tcPr>
          <w:p w:rsidR="00B37580" w:rsidRPr="00B37580" w:rsidRDefault="00B37580" w:rsidP="00B37580">
            <w:pPr>
              <w:rPr>
                <w:sz w:val="24"/>
                <w:szCs w:val="24"/>
              </w:rPr>
            </w:pPr>
          </w:p>
        </w:tc>
        <w:tc>
          <w:tcPr>
            <w:tcW w:w="1698" w:type="dxa"/>
            <w:tcBorders>
              <w:top w:val="nil"/>
              <w:left w:val="nil"/>
              <w:bottom w:val="nil"/>
              <w:right w:val="nil"/>
            </w:tcBorders>
            <w:noWrap/>
            <w:vAlign w:val="bottom"/>
          </w:tcPr>
          <w:p w:rsidR="00B37580" w:rsidRPr="00B37580" w:rsidRDefault="00B37580" w:rsidP="00B37580">
            <w:pPr>
              <w:rPr>
                <w:sz w:val="24"/>
                <w:szCs w:val="24"/>
              </w:rPr>
            </w:pPr>
          </w:p>
        </w:tc>
        <w:tc>
          <w:tcPr>
            <w:tcW w:w="1788" w:type="dxa"/>
            <w:tcBorders>
              <w:top w:val="nil"/>
              <w:left w:val="nil"/>
              <w:bottom w:val="nil"/>
              <w:right w:val="nil"/>
            </w:tcBorders>
            <w:noWrap/>
            <w:vAlign w:val="bottom"/>
          </w:tcPr>
          <w:p w:rsidR="00B37580" w:rsidRPr="00B37580" w:rsidRDefault="00B37580" w:rsidP="00B37580">
            <w:pPr>
              <w:rPr>
                <w:sz w:val="24"/>
                <w:szCs w:val="24"/>
              </w:rPr>
            </w:pPr>
          </w:p>
        </w:tc>
        <w:tc>
          <w:tcPr>
            <w:tcW w:w="2418" w:type="dxa"/>
            <w:tcBorders>
              <w:top w:val="nil"/>
              <w:left w:val="nil"/>
              <w:bottom w:val="nil"/>
              <w:right w:val="nil"/>
            </w:tcBorders>
            <w:noWrap/>
            <w:vAlign w:val="bottom"/>
          </w:tcPr>
          <w:p w:rsidR="00B37580" w:rsidRPr="00B37580" w:rsidRDefault="00B37580" w:rsidP="00B37580">
            <w:pPr>
              <w:rPr>
                <w:sz w:val="24"/>
                <w:szCs w:val="24"/>
              </w:rPr>
            </w:pPr>
          </w:p>
        </w:tc>
        <w:tc>
          <w:tcPr>
            <w:tcW w:w="1722" w:type="dxa"/>
            <w:tcBorders>
              <w:top w:val="nil"/>
              <w:left w:val="nil"/>
              <w:bottom w:val="nil"/>
              <w:right w:val="nil"/>
            </w:tcBorders>
            <w:noWrap/>
            <w:vAlign w:val="bottom"/>
          </w:tcPr>
          <w:p w:rsidR="00B37580" w:rsidRPr="00B37580" w:rsidRDefault="00B37580" w:rsidP="00B37580">
            <w:pPr>
              <w:rPr>
                <w:sz w:val="24"/>
                <w:szCs w:val="24"/>
              </w:rPr>
            </w:pPr>
          </w:p>
        </w:tc>
        <w:tc>
          <w:tcPr>
            <w:tcW w:w="1620" w:type="dxa"/>
            <w:tcBorders>
              <w:top w:val="nil"/>
              <w:left w:val="nil"/>
              <w:bottom w:val="nil"/>
              <w:right w:val="nil"/>
            </w:tcBorders>
            <w:noWrap/>
            <w:vAlign w:val="bottom"/>
          </w:tcPr>
          <w:p w:rsidR="00B37580" w:rsidRPr="00B37580" w:rsidRDefault="00B37580" w:rsidP="00B37580">
            <w:pPr>
              <w:rPr>
                <w:sz w:val="24"/>
                <w:szCs w:val="24"/>
              </w:rPr>
            </w:pPr>
          </w:p>
        </w:tc>
      </w:tr>
    </w:tbl>
    <w:p w:rsidR="00B37580" w:rsidRPr="00B37580" w:rsidRDefault="00B37580" w:rsidP="00B37580">
      <w:pPr>
        <w:rPr>
          <w:rFonts w:asciiTheme="minorHAnsi" w:hAnsiTheme="minorHAnsi"/>
          <w:sz w:val="22"/>
          <w:szCs w:val="22"/>
          <w:lang w:eastAsia="en-US"/>
        </w:rPr>
      </w:pPr>
    </w:p>
    <w:p w:rsidR="00B37580" w:rsidRDefault="00B37580">
      <w:pPr>
        <w:spacing w:after="200" w:line="276" w:lineRule="auto"/>
        <w:sectPr w:rsidR="00B37580" w:rsidSect="00B37580">
          <w:headerReference w:type="default" r:id="rId14"/>
          <w:footnotePr>
            <w:numFmt w:val="chicago"/>
          </w:footnotePr>
          <w:pgSz w:w="16838" w:h="11906" w:orient="landscape"/>
          <w:pgMar w:top="1418" w:right="1134" w:bottom="1418" w:left="1134" w:header="510" w:footer="567" w:gutter="0"/>
          <w:cols w:space="708"/>
          <w:docGrid w:linePitch="272"/>
        </w:sectPr>
      </w:pPr>
      <w:r>
        <w:br w:type="page"/>
      </w:r>
    </w:p>
    <w:p w:rsidR="00B37580" w:rsidRPr="00B37580" w:rsidRDefault="00B37580" w:rsidP="00B37580">
      <w:pPr>
        <w:rPr>
          <w:rFonts w:eastAsia="Calibri"/>
          <w:i/>
          <w:sz w:val="18"/>
          <w:szCs w:val="18"/>
        </w:rPr>
        <w:sectPr w:rsidR="00B37580" w:rsidRPr="00B37580">
          <w:footnotePr>
            <w:numFmt w:val="chicago"/>
          </w:footnotePr>
          <w:type w:val="continuous"/>
          <w:pgSz w:w="11906" w:h="16838"/>
          <w:pgMar w:top="1134" w:right="1418" w:bottom="1134" w:left="1418" w:header="510" w:footer="567" w:gutter="0"/>
          <w:cols w:space="708"/>
        </w:sectPr>
      </w:pPr>
    </w:p>
    <w:p w:rsidR="00B37580" w:rsidRPr="00B37580" w:rsidRDefault="00B37580" w:rsidP="00B37580">
      <w:pPr>
        <w:rPr>
          <w:rFonts w:eastAsia="Calibri"/>
          <w:i/>
        </w:rPr>
        <w:sectPr w:rsidR="00B37580" w:rsidRPr="00B37580">
          <w:footnotePr>
            <w:numFmt w:val="chicago"/>
          </w:footnotePr>
          <w:type w:val="continuous"/>
          <w:pgSz w:w="11906" w:h="16838"/>
          <w:pgMar w:top="1134" w:right="1418" w:bottom="1134" w:left="1418" w:header="510" w:footer="567" w:gutter="0"/>
          <w:cols w:space="708"/>
          <w:formProt w:val="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B37580" w:rsidRPr="00B37580" w:rsidTr="008046BF">
        <w:trPr>
          <w:trHeight w:val="534"/>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B37580" w:rsidRPr="00B37580" w:rsidRDefault="00B37580" w:rsidP="00B37580">
            <w:pPr>
              <w:ind w:left="-284" w:firstLine="284"/>
              <w:jc w:val="center"/>
              <w:rPr>
                <w:rFonts w:eastAsia="Calibri"/>
                <w:b/>
                <w:sz w:val="22"/>
                <w:szCs w:val="22"/>
              </w:rPr>
            </w:pPr>
            <w:r w:rsidRPr="00B37580">
              <w:rPr>
                <w:rFonts w:eastAsia="Calibri"/>
                <w:b/>
                <w:sz w:val="28"/>
                <w:szCs w:val="22"/>
              </w:rPr>
              <w:lastRenderedPageBreak/>
              <w:t>Analýza sociálnych vplyvov</w:t>
            </w:r>
          </w:p>
          <w:p w:rsidR="00B37580" w:rsidRPr="00B37580" w:rsidRDefault="00B37580" w:rsidP="00B37580">
            <w:pPr>
              <w:jc w:val="center"/>
              <w:rPr>
                <w:rFonts w:eastAsia="Calibri"/>
                <w:b/>
                <w:sz w:val="22"/>
                <w:szCs w:val="22"/>
              </w:rPr>
            </w:pPr>
            <w:r w:rsidRPr="00B37580">
              <w:rPr>
                <w:rFonts w:eastAsia="Calibri"/>
                <w:b/>
                <w:sz w:val="24"/>
                <w:szCs w:val="22"/>
              </w:rPr>
              <w:t>Vplyvy na hospodárenie domácností, prístup k zdrojom, právam, tovarom a službám, sociálnu inklúziu, rovnosť príležitostí a rodovú rovnosť a vplyvy na zamestnanosť</w:t>
            </w:r>
          </w:p>
        </w:tc>
      </w:tr>
      <w:tr w:rsidR="00B37580" w:rsidRPr="00B37580" w:rsidTr="008046BF">
        <w:trPr>
          <w:jc w:val="center"/>
        </w:trPr>
        <w:tc>
          <w:tcPr>
            <w:tcW w:w="5000" w:type="pct"/>
            <w:tcBorders>
              <w:top w:val="single" w:sz="4" w:space="0" w:color="auto"/>
              <w:left w:val="single" w:sz="4" w:space="0" w:color="auto"/>
              <w:bottom w:val="nil"/>
              <w:right w:val="single" w:sz="4" w:space="0" w:color="auto"/>
            </w:tcBorders>
            <w:shd w:val="clear" w:color="auto" w:fill="D9D9D9"/>
            <w:hideMark/>
          </w:tcPr>
          <w:p w:rsidR="00B37580" w:rsidRPr="00B37580" w:rsidRDefault="00B37580" w:rsidP="00B37580">
            <w:pPr>
              <w:rPr>
                <w:rFonts w:eastAsia="Calibri"/>
                <w:b/>
                <w:sz w:val="24"/>
                <w:szCs w:val="22"/>
              </w:rPr>
            </w:pPr>
            <w:r w:rsidRPr="00B37580">
              <w:rPr>
                <w:rFonts w:eastAsia="Calibri"/>
                <w:b/>
                <w:sz w:val="22"/>
                <w:szCs w:val="22"/>
              </w:rPr>
              <w:t xml:space="preserve">4.1 </w:t>
            </w:r>
            <w:r w:rsidRPr="00B37580">
              <w:rPr>
                <w:rFonts w:eastAsia="Calibri"/>
                <w:b/>
                <w:sz w:val="24"/>
                <w:szCs w:val="22"/>
              </w:rPr>
              <w:t>Identifikujte, popíšte a kvantifikujte vplyv na hospodárenie domácností a špecifikujte ovplyvnené skupiny domácností, ktoré budú pozitívne/negatívne ovplyvnené.</w:t>
            </w:r>
          </w:p>
        </w:tc>
      </w:tr>
    </w:tbl>
    <w:p w:rsidR="00B37580" w:rsidRPr="00B37580" w:rsidRDefault="00B37580" w:rsidP="00B37580">
      <w:pPr>
        <w:rPr>
          <w:rFonts w:eastAsia="Calibri"/>
          <w:i/>
        </w:rPr>
        <w:sectPr w:rsidR="00B37580" w:rsidRPr="00B37580" w:rsidSect="008046BF">
          <w:headerReference w:type="default" r:id="rId15"/>
          <w:footnotePr>
            <w:numFmt w:val="chicago"/>
          </w:footnotePr>
          <w:type w:val="continuous"/>
          <w:pgSz w:w="11906" w:h="16838"/>
          <w:pgMar w:top="1134" w:right="1418" w:bottom="1134" w:left="1418" w:header="510" w:footer="567" w:gutter="0"/>
          <w:cols w:space="708"/>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B37580" w:rsidRPr="00B37580" w:rsidTr="008046BF">
        <w:trPr>
          <w:trHeight w:val="736"/>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rsidR="00B37580" w:rsidRPr="00B37580" w:rsidRDefault="00B37580" w:rsidP="00B37580">
            <w:pPr>
              <w:shd w:val="clear" w:color="auto" w:fill="F2F2F2"/>
              <w:rPr>
                <w:rFonts w:eastAsia="Calibri"/>
                <w:i/>
              </w:rPr>
            </w:pPr>
            <w:r w:rsidRPr="00B37580">
              <w:rPr>
                <w:rFonts w:eastAsia="Calibri"/>
                <w:i/>
              </w:rPr>
              <w:lastRenderedPageBreak/>
              <w:t xml:space="preserve">Vedie návrh k zvýšeniu alebo zníženiu príjmov alebo výdavkov domácností? </w:t>
            </w:r>
          </w:p>
          <w:p w:rsidR="00B37580" w:rsidRPr="00B37580" w:rsidRDefault="00B37580" w:rsidP="00B37580">
            <w:pPr>
              <w:shd w:val="clear" w:color="auto" w:fill="F2F2F2"/>
              <w:rPr>
                <w:rFonts w:eastAsia="Calibri"/>
                <w:i/>
              </w:rPr>
            </w:pPr>
            <w:r w:rsidRPr="00B37580">
              <w:rPr>
                <w:rFonts w:eastAsia="Calibri"/>
                <w:i/>
              </w:rPr>
              <w:t xml:space="preserve">Ktoré skupiny domácností/obyvateľstva sú takto ovplyvnené a akým spôsobom? </w:t>
            </w:r>
          </w:p>
          <w:p w:rsidR="00B37580" w:rsidRPr="00B37580" w:rsidRDefault="00B37580" w:rsidP="00B37580">
            <w:pPr>
              <w:shd w:val="clear" w:color="auto" w:fill="F2F2F2"/>
              <w:rPr>
                <w:rFonts w:ascii="Calibri" w:eastAsia="Calibri" w:hAnsi="Calibri"/>
                <w:i/>
              </w:rPr>
            </w:pPr>
            <w:r w:rsidRPr="00B37580">
              <w:rPr>
                <w:rFonts w:eastAsia="Calibri"/>
                <w:i/>
              </w:rPr>
              <w:t>Sú medzi potenciálne ovplyvnenými skupinami skupiny v riziku chudoby alebo sociálneho vylúčenia?</w:t>
            </w:r>
          </w:p>
        </w:tc>
      </w:tr>
    </w:tbl>
    <w:p w:rsidR="00B37580" w:rsidRPr="00B37580" w:rsidRDefault="00B37580" w:rsidP="00B37580">
      <w:pPr>
        <w:rPr>
          <w:rFonts w:eastAsia="Calibri"/>
          <w:i/>
        </w:rPr>
        <w:sectPr w:rsidR="00B37580" w:rsidRPr="00B37580">
          <w:footnotePr>
            <w:numFmt w:val="chicago"/>
          </w:footnotePr>
          <w:type w:val="continuous"/>
          <w:pgSz w:w="11906" w:h="16838"/>
          <w:pgMar w:top="1134" w:right="1418" w:bottom="1134" w:left="1418" w:header="510" w:footer="567" w:gutter="0"/>
          <w:cols w:space="708"/>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802"/>
        <w:gridCol w:w="4803"/>
      </w:tblGrid>
      <w:tr w:rsidR="00B37580" w:rsidRPr="00B37580" w:rsidTr="008046BF">
        <w:trPr>
          <w:trHeight w:val="759"/>
          <w:jc w:val="center"/>
        </w:trPr>
        <w:tc>
          <w:tcPr>
            <w:tcW w:w="2500" w:type="pct"/>
            <w:tcBorders>
              <w:top w:val="nil"/>
              <w:left w:val="single" w:sz="4" w:space="0" w:color="auto"/>
              <w:bottom w:val="dotted" w:sz="4" w:space="0" w:color="auto"/>
              <w:right w:val="single" w:sz="4" w:space="0" w:color="auto"/>
            </w:tcBorders>
            <w:hideMark/>
          </w:tcPr>
          <w:p w:rsidR="00B37580" w:rsidRPr="00B37580" w:rsidRDefault="00B37580" w:rsidP="00B37580">
            <w:pPr>
              <w:rPr>
                <w:rFonts w:eastAsia="Calibri"/>
                <w:i/>
              </w:rPr>
            </w:pPr>
            <w:r w:rsidRPr="00B37580">
              <w:rPr>
                <w:rFonts w:eastAsia="Calibri"/>
                <w:i/>
              </w:rPr>
              <w:lastRenderedPageBreak/>
              <w:t xml:space="preserve">Popíšte </w:t>
            </w:r>
            <w:r w:rsidRPr="00B37580">
              <w:rPr>
                <w:rFonts w:eastAsia="Calibri"/>
                <w:b/>
                <w:i/>
              </w:rPr>
              <w:t>pozitívny</w:t>
            </w:r>
            <w:r w:rsidRPr="00B37580">
              <w:rPr>
                <w:rFonts w:eastAsia="Calibri"/>
                <w:i/>
              </w:rPr>
              <w:t xml:space="preserve"> vplyv na hospodárenie domácností s uvedením, či ide o zvýšenie príjmov alebo zníženie výdavkov:</w:t>
            </w:r>
          </w:p>
        </w:tc>
        <w:tc>
          <w:tcPr>
            <w:tcW w:w="2500" w:type="pct"/>
            <w:tcBorders>
              <w:top w:val="nil"/>
              <w:left w:val="single" w:sz="4" w:space="0" w:color="auto"/>
              <w:bottom w:val="dotted" w:sz="4" w:space="0" w:color="auto"/>
              <w:right w:val="single" w:sz="4" w:space="0" w:color="auto"/>
            </w:tcBorders>
            <w:hideMark/>
          </w:tcPr>
          <w:p w:rsidR="00B37580" w:rsidRPr="00B37580" w:rsidRDefault="00B37580" w:rsidP="00B37580">
            <w:pPr>
              <w:overflowPunct w:val="0"/>
              <w:autoSpaceDE w:val="0"/>
              <w:autoSpaceDN w:val="0"/>
              <w:adjustRightInd w:val="0"/>
              <w:spacing w:after="240" w:line="276" w:lineRule="auto"/>
              <w:jc w:val="both"/>
              <w:textAlignment w:val="baseline"/>
              <w:rPr>
                <w:rFonts w:eastAsia="Calibri"/>
                <w:i/>
                <w:color w:val="000000"/>
                <w:lang w:eastAsia="en-US"/>
              </w:rPr>
            </w:pPr>
            <w:r w:rsidRPr="00B37580">
              <w:rPr>
                <w:rFonts w:eastAsia="Calibri"/>
                <w:i/>
                <w:lang w:eastAsia="en-US"/>
              </w:rPr>
              <w:t xml:space="preserve">Návrh zákona má pozitívny vplyv na výšku nominálnych hodnôt dávok </w:t>
            </w:r>
            <w:r w:rsidRPr="00B37580">
              <w:rPr>
                <w:i/>
                <w:lang w:eastAsia="en-US"/>
              </w:rPr>
              <w:t>výsluhového dôchodku, invalidného výsluhového dôchodku, vdovského výsluhového dôchodku, vdoveckého výsluhového dôchodku, a sirotského výsluhového dôchodku (ďalej len „dôchodková dávka výsluhového zabezpečenia“)</w:t>
            </w:r>
            <w:r w:rsidRPr="00B37580">
              <w:rPr>
                <w:rFonts w:ascii="ms sans serif" w:hAnsi="ms sans serif" w:cs="ms sans serif"/>
                <w:i/>
                <w:lang w:eastAsia="en-US"/>
              </w:rPr>
              <w:t xml:space="preserve"> </w:t>
            </w:r>
            <w:r w:rsidRPr="00B37580">
              <w:rPr>
                <w:rFonts w:eastAsia="Calibri"/>
                <w:i/>
                <w:lang w:eastAsia="en-US"/>
              </w:rPr>
              <w:t xml:space="preserve">u dotknutého okruhu poberateľov. To znamená, že návrh zákona predstavuje zvýšenie príjmov domácností. </w:t>
            </w:r>
            <w:r w:rsidRPr="00B37580">
              <w:rPr>
                <w:i/>
                <w:lang w:eastAsia="en-US"/>
              </w:rPr>
              <w:t>Cieľom návrhu zákona je zvýšenie, valorizácia dôchodkových dávok výsluhového zabezpečenia, ktoré sú uhrádzané z osobitných účtov</w:t>
            </w:r>
            <w:r w:rsidRPr="00B37580">
              <w:rPr>
                <w:rFonts w:cs="ms sans serif"/>
                <w:i/>
                <w:color w:val="000000"/>
              </w:rPr>
              <w:t xml:space="preserve"> útvarov sociálneho zabezpečenia Ministerstva vnútra SR, Slovenskej informačnej služby, Národného bezpečnostného úradu, Finančného riaditeľstva SR, Zboru väzenskej a justičnej stráže (ďalej len „útvarov sociálneho zabezpečenia“) a Vojenského úradu sociálneho zabezpečenia</w:t>
            </w:r>
            <w:r w:rsidRPr="00B37580">
              <w:rPr>
                <w:i/>
                <w:lang w:eastAsia="en-US"/>
              </w:rPr>
              <w:t xml:space="preserve">. Výsluhový dôchodok sa od  roku 2019 zvýši pevnou sumou v závislosti na celkovej dobe trvania služobného pomeru a pokiaľ ide o pozostalostné dôchodkové dávky a invalidný výsluhový dôchodok, tieto sa zvýšia rovnakou pevnou sumou. </w:t>
            </w:r>
          </w:p>
        </w:tc>
      </w:tr>
      <w:tr w:rsidR="00B37580" w:rsidRPr="00B37580" w:rsidTr="008046BF">
        <w:trPr>
          <w:trHeight w:val="624"/>
          <w:jc w:val="center"/>
        </w:trPr>
        <w:tc>
          <w:tcPr>
            <w:tcW w:w="2500" w:type="pct"/>
            <w:tcBorders>
              <w:top w:val="dotted" w:sz="4" w:space="0" w:color="auto"/>
              <w:left w:val="single" w:sz="4" w:space="0" w:color="auto"/>
              <w:bottom w:val="single" w:sz="4" w:space="0" w:color="auto"/>
              <w:right w:val="single" w:sz="4" w:space="0" w:color="auto"/>
            </w:tcBorders>
            <w:hideMark/>
          </w:tcPr>
          <w:p w:rsidR="00B37580" w:rsidRPr="00B37580" w:rsidRDefault="00B37580" w:rsidP="00B37580">
            <w:pPr>
              <w:rPr>
                <w:rFonts w:eastAsia="Calibri"/>
                <w:i/>
              </w:rPr>
            </w:pPr>
            <w:r w:rsidRPr="00B37580">
              <w:rPr>
                <w:rFonts w:eastAsia="Calibri"/>
                <w:i/>
              </w:rPr>
              <w:t xml:space="preserve">Špecifikujte </w:t>
            </w:r>
            <w:r w:rsidRPr="00B37580">
              <w:rPr>
                <w:rFonts w:eastAsia="Calibri"/>
                <w:b/>
                <w:i/>
              </w:rPr>
              <w:t>pozitívne</w:t>
            </w:r>
            <w:r w:rsidRPr="00B37580">
              <w:rPr>
                <w:rFonts w:eastAsia="Calibri"/>
                <w:i/>
              </w:rPr>
              <w:t xml:space="preserve"> ovplyvnené skupiny:</w:t>
            </w:r>
          </w:p>
        </w:tc>
        <w:tc>
          <w:tcPr>
            <w:tcW w:w="2500" w:type="pct"/>
            <w:tcBorders>
              <w:top w:val="dotted" w:sz="4" w:space="0" w:color="auto"/>
              <w:left w:val="single" w:sz="4" w:space="0" w:color="auto"/>
              <w:bottom w:val="single" w:sz="4" w:space="0" w:color="auto"/>
              <w:right w:val="single" w:sz="4" w:space="0" w:color="auto"/>
            </w:tcBorders>
            <w:hideMark/>
          </w:tcPr>
          <w:p w:rsidR="00B37580" w:rsidRPr="00B37580" w:rsidRDefault="00B37580" w:rsidP="00B37580">
            <w:pPr>
              <w:spacing w:after="200" w:line="276" w:lineRule="auto"/>
              <w:jc w:val="both"/>
              <w:rPr>
                <w:rFonts w:eastAsia="Calibri"/>
                <w:i/>
              </w:rPr>
            </w:pPr>
            <w:r w:rsidRPr="00B37580">
              <w:rPr>
                <w:rFonts w:eastAsia="Calibri"/>
                <w:i/>
              </w:rPr>
              <w:t xml:space="preserve">Poberatelia výsluhového dôchodku, invalidného výsluhového dôchodku, vdovského výsluhového dôchodku, vdoveckého výsluhového dôchodku a sirotského výsluhového dôchodku  </w:t>
            </w:r>
          </w:p>
        </w:tc>
      </w:tr>
      <w:tr w:rsidR="00B37580" w:rsidRPr="00B37580" w:rsidTr="008046BF">
        <w:trPr>
          <w:trHeight w:val="759"/>
          <w:jc w:val="center"/>
        </w:trPr>
        <w:tc>
          <w:tcPr>
            <w:tcW w:w="2500" w:type="pct"/>
            <w:tcBorders>
              <w:top w:val="single" w:sz="4" w:space="0" w:color="auto"/>
              <w:left w:val="single" w:sz="4" w:space="0" w:color="auto"/>
              <w:bottom w:val="dotted" w:sz="4" w:space="0" w:color="auto"/>
              <w:right w:val="single" w:sz="4" w:space="0" w:color="auto"/>
            </w:tcBorders>
            <w:hideMark/>
          </w:tcPr>
          <w:p w:rsidR="00B37580" w:rsidRPr="00B37580" w:rsidRDefault="00B37580" w:rsidP="00B37580">
            <w:pPr>
              <w:rPr>
                <w:rFonts w:eastAsia="Calibri"/>
                <w:i/>
              </w:rPr>
            </w:pPr>
            <w:r w:rsidRPr="00B37580">
              <w:rPr>
                <w:rFonts w:eastAsia="Calibri"/>
                <w:i/>
              </w:rPr>
              <w:t xml:space="preserve">Popíšte </w:t>
            </w:r>
            <w:r w:rsidRPr="00B37580">
              <w:rPr>
                <w:rFonts w:eastAsia="Calibri"/>
                <w:b/>
                <w:i/>
              </w:rPr>
              <w:t xml:space="preserve">negatívny </w:t>
            </w:r>
            <w:r w:rsidRPr="00B37580">
              <w:rPr>
                <w:rFonts w:eastAsia="Calibri"/>
                <w:i/>
              </w:rPr>
              <w:t>vplyv na hospodárenie domácností s uvedením, či ide o zníženie príjmov alebo zvýšenie výdavkov:</w:t>
            </w:r>
          </w:p>
        </w:tc>
        <w:tc>
          <w:tcPr>
            <w:tcW w:w="2500" w:type="pct"/>
            <w:tcBorders>
              <w:top w:val="single" w:sz="4" w:space="0" w:color="auto"/>
              <w:left w:val="single" w:sz="4" w:space="0" w:color="auto"/>
              <w:bottom w:val="dotted" w:sz="4" w:space="0" w:color="auto"/>
              <w:right w:val="single" w:sz="4" w:space="0" w:color="auto"/>
            </w:tcBorders>
            <w:hideMark/>
          </w:tcPr>
          <w:p w:rsidR="00B37580" w:rsidRPr="00B37580" w:rsidRDefault="00B37580" w:rsidP="00B37580">
            <w:pPr>
              <w:jc w:val="both"/>
              <w:rPr>
                <w:rFonts w:eastAsia="Calibri"/>
                <w:i/>
              </w:rPr>
            </w:pPr>
            <w:r w:rsidRPr="00B37580">
              <w:rPr>
                <w:rFonts w:eastAsia="Calibri"/>
                <w:i/>
              </w:rPr>
              <w:t xml:space="preserve">Návrh zákona má pozitívny vplyv u poberateľov výsluhových dôchodkov, ktorých doba trvania služobného pomeru bola dlhšia. Napr. poberateľ výsluhového dôchodku, ktorému je poukazovaná suma výsluhového dôchodku v sume 500 eur a jeho služobný pomer trval 30 rokov, pri zvyšovaní tzv. dôchodcovskou infláciou napr. v roku 2019 o 2,6 % by mal zvýšený výsluhový dôchodok o sumu 13,00 eur, avšak pri navrhovanom spôsobe zvýšenia sa mu výsluhový dôchodok zvýši o sumu 18,00 eur. U poberateľa výsluhového dôchodku, ktorému je poukazovaná suma 800 eur, avšak doba trvania jeho služobného pomeru je 20 rokov, pri zvyšovaní tzv. dôchodcovskou infláciou  napr. v roku 2019 o 2,6 % by mal zvýšený výsluhový dôchodok o sumu 20,80 eur, avšak pri navrhovanom spôsobe zvýšenia sa mu výsluhový dôchodok zvýši o sumu 12,00 eur. Ak by u tohto poberateľa bola doba trvania služobného pomeru minimálne 35 rokov, suma výsluhového dôchodku by sa mu zvýšila o 21,00 eur. </w:t>
            </w:r>
          </w:p>
          <w:p w:rsidR="00B37580" w:rsidRPr="00B37580" w:rsidRDefault="00B37580" w:rsidP="00B37580">
            <w:pPr>
              <w:jc w:val="both"/>
              <w:rPr>
                <w:rFonts w:eastAsia="Calibri"/>
                <w:i/>
              </w:rPr>
            </w:pPr>
          </w:p>
        </w:tc>
      </w:tr>
      <w:tr w:rsidR="00B37580" w:rsidRPr="00B37580" w:rsidTr="008046BF">
        <w:trPr>
          <w:trHeight w:val="624"/>
          <w:jc w:val="center"/>
        </w:trPr>
        <w:tc>
          <w:tcPr>
            <w:tcW w:w="2500" w:type="pct"/>
            <w:tcBorders>
              <w:top w:val="dotted" w:sz="4" w:space="0" w:color="auto"/>
              <w:left w:val="single" w:sz="4" w:space="0" w:color="auto"/>
              <w:bottom w:val="single" w:sz="4" w:space="0" w:color="auto"/>
              <w:right w:val="single" w:sz="4" w:space="0" w:color="auto"/>
            </w:tcBorders>
            <w:hideMark/>
          </w:tcPr>
          <w:p w:rsidR="00B37580" w:rsidRPr="00B37580" w:rsidRDefault="00B37580" w:rsidP="00B37580">
            <w:pPr>
              <w:rPr>
                <w:rFonts w:eastAsia="Calibri"/>
                <w:i/>
              </w:rPr>
            </w:pPr>
            <w:r w:rsidRPr="00B37580">
              <w:rPr>
                <w:rFonts w:eastAsia="Calibri"/>
                <w:i/>
              </w:rPr>
              <w:lastRenderedPageBreak/>
              <w:t xml:space="preserve">Špecifikujte </w:t>
            </w:r>
            <w:r w:rsidRPr="00B37580">
              <w:rPr>
                <w:rFonts w:eastAsia="Calibri"/>
                <w:b/>
                <w:i/>
              </w:rPr>
              <w:t>negatívne</w:t>
            </w:r>
            <w:r w:rsidRPr="00B37580">
              <w:rPr>
                <w:rFonts w:eastAsia="Calibri"/>
                <w:i/>
              </w:rPr>
              <w:t xml:space="preserve"> ovplyvnené skupiny:</w:t>
            </w:r>
          </w:p>
        </w:tc>
        <w:tc>
          <w:tcPr>
            <w:tcW w:w="2500" w:type="pct"/>
            <w:tcBorders>
              <w:top w:val="dotted" w:sz="4" w:space="0" w:color="auto"/>
              <w:left w:val="single" w:sz="4" w:space="0" w:color="auto"/>
              <w:bottom w:val="single" w:sz="4" w:space="0" w:color="auto"/>
              <w:right w:val="single" w:sz="4" w:space="0" w:color="auto"/>
            </w:tcBorders>
            <w:hideMark/>
          </w:tcPr>
          <w:p w:rsidR="00B37580" w:rsidRPr="00B37580" w:rsidRDefault="00B37580" w:rsidP="00B37580">
            <w:pPr>
              <w:jc w:val="both"/>
              <w:rPr>
                <w:rFonts w:eastAsia="Calibri"/>
                <w:i/>
              </w:rPr>
            </w:pPr>
            <w:r w:rsidRPr="00B37580">
              <w:rPr>
                <w:rFonts w:eastAsia="Calibri"/>
                <w:i/>
              </w:rPr>
              <w:t>Návrhom zákona sú negatívne ovplyvnené skupiny tých poberateľov výsluhových dôchodkov, ktorých doba trvania služobného pomeru je nižšia a výsluhový dôchodok je poukazovaný v takej  sume, ktorá by za predpokladu zvýšenia tzv. dôchodcovskou infláciou bola zvýšená vo vyššom finančnom vyjadrení.</w:t>
            </w:r>
          </w:p>
        </w:tc>
      </w:tr>
      <w:tr w:rsidR="00B37580" w:rsidRPr="00B37580" w:rsidTr="008046BF">
        <w:trPr>
          <w:trHeight w:val="680"/>
          <w:jc w:val="center"/>
        </w:trPr>
        <w:tc>
          <w:tcPr>
            <w:tcW w:w="2500" w:type="pct"/>
            <w:tcBorders>
              <w:top w:val="single" w:sz="4" w:space="0" w:color="auto"/>
              <w:left w:val="single" w:sz="4" w:space="0" w:color="auto"/>
              <w:bottom w:val="nil"/>
              <w:right w:val="single" w:sz="4" w:space="0" w:color="auto"/>
            </w:tcBorders>
            <w:hideMark/>
          </w:tcPr>
          <w:p w:rsidR="00B37580" w:rsidRPr="00B37580" w:rsidRDefault="00B37580" w:rsidP="00B37580">
            <w:pPr>
              <w:rPr>
                <w:rFonts w:eastAsia="Calibri"/>
                <w:i/>
              </w:rPr>
            </w:pPr>
            <w:r w:rsidRPr="00B37580">
              <w:rPr>
                <w:rFonts w:eastAsia="Calibri"/>
                <w:i/>
              </w:rPr>
              <w:t xml:space="preserve">Špecifikujte ovplyvnené skupiny </w:t>
            </w:r>
            <w:r w:rsidRPr="00B37580">
              <w:rPr>
                <w:rFonts w:eastAsia="Calibri"/>
                <w:b/>
                <w:i/>
              </w:rPr>
              <w:t>v riziku chudoby alebo sociálneho vylúčenia</w:t>
            </w:r>
            <w:r w:rsidRPr="00B37580">
              <w:rPr>
                <w:rFonts w:eastAsia="Calibri"/>
                <w:i/>
              </w:rPr>
              <w:t xml:space="preserve"> a popíšte vplyv:</w:t>
            </w:r>
          </w:p>
        </w:tc>
        <w:tc>
          <w:tcPr>
            <w:tcW w:w="2500" w:type="pct"/>
            <w:tcBorders>
              <w:top w:val="single" w:sz="4" w:space="0" w:color="auto"/>
              <w:left w:val="single" w:sz="4" w:space="0" w:color="auto"/>
              <w:bottom w:val="nil"/>
              <w:right w:val="single" w:sz="4" w:space="0" w:color="auto"/>
            </w:tcBorders>
            <w:hideMark/>
          </w:tcPr>
          <w:p w:rsidR="00B37580" w:rsidRPr="00B37580" w:rsidRDefault="00B37580" w:rsidP="00B37580">
            <w:pPr>
              <w:rPr>
                <w:rFonts w:eastAsia="Calibri"/>
                <w:i/>
              </w:rPr>
            </w:pPr>
            <w:r w:rsidRPr="00B37580">
              <w:rPr>
                <w:rFonts w:eastAsia="Calibri"/>
                <w:i/>
              </w:rPr>
              <w:t xml:space="preserve">Bez vplyvu </w:t>
            </w:r>
          </w:p>
        </w:tc>
      </w:tr>
    </w:tbl>
    <w:p w:rsidR="00B37580" w:rsidRPr="00B37580" w:rsidRDefault="00B37580" w:rsidP="00B37580">
      <w:pPr>
        <w:rPr>
          <w:rFonts w:eastAsia="Calibri"/>
          <w:i/>
        </w:rPr>
        <w:sectPr w:rsidR="00B37580" w:rsidRPr="00B37580">
          <w:footnotePr>
            <w:numFmt w:val="chicago"/>
          </w:footnotePr>
          <w:type w:val="continuous"/>
          <w:pgSz w:w="11906" w:h="16838"/>
          <w:pgMar w:top="1134" w:right="1418" w:bottom="1134" w:left="1418" w:header="510" w:footer="567" w:gutter="0"/>
          <w:cols w:space="708"/>
          <w:formProt w:val="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B37580" w:rsidRPr="00B37580" w:rsidTr="008046BF">
        <w:trPr>
          <w:trHeight w:val="680"/>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7580" w:rsidRPr="00B37580" w:rsidRDefault="00B37580" w:rsidP="00B37580">
            <w:pPr>
              <w:jc w:val="both"/>
              <w:rPr>
                <w:rFonts w:eastAsia="Calibri"/>
                <w:i/>
              </w:rPr>
            </w:pPr>
            <w:r w:rsidRPr="00B37580">
              <w:rPr>
                <w:rFonts w:eastAsia="Calibri"/>
                <w:i/>
              </w:rPr>
              <w:lastRenderedPageBreak/>
              <w:t>Kvantifikujte rast alebo pokles príjmov/výdavkov za jednotlivé ovplyvnené skupiny domácností / skupiny jednotlivcov a počet obyvateľstva/domácností ovplyvnených predkladaným materiálom.</w:t>
            </w:r>
          </w:p>
          <w:p w:rsidR="00B37580" w:rsidRPr="00B37580" w:rsidRDefault="00B37580" w:rsidP="00B37580">
            <w:pPr>
              <w:jc w:val="both"/>
              <w:rPr>
                <w:rFonts w:eastAsia="Calibri"/>
                <w:i/>
              </w:rPr>
            </w:pPr>
            <w:r w:rsidRPr="00B37580">
              <w:rPr>
                <w:rFonts w:eastAsia="Calibri"/>
                <w:i/>
              </w:rPr>
              <w:t>V prípade vyššieho počtu ovplyvnených skupín doplňte do tabuľky ďalšie riadky.</w:t>
            </w:r>
          </w:p>
          <w:p w:rsidR="00B37580" w:rsidRPr="00B37580" w:rsidRDefault="00B37580" w:rsidP="00B37580">
            <w:pPr>
              <w:tabs>
                <w:tab w:val="left" w:pos="3505"/>
              </w:tabs>
              <w:rPr>
                <w:rFonts w:eastAsia="Calibri"/>
                <w:i/>
              </w:rPr>
            </w:pPr>
            <w:r w:rsidRPr="00B37580">
              <w:rPr>
                <w:rFonts w:eastAsia="Calibri"/>
                <w:i/>
              </w:rPr>
              <w:t>V prípade, ak neuvádzate kvantifikáciu, uveďte dôvod.</w:t>
            </w:r>
          </w:p>
          <w:p w:rsidR="00B37580" w:rsidRPr="00B37580" w:rsidRDefault="00B37580" w:rsidP="00B37580">
            <w:pPr>
              <w:tabs>
                <w:tab w:val="left" w:pos="3505"/>
              </w:tabs>
              <w:rPr>
                <w:rFonts w:eastAsia="Calibri"/>
              </w:rPr>
            </w:pPr>
          </w:p>
        </w:tc>
      </w:tr>
    </w:tbl>
    <w:p w:rsidR="00B37580" w:rsidRPr="00B37580" w:rsidRDefault="00B37580" w:rsidP="00B37580">
      <w:pPr>
        <w:rPr>
          <w:rFonts w:eastAsia="Calibri"/>
          <w:b/>
          <w:i/>
        </w:rPr>
        <w:sectPr w:rsidR="00B37580" w:rsidRPr="00B37580">
          <w:footnotePr>
            <w:numFmt w:val="chicago"/>
          </w:footnotePr>
          <w:type w:val="continuous"/>
          <w:pgSz w:w="11906" w:h="16838"/>
          <w:pgMar w:top="1134" w:right="1418" w:bottom="1134" w:left="1418" w:header="510" w:footer="567" w:gutter="0"/>
          <w:cols w:space="708"/>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802"/>
        <w:gridCol w:w="4803"/>
      </w:tblGrid>
      <w:tr w:rsidR="00B37580" w:rsidRPr="00B37580" w:rsidTr="008046BF">
        <w:trPr>
          <w:trHeight w:val="286"/>
          <w:jc w:val="center"/>
        </w:trPr>
        <w:tc>
          <w:tcPr>
            <w:tcW w:w="5000" w:type="pct"/>
            <w:gridSpan w:val="2"/>
            <w:tcBorders>
              <w:top w:val="nil"/>
              <w:left w:val="single" w:sz="4" w:space="0" w:color="auto"/>
              <w:bottom w:val="single" w:sz="4" w:space="0" w:color="auto"/>
              <w:right w:val="single" w:sz="4" w:space="0" w:color="auto"/>
            </w:tcBorders>
            <w:hideMark/>
          </w:tcPr>
          <w:p w:rsidR="00B37580" w:rsidRPr="00B37580" w:rsidRDefault="00B37580" w:rsidP="00B37580">
            <w:pPr>
              <w:jc w:val="both"/>
              <w:rPr>
                <w:rFonts w:eastAsia="Calibri"/>
                <w:i/>
                <w:lang w:val="en-GB"/>
              </w:rPr>
            </w:pPr>
            <w:r w:rsidRPr="00B37580">
              <w:rPr>
                <w:rFonts w:eastAsia="Calibri"/>
                <w:b/>
                <w:i/>
              </w:rPr>
              <w:lastRenderedPageBreak/>
              <w:t xml:space="preserve">Ovplyvnená skupina poberatelia </w:t>
            </w:r>
            <w:r w:rsidRPr="00B37580">
              <w:rPr>
                <w:rFonts w:eastAsia="Calibri"/>
                <w:i/>
              </w:rPr>
              <w:t xml:space="preserve">výsluhového dôchodku, invalidného výsluhového dôchodku, vdovského výsluhového dôchodku, vdoveckého výsluhového dôchodku a sirotského výsluhového dôchodku  </w:t>
            </w:r>
          </w:p>
        </w:tc>
      </w:tr>
      <w:tr w:rsidR="00B37580" w:rsidRPr="00B37580" w:rsidTr="008046BF">
        <w:trPr>
          <w:trHeight w:val="503"/>
          <w:jc w:val="center"/>
        </w:trPr>
        <w:tc>
          <w:tcPr>
            <w:tcW w:w="2500" w:type="pct"/>
            <w:tcBorders>
              <w:top w:val="single" w:sz="4" w:space="0" w:color="auto"/>
              <w:left w:val="single" w:sz="4" w:space="0" w:color="auto"/>
              <w:bottom w:val="single" w:sz="4" w:space="0" w:color="BFBFBF" w:themeColor="background1" w:themeShade="BF"/>
              <w:right w:val="single" w:sz="4" w:space="0" w:color="auto"/>
            </w:tcBorders>
            <w:hideMark/>
          </w:tcPr>
          <w:p w:rsidR="00B37580" w:rsidRPr="00B37580" w:rsidRDefault="00B37580" w:rsidP="00B37580">
            <w:pPr>
              <w:rPr>
                <w:rFonts w:eastAsia="Calibri"/>
                <w:i/>
              </w:rPr>
            </w:pPr>
            <w:r w:rsidRPr="00B37580">
              <w:rPr>
                <w:rFonts w:eastAsia="Calibri"/>
                <w:i/>
              </w:rPr>
              <w:t>Pozitívny vplyv - priemerný rast príjmov/ pokles výdavkov v skupine v eurách a/alebo v % / obdobie:</w:t>
            </w:r>
          </w:p>
        </w:tc>
        <w:tc>
          <w:tcPr>
            <w:tcW w:w="2500" w:type="pct"/>
            <w:tcBorders>
              <w:top w:val="single" w:sz="4" w:space="0" w:color="auto"/>
              <w:left w:val="single" w:sz="4" w:space="0" w:color="auto"/>
              <w:bottom w:val="single" w:sz="4" w:space="0" w:color="BFBFBF" w:themeColor="background1" w:themeShade="BF"/>
              <w:right w:val="single" w:sz="4" w:space="0" w:color="auto"/>
            </w:tcBorders>
            <w:hideMark/>
          </w:tcPr>
          <w:p w:rsidR="00B37580" w:rsidRPr="00B37580" w:rsidRDefault="00B37580" w:rsidP="00B37580">
            <w:pPr>
              <w:spacing w:after="200" w:line="276" w:lineRule="auto"/>
              <w:contextualSpacing/>
              <w:jc w:val="both"/>
              <w:rPr>
                <w:rFonts w:eastAsiaTheme="minorHAnsi"/>
                <w:i/>
                <w:lang w:eastAsia="en-US"/>
              </w:rPr>
            </w:pPr>
            <w:r w:rsidRPr="00B37580">
              <w:rPr>
                <w:rFonts w:eastAsia="Calibri"/>
                <w:i/>
              </w:rPr>
              <w:t xml:space="preserve">Uvedeným návrhom zákona sa zvýšia príjmy ovplyvnenej skupiny poberateľov dôchodkových dávok výsluhového zabezpečenia o  stanovenú pevnú sumu zvýšenia. Napríklad, v prípade výsluhových dôchodcov sa pri dobe trvania služobného pomeru 15 rokov zvýši výsluhový dôchodok o pevnú sumu 9,00 eur mesačne v roku 2019, v prípade invalidných výsluhových dôchodcov o 9,00 eur mesačne v roku 2019. Za súčasného právneho stavu by sa zvýšenie všetkých </w:t>
            </w:r>
            <w:r w:rsidRPr="00B37580">
              <w:rPr>
                <w:rFonts w:eastAsiaTheme="minorHAnsi"/>
                <w:i/>
                <w:lang w:eastAsia="en-US"/>
              </w:rPr>
              <w:t>dôchodkových</w:t>
            </w:r>
            <w:r w:rsidRPr="00B37580">
              <w:rPr>
                <w:rFonts w:eastAsia="Calibri"/>
                <w:i/>
              </w:rPr>
              <w:t xml:space="preserve"> dávok výsluhového zabezpečenia v roku 2019 realizovalo v závislosti od tzv. dôchodcovskej inflácie, ktorá je na rok 2019 stanovená na 2,6 %, čo znamená, že poberatelia s vyššími sumami by mali dávky zvýšené o vyššiu pevnú sumu ako poberatelia s nižšími sumami.  Z uvedeného vyplýva, že návrhom zákona sa v</w:t>
            </w:r>
            <w:r w:rsidRPr="00B37580">
              <w:rPr>
                <w:rFonts w:eastAsiaTheme="minorHAnsi"/>
                <w:i/>
                <w:lang w:eastAsia="en-US"/>
              </w:rPr>
              <w:t>ýška zvýšenia (valorizácie) napr. u poberateľa výsluhového dôchodku  viaže na princíp zásluhovosti, ktorý sa prejaví u tých poberateľov výsluhového dôchodku, ktorých služobný pomer trval viac ako 15 rokov, pretože za každý ďalší skončený rok doby trvania služobného pomeru sa pevná suma zvyšuje. U ostatných poberateľov dôchodkových dávok výsluhového zabezpečenia sa stanovuje fixná pevná suma zvýšenia, ktorá bude rovnaká pre danú skupinu poberateľov. Navrhovaným novým mechanizmom zvýšenia sa priemerné výšky dôchodkových dávok výsluhového zabezpečenia napr. u výsluhového dôchodku v rámci osobitného účtu Ministerstva vnútra SR oproti súčasnej priemernej výške v roku 2019 zvýši o cca 1,85%, v roku 2020 o cca 2,1%, v roku 2021               o cca 2,33% a v roku 2022 o cca 3,1%.</w:t>
            </w:r>
          </w:p>
          <w:p w:rsidR="00B37580" w:rsidRPr="00B37580" w:rsidRDefault="00B37580" w:rsidP="00B37580">
            <w:pPr>
              <w:spacing w:after="200" w:line="276" w:lineRule="auto"/>
              <w:contextualSpacing/>
              <w:jc w:val="both"/>
              <w:rPr>
                <w:rFonts w:eastAsiaTheme="minorHAnsi"/>
                <w:i/>
                <w:lang w:eastAsia="en-US"/>
              </w:rPr>
            </w:pPr>
          </w:p>
          <w:p w:rsidR="00B37580" w:rsidRPr="00B37580" w:rsidRDefault="00B37580" w:rsidP="00B37580">
            <w:pPr>
              <w:spacing w:after="200" w:line="276" w:lineRule="auto"/>
              <w:contextualSpacing/>
              <w:jc w:val="both"/>
              <w:rPr>
                <w:rFonts w:eastAsiaTheme="minorHAnsi"/>
                <w:i/>
                <w:lang w:eastAsia="en-US"/>
              </w:rPr>
            </w:pPr>
            <w:r w:rsidRPr="00B37580">
              <w:rPr>
                <w:rFonts w:eastAsiaTheme="minorHAnsi"/>
                <w:i/>
                <w:lang w:eastAsia="en-US"/>
              </w:rPr>
              <w:t xml:space="preserve">Pokiaľ ide o priemernú výšku vdovského výsluhového dôchodku navrhovaným novým mechanizmom zvýšenia sa v rámci napr. osobitného účtu Ministerstva vnútra SR oproti súčasnej priemernej výške táto v roku 2019 zvýši o cca 2,5%, v roku 2020 o cca 2,4%, v roku 2021               </w:t>
            </w:r>
            <w:r w:rsidRPr="00B37580">
              <w:rPr>
                <w:rFonts w:eastAsiaTheme="minorHAnsi"/>
                <w:i/>
                <w:lang w:eastAsia="en-US"/>
              </w:rPr>
              <w:lastRenderedPageBreak/>
              <w:t>o cca 2,6% a v roku 2022 o cca 2,6%.</w:t>
            </w:r>
          </w:p>
          <w:p w:rsidR="00B37580" w:rsidRPr="00B37580" w:rsidRDefault="00B37580" w:rsidP="00B37580">
            <w:pPr>
              <w:spacing w:after="200" w:line="276" w:lineRule="auto"/>
              <w:contextualSpacing/>
              <w:jc w:val="both"/>
              <w:rPr>
                <w:rFonts w:eastAsia="Calibri"/>
                <w:i/>
              </w:rPr>
            </w:pPr>
            <w:r w:rsidRPr="00B37580">
              <w:rPr>
                <w:rFonts w:eastAsiaTheme="minorHAnsi"/>
                <w:i/>
                <w:lang w:eastAsia="en-US"/>
              </w:rPr>
              <w:t xml:space="preserve">  </w:t>
            </w:r>
          </w:p>
        </w:tc>
      </w:tr>
      <w:tr w:rsidR="00B37580" w:rsidRPr="00B37580" w:rsidTr="008046BF">
        <w:trPr>
          <w:trHeight w:val="497"/>
          <w:jc w:val="center"/>
        </w:trPr>
        <w:tc>
          <w:tcPr>
            <w:tcW w:w="2500" w:type="pct"/>
            <w:tcBorders>
              <w:top w:val="single" w:sz="4" w:space="0" w:color="BFBFBF" w:themeColor="background1" w:themeShade="BF"/>
              <w:left w:val="single" w:sz="4" w:space="0" w:color="auto"/>
              <w:bottom w:val="single" w:sz="4" w:space="0" w:color="BFBFBF" w:themeColor="background1" w:themeShade="BF"/>
              <w:right w:val="single" w:sz="4" w:space="0" w:color="auto"/>
            </w:tcBorders>
            <w:hideMark/>
          </w:tcPr>
          <w:p w:rsidR="00B37580" w:rsidRPr="00B37580" w:rsidRDefault="00B37580" w:rsidP="00B37580">
            <w:pPr>
              <w:rPr>
                <w:rFonts w:ascii="Calibri" w:eastAsia="Calibri" w:hAnsi="Calibri"/>
                <w:i/>
              </w:rPr>
            </w:pPr>
            <w:r w:rsidRPr="00B37580">
              <w:rPr>
                <w:rFonts w:eastAsia="Calibri"/>
                <w:i/>
              </w:rPr>
              <w:lastRenderedPageBreak/>
              <w:t xml:space="preserve">Negatívny vplyv - priemerný pokles príjmov/ rast výdavkov v skupine v eurách a/alebo v % / obdobie: </w:t>
            </w:r>
          </w:p>
        </w:tc>
        <w:tc>
          <w:tcPr>
            <w:tcW w:w="2500" w:type="pct"/>
            <w:tcBorders>
              <w:top w:val="single" w:sz="4" w:space="0" w:color="BFBFBF" w:themeColor="background1" w:themeShade="BF"/>
              <w:left w:val="single" w:sz="4" w:space="0" w:color="auto"/>
              <w:bottom w:val="single" w:sz="4" w:space="0" w:color="BFBFBF" w:themeColor="background1" w:themeShade="BF"/>
              <w:right w:val="single" w:sz="4" w:space="0" w:color="auto"/>
            </w:tcBorders>
            <w:hideMark/>
          </w:tcPr>
          <w:p w:rsidR="00B37580" w:rsidRPr="00B37580" w:rsidRDefault="00B37580" w:rsidP="00B37580">
            <w:pPr>
              <w:jc w:val="both"/>
              <w:rPr>
                <w:rFonts w:eastAsia="Calibri"/>
                <w:i/>
              </w:rPr>
            </w:pPr>
            <w:r w:rsidRPr="00B37580">
              <w:rPr>
                <w:rFonts w:eastAsia="Calibri"/>
                <w:i/>
              </w:rPr>
              <w:t>Návrh zákona má negatívny vplyv na tú skupinu poberateľov, ktorých doba trvania služobného pomeru je nižšia a suma výsluhového dôchodku, ak by bola zvyšovaná dôchodcovskou infláciou by sa zvýšila o vyššiu sumu ako sa zvýši iba za dobu trvania služobného pomeru. Pri zvyšovaní výsluhového dôchodku dôchodcovskou infláciou napr. v roku 2019 a pri navrhovanom novom mechanizme, je priemerný pokles príjmov celkovej skupiny poberateľov výsluhového dôchodku poukazovaných v rámci osobitného účtu napr. MV SR na úrovni cca 0,50%, v roku</w:t>
            </w:r>
            <w:r w:rsidRPr="00B37580">
              <w:rPr>
                <w:rFonts w:eastAsiaTheme="minorHAnsi"/>
                <w:i/>
                <w:lang w:eastAsia="en-US"/>
              </w:rPr>
              <w:t xml:space="preserve"> 2020 o cca 0,73%, v roku 2021 o cca 0,88% a v roku 2022 o cca 0,98%.</w:t>
            </w:r>
            <w:r w:rsidRPr="00B37580">
              <w:rPr>
                <w:rFonts w:eastAsia="Calibri"/>
                <w:i/>
              </w:rPr>
              <w:t xml:space="preserve"> </w:t>
            </w:r>
          </w:p>
        </w:tc>
      </w:tr>
      <w:tr w:rsidR="00B37580" w:rsidRPr="00B37580" w:rsidTr="008046BF">
        <w:trPr>
          <w:trHeight w:val="363"/>
          <w:jc w:val="center"/>
        </w:trPr>
        <w:tc>
          <w:tcPr>
            <w:tcW w:w="2500" w:type="pct"/>
            <w:tcBorders>
              <w:top w:val="single" w:sz="4" w:space="0" w:color="BFBFBF" w:themeColor="background1" w:themeShade="BF"/>
              <w:left w:val="single" w:sz="4" w:space="0" w:color="auto"/>
              <w:bottom w:val="single" w:sz="4" w:space="0" w:color="auto"/>
              <w:right w:val="single" w:sz="4" w:space="0" w:color="auto"/>
            </w:tcBorders>
            <w:hideMark/>
          </w:tcPr>
          <w:p w:rsidR="00B37580" w:rsidRPr="00B37580" w:rsidRDefault="00B37580" w:rsidP="00B37580">
            <w:pPr>
              <w:rPr>
                <w:rFonts w:ascii="Calibri" w:eastAsia="Calibri" w:hAnsi="Calibri"/>
                <w:i/>
              </w:rPr>
            </w:pPr>
            <w:r w:rsidRPr="00B37580">
              <w:rPr>
                <w:rFonts w:eastAsia="Calibri"/>
                <w:i/>
              </w:rPr>
              <w:t>Veľkosť skupiny (počet obyvateľov):</w:t>
            </w:r>
          </w:p>
        </w:tc>
        <w:tc>
          <w:tcPr>
            <w:tcW w:w="2500" w:type="pct"/>
            <w:tcBorders>
              <w:top w:val="single" w:sz="4" w:space="0" w:color="BFBFBF" w:themeColor="background1" w:themeShade="BF"/>
              <w:left w:val="single" w:sz="4" w:space="0" w:color="auto"/>
              <w:bottom w:val="single" w:sz="4" w:space="0" w:color="auto"/>
              <w:right w:val="single" w:sz="4" w:space="0" w:color="auto"/>
            </w:tcBorders>
            <w:hideMark/>
          </w:tcPr>
          <w:p w:rsidR="00B37580" w:rsidRPr="00B37580" w:rsidRDefault="00B37580" w:rsidP="00B37580">
            <w:pPr>
              <w:jc w:val="both"/>
              <w:rPr>
                <w:rFonts w:eastAsia="Calibri"/>
                <w:i/>
              </w:rPr>
            </w:pPr>
          </w:p>
        </w:tc>
      </w:tr>
      <w:tr w:rsidR="00B37580" w:rsidRPr="00B37580" w:rsidTr="008046BF">
        <w:trPr>
          <w:trHeight w:val="265"/>
          <w:jc w:val="center"/>
        </w:trPr>
        <w:tc>
          <w:tcPr>
            <w:tcW w:w="5000" w:type="pct"/>
            <w:gridSpan w:val="2"/>
            <w:tcBorders>
              <w:top w:val="single" w:sz="4" w:space="0" w:color="auto"/>
              <w:left w:val="single" w:sz="4" w:space="0" w:color="auto"/>
              <w:bottom w:val="single" w:sz="4" w:space="0" w:color="auto"/>
              <w:right w:val="single" w:sz="4" w:space="0" w:color="auto"/>
            </w:tcBorders>
          </w:tcPr>
          <w:p w:rsidR="00B37580" w:rsidRPr="00B37580" w:rsidRDefault="00B37580" w:rsidP="00B37580">
            <w:pPr>
              <w:jc w:val="both"/>
              <w:rPr>
                <w:rFonts w:eastAsia="Calibri"/>
                <w:i/>
              </w:rPr>
            </w:pPr>
          </w:p>
        </w:tc>
      </w:tr>
      <w:tr w:rsidR="00B37580" w:rsidRPr="00B37580" w:rsidTr="008046BF">
        <w:trPr>
          <w:trHeight w:val="587"/>
          <w:jc w:val="center"/>
        </w:trPr>
        <w:tc>
          <w:tcPr>
            <w:tcW w:w="2500" w:type="pct"/>
            <w:tcBorders>
              <w:top w:val="single" w:sz="4" w:space="0" w:color="auto"/>
              <w:left w:val="single" w:sz="4" w:space="0" w:color="auto"/>
              <w:bottom w:val="single" w:sz="4" w:space="0" w:color="BFBFBF" w:themeColor="background1" w:themeShade="BF"/>
              <w:right w:val="single" w:sz="4" w:space="0" w:color="auto"/>
            </w:tcBorders>
            <w:hideMark/>
          </w:tcPr>
          <w:p w:rsidR="00B37580" w:rsidRPr="00B37580" w:rsidRDefault="00B37580" w:rsidP="00B37580">
            <w:pPr>
              <w:rPr>
                <w:rFonts w:eastAsia="Calibri"/>
                <w:i/>
              </w:rPr>
            </w:pPr>
            <w:r w:rsidRPr="00B37580">
              <w:rPr>
                <w:rFonts w:eastAsia="Calibri"/>
                <w:i/>
              </w:rPr>
              <w:t>Pozitívny vplyv - priemerný rast príjmov/pokles výdavkov v skupine v eurách a/alebo v % / obdobie:</w:t>
            </w:r>
          </w:p>
        </w:tc>
        <w:tc>
          <w:tcPr>
            <w:tcW w:w="2500" w:type="pct"/>
            <w:tcBorders>
              <w:top w:val="single" w:sz="4" w:space="0" w:color="auto"/>
              <w:left w:val="single" w:sz="4" w:space="0" w:color="auto"/>
              <w:bottom w:val="single" w:sz="4" w:space="0" w:color="BFBFBF" w:themeColor="background1" w:themeShade="BF"/>
              <w:right w:val="single" w:sz="4" w:space="0" w:color="auto"/>
            </w:tcBorders>
          </w:tcPr>
          <w:p w:rsidR="00B37580" w:rsidRPr="00B37580" w:rsidRDefault="00B37580" w:rsidP="00B37580">
            <w:pPr>
              <w:jc w:val="both"/>
              <w:rPr>
                <w:rFonts w:eastAsia="Calibri"/>
                <w:i/>
              </w:rPr>
            </w:pPr>
            <w:r w:rsidRPr="00B37580">
              <w:rPr>
                <w:rFonts w:eastAsia="Calibri"/>
                <w:i/>
              </w:rPr>
              <w:t>Pokiaľ ide o poberateľov sirotských výsluhových dôchodkov pri zvyšovaní dôchodcovskou infláciou napr.  rámci osobitného účtu napr. MV SR v roku 2019   a navrhovaným novým mechanizmom zvýšenia v rámci celkovej skupiny týchto poberateľov dôjde k zvýšeniu ich príjmov v priemere o cca 1,1%, v roku</w:t>
            </w:r>
            <w:r w:rsidRPr="00B37580">
              <w:rPr>
                <w:rFonts w:eastAsiaTheme="minorHAnsi"/>
                <w:i/>
                <w:lang w:eastAsia="en-US"/>
              </w:rPr>
              <w:t xml:space="preserve"> 2020 o cca 2,29%, v roku 2021 o cca 3,5% a v roku 2022 o cca 4,5%</w:t>
            </w:r>
            <w:r w:rsidRPr="00B37580">
              <w:rPr>
                <w:rFonts w:eastAsia="Calibri"/>
                <w:i/>
              </w:rPr>
              <w:t>.</w:t>
            </w:r>
          </w:p>
        </w:tc>
      </w:tr>
      <w:tr w:rsidR="00B37580" w:rsidRPr="00B37580" w:rsidTr="008046BF">
        <w:trPr>
          <w:trHeight w:val="497"/>
          <w:jc w:val="center"/>
        </w:trPr>
        <w:tc>
          <w:tcPr>
            <w:tcW w:w="2500" w:type="pct"/>
            <w:tcBorders>
              <w:top w:val="single" w:sz="4" w:space="0" w:color="BFBFBF" w:themeColor="background1" w:themeShade="BF"/>
              <w:left w:val="single" w:sz="4" w:space="0" w:color="auto"/>
              <w:bottom w:val="single" w:sz="4" w:space="0" w:color="BFBFBF" w:themeColor="background1" w:themeShade="BF"/>
              <w:right w:val="single" w:sz="4" w:space="0" w:color="auto"/>
            </w:tcBorders>
            <w:hideMark/>
          </w:tcPr>
          <w:p w:rsidR="00B37580" w:rsidRPr="00B37580" w:rsidRDefault="00B37580" w:rsidP="00B37580">
            <w:pPr>
              <w:rPr>
                <w:rFonts w:ascii="Calibri" w:eastAsia="Calibri" w:hAnsi="Calibri"/>
                <w:i/>
              </w:rPr>
            </w:pPr>
            <w:r w:rsidRPr="00B37580">
              <w:rPr>
                <w:rFonts w:eastAsia="Calibri"/>
                <w:i/>
              </w:rPr>
              <w:t xml:space="preserve">Negatívny vplyv - priemerný pokles príjmov/ rast výdavkov v skupine v eurách a/alebo v % / obdobie: </w:t>
            </w:r>
          </w:p>
        </w:tc>
        <w:tc>
          <w:tcPr>
            <w:tcW w:w="2500" w:type="pct"/>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B37580" w:rsidRPr="00B37580" w:rsidRDefault="00B37580" w:rsidP="00B37580">
            <w:pPr>
              <w:jc w:val="both"/>
              <w:rPr>
                <w:rFonts w:eastAsia="Calibri"/>
                <w:i/>
              </w:rPr>
            </w:pPr>
          </w:p>
        </w:tc>
      </w:tr>
      <w:tr w:rsidR="00B37580" w:rsidRPr="00B37580" w:rsidTr="008046BF">
        <w:trPr>
          <w:trHeight w:val="363"/>
          <w:jc w:val="center"/>
        </w:trPr>
        <w:tc>
          <w:tcPr>
            <w:tcW w:w="2500" w:type="pct"/>
            <w:tcBorders>
              <w:top w:val="single" w:sz="4" w:space="0" w:color="BFBFBF" w:themeColor="background1" w:themeShade="BF"/>
              <w:left w:val="single" w:sz="4" w:space="0" w:color="auto"/>
              <w:bottom w:val="single" w:sz="4" w:space="0" w:color="auto"/>
              <w:right w:val="single" w:sz="4" w:space="0" w:color="auto"/>
            </w:tcBorders>
            <w:hideMark/>
          </w:tcPr>
          <w:p w:rsidR="00B37580" w:rsidRPr="00B37580" w:rsidRDefault="00B37580" w:rsidP="00B37580">
            <w:pPr>
              <w:rPr>
                <w:rFonts w:ascii="Calibri" w:eastAsia="Calibri" w:hAnsi="Calibri"/>
                <w:i/>
              </w:rPr>
            </w:pPr>
            <w:r w:rsidRPr="00B37580">
              <w:rPr>
                <w:rFonts w:eastAsia="Calibri"/>
                <w:i/>
              </w:rPr>
              <w:t>Veľkosť skupiny (počet obyvateľov):</w:t>
            </w:r>
          </w:p>
        </w:tc>
        <w:tc>
          <w:tcPr>
            <w:tcW w:w="2500" w:type="pct"/>
            <w:tcBorders>
              <w:top w:val="single" w:sz="4" w:space="0" w:color="BFBFBF" w:themeColor="background1" w:themeShade="BF"/>
              <w:left w:val="single" w:sz="4" w:space="0" w:color="auto"/>
              <w:bottom w:val="single" w:sz="4" w:space="0" w:color="auto"/>
              <w:right w:val="single" w:sz="4" w:space="0" w:color="auto"/>
            </w:tcBorders>
          </w:tcPr>
          <w:p w:rsidR="00B37580" w:rsidRPr="00B37580" w:rsidRDefault="00B37580" w:rsidP="00B37580">
            <w:pPr>
              <w:jc w:val="both"/>
              <w:rPr>
                <w:rFonts w:eastAsia="Calibri"/>
                <w:i/>
              </w:rPr>
            </w:pPr>
          </w:p>
        </w:tc>
      </w:tr>
      <w:tr w:rsidR="00B37580" w:rsidRPr="00B37580" w:rsidTr="008046BF">
        <w:trPr>
          <w:trHeight w:val="670"/>
          <w:jc w:val="center"/>
        </w:trPr>
        <w:tc>
          <w:tcPr>
            <w:tcW w:w="2500" w:type="pct"/>
            <w:tcBorders>
              <w:top w:val="single" w:sz="4" w:space="0" w:color="auto"/>
              <w:left w:val="single" w:sz="4" w:space="0" w:color="auto"/>
              <w:bottom w:val="single" w:sz="4" w:space="0" w:color="auto"/>
              <w:right w:val="single" w:sz="4" w:space="0" w:color="auto"/>
            </w:tcBorders>
            <w:hideMark/>
          </w:tcPr>
          <w:p w:rsidR="00B37580" w:rsidRPr="00B37580" w:rsidRDefault="00B37580" w:rsidP="00B37580">
            <w:pPr>
              <w:rPr>
                <w:rFonts w:ascii="Calibri" w:eastAsia="Calibri" w:hAnsi="Calibri"/>
                <w:i/>
              </w:rPr>
            </w:pPr>
            <w:r w:rsidRPr="00B37580">
              <w:rPr>
                <w:rFonts w:eastAsia="Calibri"/>
                <w:i/>
              </w:rPr>
              <w:t>Dôvod chýbajúcej kvantifikácie:</w:t>
            </w:r>
          </w:p>
        </w:tc>
        <w:tc>
          <w:tcPr>
            <w:tcW w:w="2500" w:type="pct"/>
            <w:tcBorders>
              <w:top w:val="single" w:sz="4" w:space="0" w:color="auto"/>
              <w:left w:val="single" w:sz="4" w:space="0" w:color="auto"/>
              <w:bottom w:val="single" w:sz="4" w:space="0" w:color="auto"/>
              <w:right w:val="single" w:sz="4" w:space="0" w:color="auto"/>
            </w:tcBorders>
          </w:tcPr>
          <w:p w:rsidR="00B37580" w:rsidRPr="00B37580" w:rsidRDefault="00B37580" w:rsidP="00B37580">
            <w:pPr>
              <w:jc w:val="both"/>
              <w:rPr>
                <w:rFonts w:eastAsia="Calibri"/>
              </w:rPr>
            </w:pPr>
          </w:p>
        </w:tc>
      </w:tr>
      <w:tr w:rsidR="00B37580" w:rsidRPr="00B37580" w:rsidTr="008046BF">
        <w:trPr>
          <w:trHeight w:val="670"/>
          <w:jc w:val="center"/>
        </w:trPr>
        <w:tc>
          <w:tcPr>
            <w:tcW w:w="2500" w:type="pct"/>
            <w:tcBorders>
              <w:top w:val="single" w:sz="4" w:space="0" w:color="auto"/>
              <w:left w:val="single" w:sz="4" w:space="0" w:color="auto"/>
              <w:bottom w:val="single" w:sz="4" w:space="0" w:color="auto"/>
              <w:right w:val="single" w:sz="4" w:space="0" w:color="auto"/>
            </w:tcBorders>
            <w:hideMark/>
          </w:tcPr>
          <w:p w:rsidR="00B37580" w:rsidRPr="00B37580" w:rsidRDefault="00B37580" w:rsidP="00B37580">
            <w:pPr>
              <w:jc w:val="both"/>
              <w:rPr>
                <w:rFonts w:eastAsia="Calibri"/>
                <w:i/>
                <w:sz w:val="22"/>
                <w:szCs w:val="22"/>
              </w:rPr>
            </w:pPr>
            <w:r w:rsidRPr="00B37580">
              <w:rPr>
                <w:rFonts w:eastAsia="Calibri"/>
                <w:i/>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tcBorders>
              <w:top w:val="single" w:sz="4" w:space="0" w:color="auto"/>
              <w:left w:val="single" w:sz="4" w:space="0" w:color="auto"/>
              <w:bottom w:val="single" w:sz="4" w:space="0" w:color="auto"/>
              <w:right w:val="single" w:sz="4" w:space="0" w:color="auto"/>
            </w:tcBorders>
          </w:tcPr>
          <w:p w:rsidR="00B37580" w:rsidRPr="00B37580" w:rsidRDefault="00B37580" w:rsidP="00B37580">
            <w:pPr>
              <w:jc w:val="both"/>
              <w:rPr>
                <w:rFonts w:eastAsia="Calibri"/>
              </w:rPr>
            </w:pPr>
          </w:p>
        </w:tc>
      </w:tr>
    </w:tbl>
    <w:p w:rsidR="00B37580" w:rsidRPr="00B37580" w:rsidRDefault="00B37580" w:rsidP="00B37580">
      <w:pPr>
        <w:spacing w:after="200" w:line="276" w:lineRule="auto"/>
        <w:rPr>
          <w:rFonts w:eastAsiaTheme="minorHAnsi"/>
          <w:lang w:eastAsia="en-US"/>
        </w:rPr>
      </w:pPr>
    </w:p>
    <w:p w:rsidR="00B37580" w:rsidRPr="00B37580" w:rsidRDefault="00B37580" w:rsidP="00B37580">
      <w:pPr>
        <w:spacing w:after="200" w:line="276" w:lineRule="auto"/>
        <w:rPr>
          <w:rFonts w:eastAsiaTheme="minorHAnsi"/>
          <w:lang w:eastAsia="en-US"/>
        </w:rPr>
      </w:pPr>
    </w:p>
    <w:p w:rsidR="00B37580" w:rsidRPr="00B37580" w:rsidRDefault="00B37580" w:rsidP="00B37580">
      <w:pPr>
        <w:spacing w:after="200" w:line="276" w:lineRule="auto"/>
        <w:rPr>
          <w:rFonts w:eastAsiaTheme="minorHAnsi"/>
          <w:lang w:eastAsia="en-US"/>
        </w:rPr>
      </w:pPr>
    </w:p>
    <w:p w:rsidR="00B37580" w:rsidRPr="00B37580" w:rsidRDefault="00B37580" w:rsidP="00B37580">
      <w:pPr>
        <w:spacing w:after="200" w:line="276" w:lineRule="auto"/>
        <w:rPr>
          <w:rFonts w:eastAsiaTheme="minorHAnsi"/>
          <w:lang w:eastAsia="en-US"/>
        </w:rPr>
      </w:pPr>
    </w:p>
    <w:p w:rsidR="00B37580" w:rsidRDefault="00B37580" w:rsidP="00B37580">
      <w:pPr>
        <w:spacing w:after="200" w:line="276" w:lineRule="auto"/>
        <w:rPr>
          <w:rFonts w:eastAsiaTheme="minorHAnsi"/>
          <w:lang w:eastAsia="en-US"/>
        </w:rPr>
      </w:pPr>
    </w:p>
    <w:p w:rsidR="0041018A" w:rsidRDefault="0041018A" w:rsidP="00B37580">
      <w:pPr>
        <w:spacing w:after="200" w:line="276" w:lineRule="auto"/>
        <w:rPr>
          <w:rFonts w:eastAsiaTheme="minorHAnsi"/>
          <w:lang w:eastAsia="en-US"/>
        </w:rPr>
      </w:pPr>
    </w:p>
    <w:p w:rsidR="0041018A" w:rsidRDefault="0041018A" w:rsidP="00B37580">
      <w:pPr>
        <w:spacing w:after="200" w:line="276" w:lineRule="auto"/>
        <w:rPr>
          <w:rFonts w:eastAsiaTheme="minorHAnsi"/>
          <w:lang w:eastAsia="en-US"/>
        </w:rPr>
      </w:pPr>
    </w:p>
    <w:p w:rsidR="0041018A" w:rsidRPr="00B37580" w:rsidRDefault="0041018A" w:rsidP="00B37580">
      <w:pPr>
        <w:spacing w:after="200" w:line="276" w:lineRule="auto"/>
        <w:rPr>
          <w:rFonts w:eastAsiaTheme="minorHAnsi"/>
          <w:lang w:eastAsia="en-US"/>
        </w:rPr>
      </w:pPr>
    </w:p>
    <w:p w:rsidR="00B37580" w:rsidRPr="00B37580" w:rsidRDefault="00B37580" w:rsidP="00B37580">
      <w:pPr>
        <w:spacing w:after="200" w:line="276" w:lineRule="auto"/>
        <w:rPr>
          <w:rFonts w:eastAsiaTheme="minorHAnsi"/>
          <w:lang w:eastAsia="en-US"/>
        </w:rPr>
      </w:pPr>
    </w:p>
    <w:p w:rsidR="00B37580" w:rsidRPr="00B37580" w:rsidRDefault="00B37580" w:rsidP="00B37580">
      <w:pPr>
        <w:spacing w:after="200" w:line="276" w:lineRule="auto"/>
        <w:rPr>
          <w:rFonts w:eastAsiaTheme="minorHAnsi"/>
          <w:lang w:eastAsia="en-US"/>
        </w:rPr>
      </w:pPr>
    </w:p>
    <w:p w:rsidR="00B37580" w:rsidRPr="00B37580" w:rsidRDefault="00B37580" w:rsidP="00B37580">
      <w:pPr>
        <w:spacing w:after="200" w:line="276" w:lineRule="auto"/>
        <w:rPr>
          <w:rFonts w:eastAsiaTheme="minorHAnsi"/>
          <w:lang w:eastAsia="en-US"/>
        </w:r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B37580" w:rsidRPr="00B37580" w:rsidTr="008046BF">
        <w:trPr>
          <w:trHeight w:val="339"/>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B37580" w:rsidRPr="00B37580" w:rsidRDefault="00B37580" w:rsidP="00B37580">
            <w:pPr>
              <w:rPr>
                <w:rFonts w:eastAsia="Calibri"/>
                <w:b/>
                <w:sz w:val="24"/>
                <w:szCs w:val="24"/>
              </w:rPr>
            </w:pPr>
            <w:r w:rsidRPr="00B37580">
              <w:rPr>
                <w:rFonts w:eastAsia="Calibri"/>
                <w:b/>
                <w:sz w:val="24"/>
                <w:szCs w:val="24"/>
              </w:rPr>
              <w:lastRenderedPageBreak/>
              <w:t>4.2 Identifikujte, popíšte a kvantifikujte vplyvy na prístup k zdrojom, právam, tovarom a službám u jednotlivých ovplyvnených skupín obyvateľstva a vplyv na sociálnu inklúziu.</w:t>
            </w:r>
          </w:p>
        </w:tc>
      </w:tr>
      <w:tr w:rsidR="00B37580" w:rsidRPr="00B37580" w:rsidTr="008046BF">
        <w:trPr>
          <w:trHeight w:val="290"/>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rsidR="00B37580" w:rsidRPr="00B37580" w:rsidRDefault="00B37580" w:rsidP="00B37580">
            <w:pPr>
              <w:jc w:val="both"/>
              <w:rPr>
                <w:rFonts w:eastAsia="Calibri"/>
                <w:i/>
                <w:szCs w:val="24"/>
              </w:rPr>
            </w:pPr>
            <w:r w:rsidRPr="00B37580">
              <w:rPr>
                <w:rFonts w:eastAsia="Calibri"/>
                <w:i/>
                <w:szCs w:val="24"/>
              </w:rPr>
              <w:t xml:space="preserve">Má návrh vplyv na prístup k zdrojom, právam, tovarom a službám? </w:t>
            </w:r>
          </w:p>
          <w:p w:rsidR="00B37580" w:rsidRPr="00B37580" w:rsidRDefault="00B37580" w:rsidP="00B37580">
            <w:pPr>
              <w:jc w:val="both"/>
              <w:rPr>
                <w:rFonts w:ascii="Calibri" w:eastAsia="Calibri" w:hAnsi="Calibri"/>
                <w:i/>
                <w:sz w:val="24"/>
                <w:szCs w:val="24"/>
              </w:rPr>
            </w:pPr>
            <w:r w:rsidRPr="00B37580">
              <w:rPr>
                <w:rFonts w:eastAsia="Calibri"/>
                <w:i/>
                <w:szCs w:val="24"/>
              </w:rPr>
              <w:t>Špecifikujete ovplyvnené skupiny obyvateľstva a charakter zmeny v prístupnosti s ohľadom na dostupnosť finančnú, geografickú, kvalitu, organizovanie a pod. Uveďte veľkosť jednotlivých ovplyvnených skupín.</w:t>
            </w:r>
          </w:p>
        </w:tc>
      </w:tr>
    </w:tbl>
    <w:p w:rsidR="00B37580" w:rsidRPr="00B37580" w:rsidRDefault="00B37580" w:rsidP="00B37580">
      <w:pPr>
        <w:rPr>
          <w:rFonts w:eastAsia="Calibri"/>
          <w:i/>
          <w:sz w:val="18"/>
          <w:szCs w:val="18"/>
        </w:rPr>
        <w:sectPr w:rsidR="00B37580" w:rsidRPr="00B37580">
          <w:footnotePr>
            <w:numFmt w:val="chicago"/>
          </w:footnotePr>
          <w:type w:val="continuous"/>
          <w:pgSz w:w="11906" w:h="16838"/>
          <w:pgMar w:top="1134" w:right="1418" w:bottom="1134" w:left="1418" w:header="510" w:footer="567" w:gutter="0"/>
          <w:cols w:space="708"/>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B37580" w:rsidRPr="00B37580" w:rsidTr="008046BF">
        <w:trPr>
          <w:trHeight w:val="557"/>
          <w:jc w:val="center"/>
        </w:trPr>
        <w:tc>
          <w:tcPr>
            <w:tcW w:w="1993" w:type="pct"/>
            <w:tcBorders>
              <w:top w:val="nil"/>
              <w:left w:val="single" w:sz="4" w:space="0" w:color="auto"/>
              <w:bottom w:val="nil"/>
              <w:right w:val="single" w:sz="4" w:space="0" w:color="auto"/>
            </w:tcBorders>
            <w:hideMark/>
          </w:tcPr>
          <w:p w:rsidR="0041018A" w:rsidRDefault="0041018A" w:rsidP="006A364B">
            <w:pPr>
              <w:jc w:val="both"/>
              <w:rPr>
                <w:rFonts w:eastAsia="Calibri"/>
                <w:i/>
                <w:sz w:val="18"/>
                <w:szCs w:val="18"/>
              </w:rPr>
            </w:pPr>
          </w:p>
          <w:p w:rsidR="00B37580" w:rsidRPr="00B37580" w:rsidRDefault="00B37580" w:rsidP="006A364B">
            <w:pPr>
              <w:jc w:val="both"/>
              <w:rPr>
                <w:rFonts w:eastAsia="Calibri"/>
                <w:i/>
                <w:sz w:val="18"/>
                <w:szCs w:val="18"/>
              </w:rPr>
            </w:pPr>
            <w:r w:rsidRPr="00B37580">
              <w:rPr>
                <w:rFonts w:eastAsia="Calibri"/>
                <w:i/>
                <w:sz w:val="18"/>
                <w:szCs w:val="18"/>
              </w:rPr>
              <w:t>Rozumie sa najmä na prístup k:</w:t>
            </w:r>
          </w:p>
          <w:p w:rsidR="00B37580" w:rsidRPr="00B37580" w:rsidRDefault="00B37580" w:rsidP="006A364B">
            <w:pPr>
              <w:numPr>
                <w:ilvl w:val="0"/>
                <w:numId w:val="6"/>
              </w:numPr>
              <w:spacing w:line="276" w:lineRule="auto"/>
              <w:jc w:val="both"/>
              <w:rPr>
                <w:rFonts w:eastAsia="Calibri"/>
                <w:i/>
                <w:sz w:val="18"/>
                <w:szCs w:val="18"/>
              </w:rPr>
            </w:pPr>
            <w:r w:rsidRPr="00B37580">
              <w:rPr>
                <w:rFonts w:eastAsia="Calibri"/>
                <w:i/>
                <w:sz w:val="18"/>
                <w:szCs w:val="18"/>
              </w:rPr>
              <w:t xml:space="preserve">sociálnej ochrane, sociálno-právnej ochrane, sociálnym službám (vrátane služieb starostlivosti o deti, starších ľudí a ľudí so zdravotným postihnutím), </w:t>
            </w:r>
          </w:p>
          <w:p w:rsidR="00B37580" w:rsidRPr="00B37580" w:rsidRDefault="00B37580" w:rsidP="006A364B">
            <w:pPr>
              <w:numPr>
                <w:ilvl w:val="0"/>
                <w:numId w:val="6"/>
              </w:numPr>
              <w:spacing w:line="276" w:lineRule="auto"/>
              <w:jc w:val="both"/>
              <w:rPr>
                <w:rFonts w:eastAsia="Calibri"/>
                <w:i/>
                <w:sz w:val="18"/>
                <w:szCs w:val="18"/>
              </w:rPr>
            </w:pPr>
            <w:r w:rsidRPr="00B37580">
              <w:rPr>
                <w:rFonts w:eastAsia="Calibri"/>
                <w:i/>
                <w:sz w:val="18"/>
                <w:szCs w:val="18"/>
              </w:rPr>
              <w:t>kvalitnej práci, ochrane zdravia, dôstojnosti a bezpečnosti pri práci pre zamestnancov a existujúcim zamestnaneckým právam,</w:t>
            </w:r>
          </w:p>
          <w:p w:rsidR="00B37580" w:rsidRPr="00B37580" w:rsidRDefault="00B37580" w:rsidP="006A364B">
            <w:pPr>
              <w:numPr>
                <w:ilvl w:val="0"/>
                <w:numId w:val="6"/>
              </w:numPr>
              <w:spacing w:line="276" w:lineRule="auto"/>
              <w:jc w:val="both"/>
              <w:rPr>
                <w:rFonts w:eastAsia="Calibri"/>
                <w:i/>
                <w:sz w:val="18"/>
                <w:szCs w:val="18"/>
              </w:rPr>
            </w:pPr>
            <w:r w:rsidRPr="00B37580">
              <w:rPr>
                <w:rFonts w:eastAsia="Calibri"/>
                <w:i/>
                <w:sz w:val="18"/>
                <w:szCs w:val="18"/>
              </w:rPr>
              <w:t xml:space="preserve">pomoci pri úhrade výdavkov súvisiacich so zdravotným postihnutím, </w:t>
            </w:r>
          </w:p>
          <w:p w:rsidR="00B37580" w:rsidRPr="00B37580" w:rsidRDefault="00B37580" w:rsidP="006A364B">
            <w:pPr>
              <w:numPr>
                <w:ilvl w:val="0"/>
                <w:numId w:val="6"/>
              </w:numPr>
              <w:spacing w:line="276" w:lineRule="auto"/>
              <w:jc w:val="both"/>
              <w:rPr>
                <w:rFonts w:eastAsia="Calibri"/>
                <w:i/>
                <w:sz w:val="18"/>
                <w:szCs w:val="18"/>
              </w:rPr>
            </w:pPr>
            <w:r w:rsidRPr="00B37580">
              <w:rPr>
                <w:rFonts w:eastAsia="Calibri"/>
                <w:i/>
                <w:sz w:val="18"/>
                <w:szCs w:val="18"/>
              </w:rPr>
              <w:t>zamestnaniu, na trh práce (napr. uľahčenie zosúladenia rodinných a pracovných povinností, služby zamestnanosti), k školeniam, odbornému vzdelávaniu a príprave na trh práce,</w:t>
            </w:r>
          </w:p>
          <w:p w:rsidR="00B37580" w:rsidRPr="00B37580" w:rsidRDefault="00B37580" w:rsidP="006A364B">
            <w:pPr>
              <w:numPr>
                <w:ilvl w:val="0"/>
                <w:numId w:val="6"/>
              </w:numPr>
              <w:spacing w:line="276" w:lineRule="auto"/>
              <w:jc w:val="both"/>
              <w:rPr>
                <w:rFonts w:eastAsia="Calibri"/>
                <w:i/>
                <w:sz w:val="18"/>
                <w:szCs w:val="18"/>
              </w:rPr>
            </w:pPr>
            <w:r w:rsidRPr="00B37580">
              <w:rPr>
                <w:rFonts w:eastAsia="Calibri"/>
                <w:i/>
                <w:sz w:val="18"/>
                <w:szCs w:val="18"/>
              </w:rPr>
              <w:t xml:space="preserve">zdravotnej starostlivosti vrátane cenovo dostupných pomôcok pre občanov so zdravotným postihnutím, </w:t>
            </w:r>
          </w:p>
          <w:p w:rsidR="00B37580" w:rsidRPr="00B37580" w:rsidRDefault="00B37580" w:rsidP="006A364B">
            <w:pPr>
              <w:numPr>
                <w:ilvl w:val="0"/>
                <w:numId w:val="6"/>
              </w:numPr>
              <w:spacing w:line="276" w:lineRule="auto"/>
              <w:jc w:val="both"/>
              <w:rPr>
                <w:rFonts w:eastAsia="Calibri"/>
                <w:i/>
                <w:sz w:val="18"/>
                <w:szCs w:val="18"/>
              </w:rPr>
            </w:pPr>
            <w:r w:rsidRPr="00B37580">
              <w:rPr>
                <w:rFonts w:eastAsia="Calibri"/>
                <w:i/>
                <w:sz w:val="18"/>
                <w:szCs w:val="18"/>
              </w:rPr>
              <w:t>k formálnemu i neformálnemu vzdelávaniu a celo</w:t>
            </w:r>
            <w:r w:rsidRPr="00B37580">
              <w:rPr>
                <w:rFonts w:eastAsia="Calibri"/>
                <w:i/>
                <w:sz w:val="18"/>
                <w:szCs w:val="18"/>
              </w:rPr>
              <w:softHyphen/>
              <w:t xml:space="preserve">životnému vzdelávaniu, </w:t>
            </w:r>
          </w:p>
          <w:p w:rsidR="00B37580" w:rsidRPr="00B37580" w:rsidRDefault="00B37580" w:rsidP="006A364B">
            <w:pPr>
              <w:numPr>
                <w:ilvl w:val="0"/>
                <w:numId w:val="6"/>
              </w:numPr>
              <w:spacing w:line="276" w:lineRule="auto"/>
              <w:jc w:val="both"/>
              <w:rPr>
                <w:rFonts w:eastAsia="Calibri"/>
                <w:i/>
                <w:sz w:val="18"/>
                <w:szCs w:val="18"/>
              </w:rPr>
            </w:pPr>
            <w:r w:rsidRPr="00B37580">
              <w:rPr>
                <w:rFonts w:eastAsia="Calibri"/>
                <w:i/>
                <w:sz w:val="18"/>
                <w:szCs w:val="18"/>
              </w:rPr>
              <w:t>bývaniu a súvisiacim základným komunálnym službám,</w:t>
            </w:r>
          </w:p>
          <w:p w:rsidR="00B37580" w:rsidRPr="00B37580" w:rsidRDefault="00B37580" w:rsidP="006A364B">
            <w:pPr>
              <w:numPr>
                <w:ilvl w:val="0"/>
                <w:numId w:val="6"/>
              </w:numPr>
              <w:spacing w:line="276" w:lineRule="auto"/>
              <w:jc w:val="both"/>
              <w:rPr>
                <w:rFonts w:eastAsia="Calibri"/>
                <w:i/>
                <w:sz w:val="18"/>
                <w:szCs w:val="18"/>
              </w:rPr>
            </w:pPr>
            <w:r w:rsidRPr="00B37580">
              <w:rPr>
                <w:rFonts w:eastAsia="Calibri"/>
                <w:i/>
                <w:sz w:val="18"/>
                <w:szCs w:val="18"/>
              </w:rPr>
              <w:t>doprave,</w:t>
            </w:r>
          </w:p>
          <w:p w:rsidR="00B37580" w:rsidRPr="00B37580" w:rsidRDefault="00B37580" w:rsidP="006A364B">
            <w:pPr>
              <w:numPr>
                <w:ilvl w:val="0"/>
                <w:numId w:val="6"/>
              </w:numPr>
              <w:spacing w:line="276" w:lineRule="auto"/>
              <w:jc w:val="both"/>
              <w:rPr>
                <w:rFonts w:eastAsia="Calibri"/>
                <w:i/>
                <w:sz w:val="18"/>
                <w:szCs w:val="18"/>
              </w:rPr>
            </w:pPr>
            <w:r w:rsidRPr="00B37580">
              <w:rPr>
                <w:rFonts w:eastAsia="Calibri"/>
                <w:i/>
                <w:sz w:val="18"/>
                <w:szCs w:val="18"/>
              </w:rPr>
              <w:t>ďalším službám najmä službám všeobecného záujmu a tovarom,</w:t>
            </w:r>
          </w:p>
          <w:p w:rsidR="00B37580" w:rsidRPr="00B37580" w:rsidRDefault="00B37580" w:rsidP="006A364B">
            <w:pPr>
              <w:numPr>
                <w:ilvl w:val="0"/>
                <w:numId w:val="6"/>
              </w:numPr>
              <w:spacing w:line="276" w:lineRule="auto"/>
              <w:jc w:val="both"/>
              <w:rPr>
                <w:rFonts w:eastAsia="Calibri"/>
                <w:i/>
                <w:sz w:val="18"/>
                <w:szCs w:val="18"/>
              </w:rPr>
            </w:pPr>
            <w:r w:rsidRPr="00B37580">
              <w:rPr>
                <w:rFonts w:eastAsia="Calibri"/>
                <w:i/>
                <w:sz w:val="18"/>
                <w:szCs w:val="18"/>
              </w:rPr>
              <w:t>spravodlivosti, právnej ochrane, právnym službám,</w:t>
            </w:r>
          </w:p>
          <w:p w:rsidR="00B37580" w:rsidRPr="00B37580" w:rsidRDefault="00B37580" w:rsidP="006A364B">
            <w:pPr>
              <w:numPr>
                <w:ilvl w:val="0"/>
                <w:numId w:val="6"/>
              </w:numPr>
              <w:spacing w:line="276" w:lineRule="auto"/>
              <w:jc w:val="both"/>
              <w:rPr>
                <w:rFonts w:eastAsia="Calibri"/>
                <w:i/>
                <w:sz w:val="18"/>
                <w:szCs w:val="18"/>
              </w:rPr>
            </w:pPr>
            <w:r w:rsidRPr="00B37580">
              <w:rPr>
                <w:rFonts w:eastAsia="Calibri"/>
                <w:i/>
                <w:sz w:val="18"/>
                <w:szCs w:val="18"/>
              </w:rPr>
              <w:t>informáciám</w:t>
            </w:r>
          </w:p>
          <w:p w:rsidR="00B37580" w:rsidRPr="00B37580" w:rsidRDefault="00B37580" w:rsidP="006A364B">
            <w:pPr>
              <w:numPr>
                <w:ilvl w:val="0"/>
                <w:numId w:val="6"/>
              </w:numPr>
              <w:spacing w:line="276" w:lineRule="auto"/>
              <w:jc w:val="both"/>
              <w:rPr>
                <w:rFonts w:ascii="Calibri" w:eastAsia="Calibri" w:hAnsi="Calibri"/>
                <w:i/>
              </w:rPr>
            </w:pPr>
            <w:r w:rsidRPr="00B37580">
              <w:rPr>
                <w:rFonts w:eastAsia="Calibri"/>
                <w:i/>
                <w:sz w:val="18"/>
                <w:szCs w:val="18"/>
              </w:rPr>
              <w:t>k iným právam (napr. politickým).</w:t>
            </w:r>
          </w:p>
        </w:tc>
        <w:tc>
          <w:tcPr>
            <w:tcW w:w="3007" w:type="pct"/>
            <w:tcBorders>
              <w:top w:val="nil"/>
              <w:left w:val="single" w:sz="4" w:space="0" w:color="auto"/>
              <w:bottom w:val="nil"/>
              <w:right w:val="single" w:sz="4" w:space="0" w:color="auto"/>
            </w:tcBorders>
          </w:tcPr>
          <w:p w:rsidR="00B37580" w:rsidRPr="00B37580" w:rsidRDefault="00B37580" w:rsidP="00B37580">
            <w:pPr>
              <w:rPr>
                <w:rFonts w:eastAsia="Calibri"/>
              </w:rPr>
            </w:pPr>
          </w:p>
          <w:p w:rsidR="00B37580" w:rsidRPr="00B37580" w:rsidRDefault="00B37580" w:rsidP="00B37580">
            <w:pPr>
              <w:rPr>
                <w:rFonts w:eastAsia="Calibri"/>
                <w:i/>
              </w:rPr>
            </w:pPr>
          </w:p>
          <w:p w:rsidR="00B37580" w:rsidRPr="00B37580" w:rsidRDefault="00B37580" w:rsidP="00B37580">
            <w:pPr>
              <w:rPr>
                <w:rFonts w:eastAsia="Calibri"/>
                <w:i/>
              </w:rPr>
            </w:pPr>
          </w:p>
          <w:p w:rsidR="00B37580" w:rsidRPr="00B37580" w:rsidRDefault="00B37580" w:rsidP="00B37580">
            <w:pPr>
              <w:rPr>
                <w:rFonts w:eastAsia="Calibri"/>
                <w:i/>
              </w:rPr>
            </w:pPr>
          </w:p>
          <w:p w:rsidR="00B37580" w:rsidRPr="00B37580" w:rsidRDefault="00B37580" w:rsidP="00B37580">
            <w:pPr>
              <w:rPr>
                <w:rFonts w:eastAsia="Calibri"/>
                <w:i/>
              </w:rPr>
            </w:pPr>
          </w:p>
          <w:p w:rsidR="00B37580" w:rsidRPr="00B37580" w:rsidRDefault="00B37580" w:rsidP="00B37580">
            <w:pPr>
              <w:rPr>
                <w:rFonts w:eastAsia="Calibri"/>
                <w:i/>
              </w:rPr>
            </w:pPr>
          </w:p>
          <w:p w:rsidR="00B37580" w:rsidRPr="00B37580" w:rsidRDefault="00B37580" w:rsidP="00B37580">
            <w:pPr>
              <w:rPr>
                <w:rFonts w:eastAsia="Calibri"/>
                <w:i/>
              </w:rPr>
            </w:pPr>
          </w:p>
          <w:p w:rsidR="00B37580" w:rsidRPr="00B37580" w:rsidRDefault="00B37580" w:rsidP="00B37580">
            <w:pPr>
              <w:rPr>
                <w:rFonts w:eastAsia="Calibri"/>
                <w:i/>
              </w:rPr>
            </w:pPr>
          </w:p>
          <w:p w:rsidR="00B37580" w:rsidRPr="00B37580" w:rsidRDefault="00B37580" w:rsidP="00B37580">
            <w:pPr>
              <w:rPr>
                <w:rFonts w:eastAsia="Calibri"/>
                <w:i/>
              </w:rPr>
            </w:pPr>
          </w:p>
          <w:p w:rsidR="00B37580" w:rsidRPr="00B37580" w:rsidRDefault="00B37580" w:rsidP="00B37580">
            <w:pPr>
              <w:rPr>
                <w:rFonts w:eastAsia="Calibri"/>
                <w:i/>
              </w:rPr>
            </w:pPr>
          </w:p>
          <w:p w:rsidR="00B37580" w:rsidRPr="00B37580" w:rsidRDefault="00B37580" w:rsidP="00B37580">
            <w:pPr>
              <w:rPr>
                <w:rFonts w:eastAsia="Calibri"/>
                <w:i/>
              </w:rPr>
            </w:pPr>
          </w:p>
          <w:p w:rsidR="00B37580" w:rsidRPr="00B37580" w:rsidRDefault="00B37580" w:rsidP="00B37580">
            <w:pPr>
              <w:jc w:val="both"/>
              <w:rPr>
                <w:rFonts w:eastAsia="Calibri"/>
              </w:rPr>
            </w:pPr>
            <w:r w:rsidRPr="00B37580">
              <w:rPr>
                <w:rFonts w:eastAsia="Calibri"/>
                <w:i/>
              </w:rPr>
              <w:t>Návrh zákona nemá vplyv na prístup k zdrojom, právam, tovarom a službám u jednotlivých ovplyvnených skupín obyvateľstva a vplyv na sociálnu inklúziu.</w:t>
            </w:r>
          </w:p>
        </w:tc>
      </w:tr>
    </w:tbl>
    <w:p w:rsidR="00B37580" w:rsidRPr="00B37580" w:rsidRDefault="00B37580" w:rsidP="00B37580">
      <w:pPr>
        <w:rPr>
          <w:rFonts w:eastAsia="Calibri"/>
          <w:i/>
        </w:rPr>
        <w:sectPr w:rsidR="00B37580" w:rsidRPr="00B37580">
          <w:footnotePr>
            <w:numFmt w:val="chicago"/>
          </w:footnotePr>
          <w:type w:val="continuous"/>
          <w:pgSz w:w="11906" w:h="16838"/>
          <w:pgMar w:top="1134" w:right="1418" w:bottom="1134" w:left="1418" w:header="510" w:footer="567" w:gutter="0"/>
          <w:cols w:space="708"/>
          <w:formProt w:val="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B37580" w:rsidRPr="00B37580" w:rsidTr="008046BF">
        <w:trPr>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rsidR="00B37580" w:rsidRPr="00B37580" w:rsidRDefault="00B37580" w:rsidP="00B37580">
            <w:pPr>
              <w:jc w:val="both"/>
              <w:rPr>
                <w:rFonts w:eastAsia="Calibri"/>
                <w:i/>
              </w:rPr>
            </w:pPr>
            <w:r w:rsidRPr="00B37580">
              <w:rPr>
                <w:rFonts w:eastAsia="Calibri"/>
                <w:i/>
              </w:rPr>
              <w:lastRenderedPageBreak/>
              <w:t xml:space="preserve">Má návrh významný vplyv na niektorú zo zraniteľných skupín obyvateľstva alebo skupín v riziku chudoby alebo sociálneho vylúčenia? </w:t>
            </w:r>
          </w:p>
          <w:p w:rsidR="00B37580" w:rsidRPr="00B37580" w:rsidRDefault="00B37580" w:rsidP="00B37580">
            <w:pPr>
              <w:jc w:val="both"/>
              <w:rPr>
                <w:rFonts w:ascii="Calibri" w:eastAsia="Calibri" w:hAnsi="Calibri"/>
                <w:i/>
                <w:sz w:val="22"/>
                <w:szCs w:val="22"/>
              </w:rPr>
            </w:pPr>
            <w:r w:rsidRPr="00B37580">
              <w:rPr>
                <w:rFonts w:eastAsia="Calibri"/>
                <w:i/>
              </w:rPr>
              <w:t>Špecifikujte ovplyvnené skupiny v riziku chudoby a sociálneho vylúčenia a popíšte vplyv na ne. Je tento vplyv väčší ako vplyv na iné skupiny či subjekty? Uveďte veľkosť jednotlivých ovplyvnených skupín.</w:t>
            </w:r>
          </w:p>
        </w:tc>
      </w:tr>
    </w:tbl>
    <w:p w:rsidR="00B37580" w:rsidRPr="00B37580" w:rsidRDefault="00B37580" w:rsidP="00B37580">
      <w:pPr>
        <w:rPr>
          <w:rFonts w:eastAsia="Calibri"/>
          <w:i/>
          <w:sz w:val="18"/>
          <w:szCs w:val="18"/>
        </w:rPr>
        <w:sectPr w:rsidR="00B37580" w:rsidRPr="00B37580">
          <w:footnotePr>
            <w:numFmt w:val="chicago"/>
          </w:footnotePr>
          <w:type w:val="continuous"/>
          <w:pgSz w:w="11906" w:h="16838"/>
          <w:pgMar w:top="1134" w:right="1418" w:bottom="1134" w:left="1418" w:header="510" w:footer="567" w:gutter="0"/>
          <w:cols w:space="708"/>
        </w:sectPr>
      </w:pPr>
    </w:p>
    <w:tbl>
      <w:tblPr>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B37580" w:rsidRPr="00B37580" w:rsidTr="008046BF">
        <w:trPr>
          <w:trHeight w:val="677"/>
          <w:jc w:val="center"/>
        </w:trPr>
        <w:tc>
          <w:tcPr>
            <w:tcW w:w="1993" w:type="pct"/>
            <w:tcBorders>
              <w:top w:val="nil"/>
              <w:left w:val="single" w:sz="4" w:space="0" w:color="auto"/>
              <w:bottom w:val="single" w:sz="4" w:space="0" w:color="auto"/>
              <w:right w:val="single" w:sz="4" w:space="0" w:color="auto"/>
            </w:tcBorders>
            <w:hideMark/>
          </w:tcPr>
          <w:p w:rsidR="00B37580" w:rsidRPr="00B37580" w:rsidRDefault="00B37580" w:rsidP="006A364B">
            <w:pPr>
              <w:jc w:val="both"/>
              <w:rPr>
                <w:rFonts w:eastAsia="Calibri"/>
                <w:i/>
                <w:sz w:val="18"/>
                <w:szCs w:val="18"/>
              </w:rPr>
            </w:pPr>
            <w:r w:rsidRPr="00B37580">
              <w:rPr>
                <w:rFonts w:eastAsia="Calibri"/>
                <w:i/>
                <w:sz w:val="18"/>
                <w:szCs w:val="18"/>
              </w:rPr>
              <w:lastRenderedPageBreak/>
              <w:t>Zraniteľné skupiny alebo skupiny v riziku chudoby alebo sociálneho vylúčenia sú napr.:</w:t>
            </w:r>
          </w:p>
          <w:p w:rsidR="00B37580" w:rsidRPr="00B37580" w:rsidRDefault="00B37580" w:rsidP="006A364B">
            <w:pPr>
              <w:numPr>
                <w:ilvl w:val="0"/>
                <w:numId w:val="7"/>
              </w:numPr>
              <w:spacing w:line="276" w:lineRule="auto"/>
              <w:jc w:val="both"/>
              <w:rPr>
                <w:rFonts w:eastAsia="Calibri"/>
                <w:i/>
                <w:sz w:val="18"/>
                <w:szCs w:val="18"/>
              </w:rPr>
            </w:pPr>
            <w:r w:rsidRPr="00B37580">
              <w:rPr>
                <w:rFonts w:eastAsia="Calibri"/>
                <w:i/>
                <w:sz w:val="18"/>
                <w:szCs w:val="18"/>
              </w:rPr>
              <w:t>domácnosti s nízkym príjmom (napr. žijúce iba zo sociálnych príjmov, alebo z príjmov pod hranicou rizika chudoby, alebo s príjmom pod životným minimom, alebo patriace medzi 25% domácností s najnižším príjmom),</w:t>
            </w:r>
          </w:p>
          <w:p w:rsidR="00B37580" w:rsidRPr="00B37580" w:rsidRDefault="00B37580" w:rsidP="006A364B">
            <w:pPr>
              <w:numPr>
                <w:ilvl w:val="0"/>
                <w:numId w:val="7"/>
              </w:numPr>
              <w:spacing w:line="276" w:lineRule="auto"/>
              <w:jc w:val="both"/>
              <w:rPr>
                <w:rFonts w:eastAsia="Calibri"/>
                <w:i/>
                <w:sz w:val="18"/>
                <w:szCs w:val="18"/>
              </w:rPr>
            </w:pPr>
            <w:r w:rsidRPr="00B37580">
              <w:rPr>
                <w:rFonts w:eastAsia="Calibri"/>
                <w:i/>
                <w:sz w:val="18"/>
                <w:szCs w:val="18"/>
              </w:rPr>
              <w:t>nezamestnaní, najmä dlhodobo nezamestnaní, mladí nezamestnaní a nezamestnaní nad 50 rokov,</w:t>
            </w:r>
          </w:p>
          <w:p w:rsidR="00B37580" w:rsidRPr="00B37580" w:rsidRDefault="00B37580" w:rsidP="006A364B">
            <w:pPr>
              <w:numPr>
                <w:ilvl w:val="0"/>
                <w:numId w:val="7"/>
              </w:numPr>
              <w:spacing w:line="276" w:lineRule="auto"/>
              <w:jc w:val="both"/>
              <w:rPr>
                <w:rFonts w:eastAsia="Calibri"/>
                <w:i/>
                <w:sz w:val="18"/>
                <w:szCs w:val="18"/>
              </w:rPr>
            </w:pPr>
            <w:r w:rsidRPr="00B37580">
              <w:rPr>
                <w:rFonts w:eastAsia="Calibri"/>
                <w:i/>
                <w:sz w:val="18"/>
                <w:szCs w:val="18"/>
              </w:rPr>
              <w:t>deti (0 – 17),</w:t>
            </w:r>
          </w:p>
          <w:p w:rsidR="00B37580" w:rsidRPr="00B37580" w:rsidRDefault="00B37580" w:rsidP="006A364B">
            <w:pPr>
              <w:numPr>
                <w:ilvl w:val="0"/>
                <w:numId w:val="7"/>
              </w:numPr>
              <w:spacing w:line="276" w:lineRule="auto"/>
              <w:jc w:val="both"/>
              <w:rPr>
                <w:rFonts w:eastAsia="Calibri"/>
                <w:i/>
                <w:sz w:val="18"/>
                <w:szCs w:val="18"/>
              </w:rPr>
            </w:pPr>
            <w:r w:rsidRPr="00B37580">
              <w:rPr>
                <w:rFonts w:eastAsia="Calibri"/>
                <w:i/>
                <w:sz w:val="18"/>
                <w:szCs w:val="18"/>
              </w:rPr>
              <w:t>mladí ľudia (18 – 25 rokov),</w:t>
            </w:r>
          </w:p>
          <w:p w:rsidR="00B37580" w:rsidRPr="00B37580" w:rsidRDefault="00B37580" w:rsidP="006A364B">
            <w:pPr>
              <w:numPr>
                <w:ilvl w:val="0"/>
                <w:numId w:val="7"/>
              </w:numPr>
              <w:spacing w:line="276" w:lineRule="auto"/>
              <w:jc w:val="both"/>
              <w:rPr>
                <w:rFonts w:eastAsia="Calibri"/>
                <w:i/>
                <w:sz w:val="18"/>
                <w:szCs w:val="18"/>
              </w:rPr>
            </w:pPr>
            <w:r w:rsidRPr="00B37580">
              <w:rPr>
                <w:rFonts w:eastAsia="Calibri"/>
                <w:i/>
                <w:sz w:val="18"/>
                <w:szCs w:val="18"/>
              </w:rPr>
              <w:t>starší ľudia, napr. ľudia vo veku nad 65 rokov alebo dôchodcovia,</w:t>
            </w:r>
          </w:p>
          <w:p w:rsidR="00B37580" w:rsidRPr="00B37580" w:rsidRDefault="00B37580" w:rsidP="006A364B">
            <w:pPr>
              <w:numPr>
                <w:ilvl w:val="0"/>
                <w:numId w:val="7"/>
              </w:numPr>
              <w:spacing w:line="276" w:lineRule="auto"/>
              <w:jc w:val="both"/>
              <w:rPr>
                <w:rFonts w:eastAsia="Calibri"/>
                <w:i/>
                <w:sz w:val="18"/>
                <w:szCs w:val="18"/>
              </w:rPr>
            </w:pPr>
            <w:r w:rsidRPr="00B37580">
              <w:rPr>
                <w:rFonts w:eastAsia="Calibri"/>
                <w:i/>
                <w:sz w:val="18"/>
                <w:szCs w:val="18"/>
              </w:rPr>
              <w:t>ľudia so zdravotným postihnutím,</w:t>
            </w:r>
          </w:p>
          <w:p w:rsidR="00B37580" w:rsidRPr="00B37580" w:rsidRDefault="00B37580" w:rsidP="006A364B">
            <w:pPr>
              <w:numPr>
                <w:ilvl w:val="0"/>
                <w:numId w:val="7"/>
              </w:numPr>
              <w:ind w:left="357" w:hanging="357"/>
              <w:jc w:val="both"/>
              <w:rPr>
                <w:rFonts w:eastAsia="Calibri"/>
                <w:i/>
                <w:sz w:val="18"/>
                <w:szCs w:val="18"/>
              </w:rPr>
            </w:pPr>
            <w:proofErr w:type="spellStart"/>
            <w:r w:rsidRPr="00B37580">
              <w:rPr>
                <w:rFonts w:eastAsia="Calibri"/>
                <w:i/>
                <w:sz w:val="18"/>
                <w:szCs w:val="18"/>
              </w:rPr>
              <w:t>marginalizované</w:t>
            </w:r>
            <w:proofErr w:type="spellEnd"/>
            <w:r w:rsidRPr="00B37580">
              <w:rPr>
                <w:rFonts w:eastAsia="Calibri"/>
                <w:i/>
                <w:sz w:val="18"/>
                <w:szCs w:val="18"/>
              </w:rPr>
              <w:t xml:space="preserve"> rómske komunity </w:t>
            </w:r>
          </w:p>
          <w:p w:rsidR="00B37580" w:rsidRPr="00B37580" w:rsidRDefault="00B37580" w:rsidP="006A364B">
            <w:pPr>
              <w:numPr>
                <w:ilvl w:val="0"/>
                <w:numId w:val="7"/>
              </w:numPr>
              <w:ind w:left="357" w:hanging="357"/>
              <w:jc w:val="both"/>
              <w:rPr>
                <w:rFonts w:eastAsia="Calibri"/>
                <w:i/>
                <w:sz w:val="18"/>
                <w:szCs w:val="18"/>
              </w:rPr>
            </w:pPr>
            <w:r w:rsidRPr="00B37580">
              <w:rPr>
                <w:rFonts w:eastAsia="Calibri"/>
                <w:i/>
                <w:sz w:val="18"/>
                <w:szCs w:val="18"/>
              </w:rPr>
              <w:t>domácnosti s 3 a viac deťmi,</w:t>
            </w:r>
          </w:p>
          <w:p w:rsidR="00B37580" w:rsidRPr="00B37580" w:rsidRDefault="00B37580" w:rsidP="006A364B">
            <w:pPr>
              <w:numPr>
                <w:ilvl w:val="0"/>
                <w:numId w:val="7"/>
              </w:numPr>
              <w:ind w:left="357" w:hanging="357"/>
              <w:jc w:val="both"/>
              <w:rPr>
                <w:rFonts w:eastAsia="Calibri"/>
                <w:i/>
                <w:sz w:val="18"/>
                <w:szCs w:val="18"/>
              </w:rPr>
            </w:pPr>
            <w:r w:rsidRPr="00B37580">
              <w:rPr>
                <w:rFonts w:eastAsia="Calibri"/>
                <w:i/>
                <w:sz w:val="18"/>
                <w:szCs w:val="18"/>
              </w:rPr>
              <w:t>jednorodičovské domácnosti s deťmi (neúplné rodiny, ktoré tvoria najmä osamelé matky s deťmi),</w:t>
            </w:r>
          </w:p>
          <w:p w:rsidR="00B37580" w:rsidRPr="00B37580" w:rsidRDefault="00B37580" w:rsidP="006A364B">
            <w:pPr>
              <w:numPr>
                <w:ilvl w:val="0"/>
                <w:numId w:val="7"/>
              </w:numPr>
              <w:ind w:left="357" w:hanging="357"/>
              <w:jc w:val="both"/>
              <w:rPr>
                <w:rFonts w:eastAsia="Calibri"/>
                <w:i/>
                <w:sz w:val="18"/>
                <w:szCs w:val="18"/>
              </w:rPr>
            </w:pPr>
            <w:r w:rsidRPr="00B37580">
              <w:rPr>
                <w:rFonts w:eastAsia="Calibri"/>
                <w:i/>
                <w:sz w:val="18"/>
                <w:szCs w:val="18"/>
              </w:rPr>
              <w:lastRenderedPageBreak/>
              <w:t>príslušníci tretích krajín, azylanti, žiadatelia o azyl,</w:t>
            </w:r>
          </w:p>
          <w:p w:rsidR="00B37580" w:rsidRPr="00B37580" w:rsidRDefault="00B37580" w:rsidP="006A364B">
            <w:pPr>
              <w:numPr>
                <w:ilvl w:val="0"/>
                <w:numId w:val="7"/>
              </w:numPr>
              <w:ind w:left="357" w:hanging="357"/>
              <w:jc w:val="both"/>
              <w:rPr>
                <w:rFonts w:ascii="Calibri" w:eastAsia="Calibri" w:hAnsi="Calibri"/>
                <w:i/>
                <w:sz w:val="18"/>
                <w:szCs w:val="18"/>
              </w:rPr>
            </w:pPr>
            <w:r w:rsidRPr="00B37580">
              <w:rPr>
                <w:rFonts w:eastAsia="Calibri"/>
                <w:i/>
                <w:sz w:val="18"/>
                <w:szCs w:val="18"/>
              </w:rPr>
              <w:t>iné zraniteľné skupiny, ako sú napr. bezdomovci, ľudia opúšťajúci detské domovy alebo iné inštitucionálne zariadenia</w:t>
            </w:r>
          </w:p>
        </w:tc>
        <w:tc>
          <w:tcPr>
            <w:tcW w:w="3007" w:type="pct"/>
            <w:tcBorders>
              <w:top w:val="nil"/>
              <w:left w:val="single" w:sz="4" w:space="0" w:color="auto"/>
              <w:bottom w:val="single" w:sz="4" w:space="0" w:color="auto"/>
              <w:right w:val="single" w:sz="4" w:space="0" w:color="auto"/>
            </w:tcBorders>
          </w:tcPr>
          <w:p w:rsidR="00B37580" w:rsidRPr="00B37580" w:rsidRDefault="00B37580" w:rsidP="00B37580">
            <w:pPr>
              <w:rPr>
                <w:rFonts w:eastAsia="Calibri"/>
                <w:szCs w:val="22"/>
              </w:rPr>
            </w:pPr>
          </w:p>
          <w:p w:rsidR="00B37580" w:rsidRPr="00B37580" w:rsidRDefault="00B37580" w:rsidP="00B37580">
            <w:pPr>
              <w:rPr>
                <w:rFonts w:eastAsia="Calibri"/>
                <w:szCs w:val="22"/>
              </w:rPr>
            </w:pPr>
          </w:p>
          <w:p w:rsidR="00B37580" w:rsidRPr="00B37580" w:rsidRDefault="00B37580" w:rsidP="00B37580">
            <w:pPr>
              <w:spacing w:after="200" w:line="276" w:lineRule="auto"/>
              <w:rPr>
                <w:rFonts w:eastAsia="Calibri"/>
                <w:szCs w:val="22"/>
              </w:rPr>
            </w:pPr>
          </w:p>
          <w:p w:rsidR="00B37580" w:rsidRPr="00B37580" w:rsidRDefault="00B37580" w:rsidP="00B37580">
            <w:pPr>
              <w:spacing w:after="200" w:line="276" w:lineRule="auto"/>
              <w:rPr>
                <w:rFonts w:eastAsia="Calibri"/>
                <w:szCs w:val="22"/>
              </w:rPr>
            </w:pPr>
          </w:p>
          <w:p w:rsidR="00B37580" w:rsidRPr="00B37580" w:rsidRDefault="00B37580" w:rsidP="00B37580">
            <w:pPr>
              <w:spacing w:after="200" w:line="276" w:lineRule="auto"/>
              <w:rPr>
                <w:rFonts w:eastAsia="Calibri"/>
                <w:szCs w:val="22"/>
              </w:rPr>
            </w:pPr>
          </w:p>
          <w:p w:rsidR="00B37580" w:rsidRPr="00B37580" w:rsidRDefault="00B37580" w:rsidP="00B37580">
            <w:pPr>
              <w:spacing w:after="200" w:line="276" w:lineRule="auto"/>
              <w:rPr>
                <w:rFonts w:eastAsia="Calibri"/>
                <w:szCs w:val="22"/>
              </w:rPr>
            </w:pPr>
          </w:p>
          <w:p w:rsidR="00B37580" w:rsidRPr="00B37580" w:rsidRDefault="00B37580" w:rsidP="00B37580">
            <w:pPr>
              <w:spacing w:after="200" w:line="276" w:lineRule="auto"/>
              <w:jc w:val="both"/>
              <w:rPr>
                <w:rFonts w:eastAsia="Calibri"/>
                <w:szCs w:val="22"/>
              </w:rPr>
            </w:pPr>
            <w:r w:rsidRPr="00B37580">
              <w:rPr>
                <w:rFonts w:eastAsia="Calibri"/>
                <w:i/>
              </w:rPr>
              <w:t>Návrh zákona nemá vplyv na prístup k zdrojom, právam, tovarom a službám u jednotlivých ovplyvnených skupín obyvateľstva a vplyv na sociálnu inklúziu.</w:t>
            </w:r>
          </w:p>
        </w:tc>
      </w:tr>
    </w:tbl>
    <w:p w:rsidR="00B37580" w:rsidRPr="00B37580" w:rsidRDefault="00B37580" w:rsidP="00B37580">
      <w:pPr>
        <w:spacing w:after="200" w:line="276" w:lineRule="auto"/>
        <w:rPr>
          <w:rFonts w:asciiTheme="minorHAnsi" w:eastAsiaTheme="minorHAnsi" w:hAnsiTheme="minorHAnsi" w:cstheme="minorBidi"/>
          <w:sz w:val="22"/>
          <w:szCs w:val="22"/>
          <w:lang w:eastAsia="en-US"/>
        </w:rPr>
      </w:pPr>
    </w:p>
    <w:p w:rsidR="00B37580" w:rsidRPr="00B37580" w:rsidRDefault="00B37580" w:rsidP="00B37580">
      <w:pPr>
        <w:rPr>
          <w:rFonts w:eastAsia="Calibri"/>
          <w:b/>
          <w:sz w:val="24"/>
          <w:szCs w:val="24"/>
        </w:rPr>
        <w:sectPr w:rsidR="00B37580" w:rsidRPr="00B37580">
          <w:footnotePr>
            <w:numFmt w:val="chicago"/>
          </w:footnotePr>
          <w:type w:val="continuous"/>
          <w:pgSz w:w="11906" w:h="16838"/>
          <w:pgMar w:top="1134" w:right="1418" w:bottom="1134" w:left="1418" w:header="510" w:footer="567" w:gutter="0"/>
          <w:cols w:space="708"/>
          <w:formProt w:val="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B37580" w:rsidRPr="00B37580" w:rsidTr="008046BF">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B37580" w:rsidRPr="00B37580" w:rsidRDefault="00B37580" w:rsidP="00B37580">
            <w:pPr>
              <w:rPr>
                <w:rFonts w:eastAsia="Calibri"/>
                <w:b/>
                <w:sz w:val="24"/>
                <w:szCs w:val="24"/>
              </w:rPr>
            </w:pPr>
            <w:r w:rsidRPr="00B37580">
              <w:rPr>
                <w:rFonts w:eastAsia="Calibri"/>
                <w:b/>
                <w:sz w:val="24"/>
                <w:szCs w:val="24"/>
              </w:rPr>
              <w:lastRenderedPageBreak/>
              <w:t>4.3 Identifikujte a popíšte vplyv na rovnosť príležitostí.</w:t>
            </w:r>
          </w:p>
          <w:p w:rsidR="00B37580" w:rsidRPr="00B37580" w:rsidRDefault="00B37580" w:rsidP="00B37580">
            <w:pPr>
              <w:ind w:left="340"/>
              <w:jc w:val="both"/>
              <w:rPr>
                <w:rFonts w:ascii="Calibri" w:eastAsia="Calibri" w:hAnsi="Calibri"/>
                <w:sz w:val="24"/>
                <w:szCs w:val="24"/>
              </w:rPr>
            </w:pPr>
            <w:r w:rsidRPr="00B37580">
              <w:rPr>
                <w:rFonts w:eastAsia="Calibri"/>
                <w:b/>
                <w:sz w:val="24"/>
                <w:szCs w:val="24"/>
              </w:rPr>
              <w:t>Identifikujte, popíšte a kvantifikujte vplyv na rodovú rovnosť.</w:t>
            </w:r>
          </w:p>
        </w:tc>
      </w:tr>
      <w:tr w:rsidR="00B37580" w:rsidRPr="00B37580" w:rsidTr="008046BF">
        <w:trPr>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rsidR="00B37580" w:rsidRPr="00B37580" w:rsidRDefault="00B37580" w:rsidP="00B37580">
            <w:pPr>
              <w:jc w:val="both"/>
              <w:rPr>
                <w:rFonts w:eastAsia="Calibri"/>
                <w:i/>
                <w:sz w:val="24"/>
                <w:szCs w:val="24"/>
              </w:rPr>
            </w:pPr>
            <w:r w:rsidRPr="00B37580">
              <w:rPr>
                <w:rFonts w:eastAsia="Calibri"/>
                <w:i/>
                <w:szCs w:val="24"/>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rsidR="00B37580" w:rsidRPr="00B37580" w:rsidRDefault="00B37580" w:rsidP="00B37580">
      <w:pPr>
        <w:rPr>
          <w:rFonts w:eastAsia="Calibri"/>
          <w:szCs w:val="22"/>
        </w:rPr>
        <w:sectPr w:rsidR="00B37580" w:rsidRPr="00B37580">
          <w:footnotePr>
            <w:numFmt w:val="chicago"/>
          </w:footnotePr>
          <w:type w:val="continuous"/>
          <w:pgSz w:w="11906" w:h="16838"/>
          <w:pgMar w:top="1134" w:right="1418" w:bottom="1134" w:left="1418" w:header="510" w:footer="567" w:gutter="0"/>
          <w:cols w:space="708"/>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B37580" w:rsidRPr="00B37580" w:rsidTr="008046BF">
        <w:trPr>
          <w:trHeight w:val="928"/>
          <w:jc w:val="center"/>
        </w:trPr>
        <w:tc>
          <w:tcPr>
            <w:tcW w:w="5000" w:type="pct"/>
            <w:tcBorders>
              <w:top w:val="nil"/>
              <w:left w:val="single" w:sz="4" w:space="0" w:color="auto"/>
              <w:bottom w:val="nil"/>
              <w:right w:val="single" w:sz="4" w:space="0" w:color="auto"/>
            </w:tcBorders>
            <w:hideMark/>
          </w:tcPr>
          <w:p w:rsidR="00B37580" w:rsidRPr="00B37580" w:rsidRDefault="00B37580" w:rsidP="00B37580">
            <w:pPr>
              <w:jc w:val="both"/>
              <w:rPr>
                <w:rFonts w:eastAsia="Calibri"/>
                <w:i/>
                <w:szCs w:val="22"/>
              </w:rPr>
            </w:pPr>
            <w:r w:rsidRPr="00B37580">
              <w:rPr>
                <w:rFonts w:eastAsia="Calibri"/>
                <w:i/>
              </w:rPr>
              <w:lastRenderedPageBreak/>
              <w:t>Návrh zákona dodržiava povinnosť rovnakého zaobchádzania so skupinami alebo jednotlivcami na základe pohlavia, rasy, etnicity, náboženstva alebo viery, zdravotného postihnutia a sexuálnej orientácie. Návrh zákona nemôže viesť k nepriamej diskriminácii niektorých skupín obyvateľstva. Návrh zákona nemá vplyv na rovnosť príležitostí.</w:t>
            </w:r>
          </w:p>
        </w:tc>
      </w:tr>
    </w:tbl>
    <w:p w:rsidR="00B37580" w:rsidRPr="00B37580" w:rsidRDefault="00B37580" w:rsidP="00B37580">
      <w:pPr>
        <w:rPr>
          <w:rFonts w:eastAsia="Calibri"/>
          <w:i/>
        </w:rPr>
        <w:sectPr w:rsidR="00B37580" w:rsidRPr="00B37580">
          <w:footnotePr>
            <w:numFmt w:val="chicago"/>
          </w:footnotePr>
          <w:type w:val="continuous"/>
          <w:pgSz w:w="11906" w:h="16838"/>
          <w:pgMar w:top="1134" w:right="1418" w:bottom="1134" w:left="1418" w:header="510" w:footer="567" w:gutter="0"/>
          <w:cols w:space="708"/>
          <w:formProt w:val="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B37580" w:rsidRPr="00B37580" w:rsidTr="008046BF">
        <w:trPr>
          <w:trHeight w:val="345"/>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37580" w:rsidRPr="00B37580" w:rsidRDefault="00B37580" w:rsidP="00B37580">
            <w:pPr>
              <w:rPr>
                <w:rFonts w:eastAsia="Calibri"/>
                <w:i/>
              </w:rPr>
            </w:pPr>
            <w:r w:rsidRPr="00B37580">
              <w:rPr>
                <w:rFonts w:eastAsia="Calibri"/>
                <w:i/>
              </w:rPr>
              <w:lastRenderedPageBreak/>
              <w:t>Môže mať návrh odlišný vplyv na ženy a mužov? Podporuje návrh rovnosť medzi ženami a mužmi alebo naopak bude viesť k zväčšovaniu rodových nerovností? Popíšte vplyvy.</w:t>
            </w:r>
          </w:p>
        </w:tc>
      </w:tr>
    </w:tbl>
    <w:p w:rsidR="00B37580" w:rsidRPr="00B37580" w:rsidRDefault="00B37580" w:rsidP="00B37580">
      <w:pPr>
        <w:rPr>
          <w:rFonts w:eastAsia="Calibri"/>
          <w:i/>
          <w:sz w:val="18"/>
          <w:szCs w:val="18"/>
        </w:rPr>
        <w:sectPr w:rsidR="00B37580" w:rsidRPr="00B37580">
          <w:footnotePr>
            <w:numFmt w:val="chicago"/>
          </w:footnotePr>
          <w:type w:val="continuous"/>
          <w:pgSz w:w="11906" w:h="16838"/>
          <w:pgMar w:top="1134" w:right="1418" w:bottom="1134" w:left="1418" w:header="510" w:footer="567" w:gutter="0"/>
          <w:cols w:space="708"/>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B37580" w:rsidRPr="00B37580" w:rsidTr="008046BF">
        <w:trPr>
          <w:trHeight w:val="1235"/>
          <w:jc w:val="center"/>
        </w:trPr>
        <w:tc>
          <w:tcPr>
            <w:tcW w:w="1993" w:type="pct"/>
            <w:tcBorders>
              <w:top w:val="nil"/>
              <w:left w:val="single" w:sz="4" w:space="0" w:color="auto"/>
              <w:bottom w:val="nil"/>
              <w:right w:val="single" w:sz="4" w:space="0" w:color="auto"/>
            </w:tcBorders>
            <w:hideMark/>
          </w:tcPr>
          <w:p w:rsidR="00B37580" w:rsidRPr="00B37580" w:rsidRDefault="00B37580" w:rsidP="00B37580">
            <w:pPr>
              <w:jc w:val="both"/>
              <w:rPr>
                <w:rFonts w:eastAsia="Calibri"/>
                <w:i/>
                <w:sz w:val="18"/>
                <w:szCs w:val="18"/>
              </w:rPr>
            </w:pPr>
            <w:r w:rsidRPr="00B37580">
              <w:rPr>
                <w:rFonts w:eastAsia="Calibri"/>
                <w:i/>
                <w:sz w:val="18"/>
                <w:szCs w:val="18"/>
              </w:rPr>
              <w:lastRenderedPageBreak/>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B37580" w:rsidRPr="00B37580" w:rsidRDefault="00B37580" w:rsidP="006A364B">
            <w:pPr>
              <w:numPr>
                <w:ilvl w:val="0"/>
                <w:numId w:val="7"/>
              </w:numPr>
              <w:spacing w:line="276" w:lineRule="auto"/>
              <w:ind w:left="357" w:hanging="357"/>
              <w:jc w:val="both"/>
              <w:rPr>
                <w:rFonts w:eastAsia="Calibri"/>
                <w:i/>
                <w:sz w:val="18"/>
                <w:szCs w:val="18"/>
              </w:rPr>
            </w:pPr>
            <w:r w:rsidRPr="00B37580">
              <w:rPr>
                <w:rFonts w:eastAsia="Calibri"/>
                <w:i/>
                <w:sz w:val="18"/>
                <w:szCs w:val="18"/>
              </w:rPr>
              <w:t xml:space="preserve">podpora vyrovnávania ekonomickej nezávislosti, </w:t>
            </w:r>
          </w:p>
          <w:p w:rsidR="00B37580" w:rsidRPr="00B37580" w:rsidRDefault="00B37580" w:rsidP="006A364B">
            <w:pPr>
              <w:numPr>
                <w:ilvl w:val="0"/>
                <w:numId w:val="7"/>
              </w:numPr>
              <w:spacing w:line="276" w:lineRule="auto"/>
              <w:ind w:left="357" w:hanging="357"/>
              <w:jc w:val="both"/>
              <w:rPr>
                <w:rFonts w:eastAsia="Calibri"/>
                <w:i/>
                <w:sz w:val="18"/>
                <w:szCs w:val="18"/>
              </w:rPr>
            </w:pPr>
            <w:r w:rsidRPr="00B37580">
              <w:rPr>
                <w:rFonts w:eastAsia="Calibri"/>
                <w:i/>
                <w:sz w:val="18"/>
                <w:szCs w:val="18"/>
              </w:rPr>
              <w:t xml:space="preserve">zosúladenie pracovného, súkromného a rodinného života, </w:t>
            </w:r>
          </w:p>
          <w:p w:rsidR="00B37580" w:rsidRPr="00B37580" w:rsidRDefault="00B37580" w:rsidP="006A364B">
            <w:pPr>
              <w:numPr>
                <w:ilvl w:val="0"/>
                <w:numId w:val="7"/>
              </w:numPr>
              <w:spacing w:line="276" w:lineRule="auto"/>
              <w:ind w:left="357" w:hanging="357"/>
              <w:jc w:val="both"/>
              <w:rPr>
                <w:rFonts w:eastAsia="Calibri"/>
                <w:i/>
                <w:sz w:val="18"/>
                <w:szCs w:val="18"/>
              </w:rPr>
            </w:pPr>
            <w:r w:rsidRPr="00B37580">
              <w:rPr>
                <w:rFonts w:eastAsia="Calibri"/>
                <w:i/>
                <w:sz w:val="18"/>
                <w:szCs w:val="18"/>
              </w:rPr>
              <w:t xml:space="preserve">podpora rovnej participácie na rozhodovaní, </w:t>
            </w:r>
          </w:p>
          <w:p w:rsidR="00B37580" w:rsidRPr="00B37580" w:rsidRDefault="00B37580" w:rsidP="006A364B">
            <w:pPr>
              <w:numPr>
                <w:ilvl w:val="0"/>
                <w:numId w:val="7"/>
              </w:numPr>
              <w:spacing w:line="276" w:lineRule="auto"/>
              <w:ind w:left="357" w:hanging="357"/>
              <w:jc w:val="both"/>
              <w:rPr>
                <w:rFonts w:eastAsia="Calibri"/>
                <w:i/>
                <w:sz w:val="18"/>
                <w:szCs w:val="18"/>
              </w:rPr>
            </w:pPr>
            <w:r w:rsidRPr="00B37580">
              <w:rPr>
                <w:rFonts w:eastAsia="Calibri"/>
                <w:i/>
                <w:sz w:val="18"/>
                <w:szCs w:val="18"/>
              </w:rPr>
              <w:t xml:space="preserve">boj proti rodovo podmienenému násiliu a obchodovaniu s ľuďmi, </w:t>
            </w:r>
          </w:p>
          <w:p w:rsidR="00B37580" w:rsidRPr="00B37580" w:rsidRDefault="00B37580" w:rsidP="006A364B">
            <w:pPr>
              <w:numPr>
                <w:ilvl w:val="0"/>
                <w:numId w:val="7"/>
              </w:numPr>
              <w:spacing w:line="276" w:lineRule="auto"/>
              <w:ind w:left="357" w:hanging="357"/>
              <w:jc w:val="both"/>
              <w:rPr>
                <w:rFonts w:eastAsia="Calibri"/>
                <w:i/>
                <w:sz w:val="18"/>
                <w:szCs w:val="18"/>
              </w:rPr>
            </w:pPr>
            <w:r w:rsidRPr="00B37580">
              <w:rPr>
                <w:rFonts w:eastAsia="Calibri"/>
                <w:i/>
                <w:sz w:val="18"/>
                <w:szCs w:val="18"/>
              </w:rPr>
              <w:t>eliminácia rodových stereotypov.</w:t>
            </w:r>
          </w:p>
        </w:tc>
        <w:tc>
          <w:tcPr>
            <w:tcW w:w="3007" w:type="pct"/>
            <w:tcBorders>
              <w:top w:val="nil"/>
              <w:left w:val="single" w:sz="4" w:space="0" w:color="auto"/>
              <w:bottom w:val="nil"/>
              <w:right w:val="single" w:sz="4" w:space="0" w:color="auto"/>
            </w:tcBorders>
          </w:tcPr>
          <w:p w:rsidR="00B37580" w:rsidRPr="00B37580" w:rsidRDefault="00B37580" w:rsidP="00B37580">
            <w:pPr>
              <w:rPr>
                <w:rFonts w:eastAsia="Calibri"/>
                <w:i/>
              </w:rPr>
            </w:pPr>
          </w:p>
          <w:p w:rsidR="00B37580" w:rsidRPr="00B37580" w:rsidRDefault="00B37580" w:rsidP="00B37580">
            <w:pPr>
              <w:rPr>
                <w:rFonts w:eastAsia="Calibri"/>
                <w:i/>
              </w:rPr>
            </w:pPr>
          </w:p>
          <w:p w:rsidR="00B37580" w:rsidRPr="00B37580" w:rsidRDefault="00B37580" w:rsidP="00B37580">
            <w:pPr>
              <w:rPr>
                <w:rFonts w:eastAsia="Calibri"/>
                <w:i/>
              </w:rPr>
            </w:pPr>
          </w:p>
          <w:p w:rsidR="00B37580" w:rsidRPr="00B37580" w:rsidRDefault="00B37580" w:rsidP="00B37580">
            <w:pPr>
              <w:rPr>
                <w:rFonts w:eastAsia="Calibri"/>
                <w:i/>
              </w:rPr>
            </w:pPr>
          </w:p>
          <w:p w:rsidR="00B37580" w:rsidRPr="00B37580" w:rsidRDefault="00B37580" w:rsidP="00B37580">
            <w:pPr>
              <w:rPr>
                <w:rFonts w:eastAsia="Calibri"/>
                <w:i/>
              </w:rPr>
            </w:pPr>
          </w:p>
          <w:p w:rsidR="00B37580" w:rsidRPr="00B37580" w:rsidRDefault="00B37580" w:rsidP="00B37580">
            <w:pPr>
              <w:rPr>
                <w:rFonts w:eastAsia="Calibri"/>
                <w:i/>
              </w:rPr>
            </w:pPr>
          </w:p>
          <w:p w:rsidR="00B37580" w:rsidRPr="00B37580" w:rsidRDefault="00B37580" w:rsidP="00B37580">
            <w:pPr>
              <w:rPr>
                <w:rFonts w:eastAsia="Calibri"/>
                <w:i/>
              </w:rPr>
            </w:pPr>
          </w:p>
          <w:p w:rsidR="00B37580" w:rsidRPr="00B37580" w:rsidRDefault="00B37580" w:rsidP="00B37580">
            <w:pPr>
              <w:jc w:val="both"/>
              <w:rPr>
                <w:rFonts w:eastAsia="Calibri"/>
                <w:i/>
              </w:rPr>
            </w:pPr>
            <w:r w:rsidRPr="00B37580">
              <w:rPr>
                <w:rFonts w:eastAsia="Calibri"/>
                <w:i/>
              </w:rPr>
              <w:t>Návrh zákona nemá vplyv na rodovú rovnosť a rovnosť príležitostí.</w:t>
            </w:r>
          </w:p>
        </w:tc>
      </w:tr>
    </w:tbl>
    <w:p w:rsidR="00B37580" w:rsidRPr="00B37580" w:rsidRDefault="00B37580" w:rsidP="00B37580">
      <w:pPr>
        <w:rPr>
          <w:rFonts w:eastAsia="Calibri"/>
          <w:b/>
          <w:sz w:val="24"/>
          <w:szCs w:val="22"/>
        </w:rPr>
        <w:sectPr w:rsidR="00B37580" w:rsidRPr="00B37580">
          <w:footnotePr>
            <w:numFmt w:val="chicago"/>
          </w:footnotePr>
          <w:type w:val="continuous"/>
          <w:pgSz w:w="11906" w:h="16838"/>
          <w:pgMar w:top="1134" w:right="1418" w:bottom="1134" w:left="1418" w:header="510" w:footer="567" w:gutter="0"/>
          <w:cols w:space="708"/>
          <w:formProt w:val="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B37580" w:rsidRPr="00B37580" w:rsidTr="008046BF">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B37580" w:rsidRPr="00B37580" w:rsidRDefault="00B37580" w:rsidP="00B37580">
            <w:pPr>
              <w:rPr>
                <w:rFonts w:eastAsia="Calibri"/>
                <w:b/>
                <w:sz w:val="24"/>
                <w:szCs w:val="22"/>
              </w:rPr>
            </w:pPr>
            <w:r w:rsidRPr="00B37580">
              <w:rPr>
                <w:rFonts w:eastAsia="Calibri"/>
                <w:b/>
                <w:sz w:val="24"/>
                <w:szCs w:val="22"/>
              </w:rPr>
              <w:lastRenderedPageBreak/>
              <w:t>4.4 Identifikujte, popíšte a kvantifikujte vplyvy na zamestnanosť a na trh práce.</w:t>
            </w:r>
          </w:p>
          <w:p w:rsidR="00B37580" w:rsidRPr="00B37580" w:rsidRDefault="00B37580" w:rsidP="00B37580">
            <w:pPr>
              <w:jc w:val="both"/>
              <w:rPr>
                <w:rFonts w:eastAsia="Calibri"/>
                <w:i/>
                <w:sz w:val="22"/>
                <w:szCs w:val="22"/>
              </w:rPr>
            </w:pPr>
            <w:r w:rsidRPr="00B37580">
              <w:rPr>
                <w:rFonts w:eastAsia="Calibri"/>
                <w:i/>
                <w:sz w:val="22"/>
                <w:szCs w:val="22"/>
              </w:rPr>
              <w:t xml:space="preserve">V prípade kladnej odpovede pripojte </w:t>
            </w:r>
            <w:r w:rsidRPr="00B37580">
              <w:rPr>
                <w:rFonts w:eastAsia="Calibri"/>
                <w:b/>
                <w:i/>
                <w:sz w:val="22"/>
                <w:szCs w:val="22"/>
              </w:rPr>
              <w:t>odôvodnenie</w:t>
            </w:r>
            <w:r w:rsidRPr="00B37580">
              <w:rPr>
                <w:rFonts w:eastAsia="Calibri"/>
                <w:i/>
                <w:sz w:val="22"/>
                <w:szCs w:val="22"/>
              </w:rPr>
              <w:t xml:space="preserve"> v súlade s Metodickým postupom pre analýzu sociálnych vplyvov.</w:t>
            </w:r>
          </w:p>
        </w:tc>
      </w:tr>
    </w:tbl>
    <w:p w:rsidR="00B37580" w:rsidRPr="00B37580" w:rsidRDefault="00B37580" w:rsidP="00B37580">
      <w:pPr>
        <w:rPr>
          <w:rFonts w:eastAsia="Calibri"/>
          <w:i/>
          <w:szCs w:val="24"/>
        </w:rPr>
        <w:sectPr w:rsidR="00B37580" w:rsidRPr="00B37580">
          <w:footnotePr>
            <w:numFmt w:val="chicago"/>
          </w:footnotePr>
          <w:type w:val="continuous"/>
          <w:pgSz w:w="11906" w:h="16838"/>
          <w:pgMar w:top="1134" w:right="1418" w:bottom="1134" w:left="1418" w:header="510" w:footer="567" w:gutter="0"/>
          <w:cols w:space="708"/>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B37580" w:rsidRPr="00B37580" w:rsidTr="008046BF">
        <w:trPr>
          <w:trHeight w:val="287"/>
          <w:jc w:val="center"/>
        </w:trPr>
        <w:tc>
          <w:tcPr>
            <w:tcW w:w="5000" w:type="pct"/>
            <w:gridSpan w:val="2"/>
            <w:tcBorders>
              <w:top w:val="nil"/>
              <w:left w:val="single" w:sz="4" w:space="0" w:color="auto"/>
              <w:bottom w:val="single" w:sz="4" w:space="0" w:color="auto"/>
              <w:right w:val="single" w:sz="4" w:space="0" w:color="auto"/>
            </w:tcBorders>
            <w:shd w:val="clear" w:color="auto" w:fill="F2F2F2"/>
            <w:hideMark/>
          </w:tcPr>
          <w:p w:rsidR="00B37580" w:rsidRPr="00B37580" w:rsidRDefault="00B37580" w:rsidP="00B37580">
            <w:pPr>
              <w:rPr>
                <w:rFonts w:eastAsia="Calibri"/>
                <w:i/>
                <w:lang w:eastAsia="en-US"/>
              </w:rPr>
            </w:pPr>
            <w:r w:rsidRPr="00B37580">
              <w:rPr>
                <w:rFonts w:eastAsia="Calibri"/>
                <w:i/>
                <w:lang w:eastAsia="en-US"/>
              </w:rPr>
              <w:lastRenderedPageBreak/>
              <w:t>Uľahčuje návrh vznik nových pracovných miest? Ak áno, ako? Ak je to možné, doplňte kvantifikáciu.</w:t>
            </w:r>
          </w:p>
        </w:tc>
      </w:tr>
      <w:tr w:rsidR="00B37580" w:rsidRPr="00B37580" w:rsidTr="008046BF">
        <w:trPr>
          <w:trHeight w:val="567"/>
          <w:jc w:val="center"/>
        </w:trPr>
        <w:tc>
          <w:tcPr>
            <w:tcW w:w="1993" w:type="pct"/>
            <w:tcBorders>
              <w:top w:val="nil"/>
              <w:left w:val="single" w:sz="4" w:space="0" w:color="auto"/>
              <w:bottom w:val="single" w:sz="4" w:space="0" w:color="auto"/>
              <w:right w:val="single" w:sz="4" w:space="0" w:color="auto"/>
            </w:tcBorders>
            <w:shd w:val="clear" w:color="auto" w:fill="FFFFFF"/>
            <w:hideMark/>
          </w:tcPr>
          <w:p w:rsidR="00B37580" w:rsidRPr="00B37580" w:rsidRDefault="00B37580" w:rsidP="00B37580">
            <w:pPr>
              <w:rPr>
                <w:rFonts w:eastAsia="Calibri"/>
                <w:i/>
                <w:sz w:val="18"/>
                <w:szCs w:val="18"/>
                <w:lang w:eastAsia="en-US"/>
              </w:rPr>
            </w:pPr>
            <w:r w:rsidRPr="00B37580">
              <w:rPr>
                <w:rFonts w:eastAsia="Calibri"/>
                <w:i/>
                <w:sz w:val="18"/>
                <w:szCs w:val="18"/>
                <w:lang w:eastAsia="en-US"/>
              </w:rPr>
              <w:t xml:space="preserve">Identifikujte, v ktorých sektoroch a odvetviach ekonomiky, v ktorých regiónoch, pre aké skupiny zamestnancov, o aké typy zamestnania /pracovných úväzkov pôjde a pod. </w:t>
            </w:r>
          </w:p>
        </w:tc>
        <w:tc>
          <w:tcPr>
            <w:tcW w:w="3007" w:type="pct"/>
            <w:tcBorders>
              <w:top w:val="nil"/>
              <w:left w:val="single" w:sz="4" w:space="0" w:color="auto"/>
              <w:bottom w:val="single" w:sz="4" w:space="0" w:color="auto"/>
              <w:right w:val="single" w:sz="4" w:space="0" w:color="auto"/>
            </w:tcBorders>
            <w:shd w:val="clear" w:color="auto" w:fill="FFFFFF"/>
            <w:vAlign w:val="center"/>
            <w:hideMark/>
          </w:tcPr>
          <w:p w:rsidR="00B37580" w:rsidRPr="00B37580" w:rsidRDefault="00B37580" w:rsidP="00B37580">
            <w:pPr>
              <w:rPr>
                <w:rFonts w:eastAsia="Calibri"/>
                <w:szCs w:val="18"/>
                <w:lang w:eastAsia="en-US"/>
              </w:rPr>
            </w:pPr>
            <w:r w:rsidRPr="00B37580">
              <w:rPr>
                <w:rFonts w:eastAsia="Calibri"/>
                <w:i/>
              </w:rPr>
              <w:t>Návrh zákona nemá vplyv na zamestnanosť a na trh práce.</w:t>
            </w:r>
          </w:p>
        </w:tc>
      </w:tr>
      <w:tr w:rsidR="00B37580" w:rsidRPr="00B37580" w:rsidTr="008046BF">
        <w:trPr>
          <w:trHeight w:val="27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hideMark/>
          </w:tcPr>
          <w:p w:rsidR="00B37580" w:rsidRPr="00B37580" w:rsidRDefault="00B37580" w:rsidP="00B37580">
            <w:pPr>
              <w:rPr>
                <w:rFonts w:eastAsia="Calibri"/>
                <w:i/>
                <w:lang w:eastAsia="en-US"/>
              </w:rPr>
            </w:pPr>
            <w:r w:rsidRPr="00B37580">
              <w:rPr>
                <w:rFonts w:eastAsia="Calibri"/>
                <w:i/>
                <w:lang w:eastAsia="en-US"/>
              </w:rPr>
              <w:t>Vedie návrh k zániku pracovných miest?</w:t>
            </w:r>
            <w:r w:rsidRPr="00B37580">
              <w:rPr>
                <w:rFonts w:eastAsia="Calibri"/>
                <w:lang w:eastAsia="en-US"/>
              </w:rPr>
              <w:t xml:space="preserve"> </w:t>
            </w:r>
            <w:r w:rsidRPr="00B37580">
              <w:rPr>
                <w:rFonts w:eastAsia="Calibri"/>
                <w:i/>
                <w:lang w:eastAsia="en-US"/>
              </w:rPr>
              <w:t>Ak áno, ako a akých? Ak je to možné, doplňte kvantifikáciu.</w:t>
            </w:r>
          </w:p>
        </w:tc>
      </w:tr>
      <w:tr w:rsidR="00B37580" w:rsidRPr="00B37580" w:rsidTr="008046BF">
        <w:trPr>
          <w:trHeight w:val="454"/>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hideMark/>
          </w:tcPr>
          <w:p w:rsidR="00B37580" w:rsidRPr="00B37580" w:rsidRDefault="00B37580" w:rsidP="00B37580">
            <w:pPr>
              <w:rPr>
                <w:rFonts w:eastAsia="Calibri"/>
                <w:i/>
                <w:sz w:val="18"/>
                <w:szCs w:val="18"/>
                <w:lang w:eastAsia="en-US"/>
              </w:rPr>
            </w:pPr>
            <w:r w:rsidRPr="00B37580">
              <w:rPr>
                <w:rFonts w:eastAsia="Calibri"/>
                <w:i/>
                <w:sz w:val="18"/>
                <w:szCs w:val="18"/>
                <w:lang w:eastAsia="en-US"/>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37580" w:rsidRPr="00B37580" w:rsidRDefault="00B37580" w:rsidP="00B37580">
            <w:pPr>
              <w:rPr>
                <w:rFonts w:eastAsia="Calibri"/>
                <w:szCs w:val="18"/>
                <w:lang w:eastAsia="en-US"/>
              </w:rPr>
            </w:pPr>
            <w:r w:rsidRPr="00B37580">
              <w:rPr>
                <w:rFonts w:eastAsia="Calibri"/>
                <w:i/>
              </w:rPr>
              <w:t>Návrh zákona nemá vplyv na zamestnanosť a na trh práce.</w:t>
            </w:r>
          </w:p>
        </w:tc>
      </w:tr>
      <w:tr w:rsidR="00B37580" w:rsidRPr="00B37580" w:rsidTr="008046BF">
        <w:trPr>
          <w:trHeight w:val="24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hideMark/>
          </w:tcPr>
          <w:p w:rsidR="00B37580" w:rsidRPr="00B37580" w:rsidRDefault="00B37580" w:rsidP="00B37580">
            <w:pPr>
              <w:rPr>
                <w:rFonts w:eastAsia="Calibri"/>
                <w:lang w:eastAsia="en-US"/>
              </w:rPr>
            </w:pPr>
            <w:r w:rsidRPr="00B37580">
              <w:rPr>
                <w:rFonts w:eastAsia="Calibri"/>
                <w:i/>
                <w:lang w:eastAsia="en-US"/>
              </w:rPr>
              <w:t>Ovplyvňuje návrh dopyt po práci?</w:t>
            </w:r>
            <w:r w:rsidRPr="00B37580">
              <w:rPr>
                <w:rFonts w:eastAsia="Calibri"/>
                <w:lang w:eastAsia="en-US"/>
              </w:rPr>
              <w:t xml:space="preserve"> </w:t>
            </w:r>
            <w:r w:rsidRPr="00B37580">
              <w:rPr>
                <w:rFonts w:eastAsia="Calibri"/>
                <w:i/>
                <w:lang w:eastAsia="en-US"/>
              </w:rPr>
              <w:t>Ak áno, ako?</w:t>
            </w:r>
          </w:p>
        </w:tc>
      </w:tr>
      <w:tr w:rsidR="00B37580" w:rsidRPr="00B37580" w:rsidTr="008046BF">
        <w:trPr>
          <w:trHeight w:val="209"/>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hideMark/>
          </w:tcPr>
          <w:p w:rsidR="00B37580" w:rsidRPr="00B37580" w:rsidRDefault="00B37580" w:rsidP="00B37580">
            <w:pPr>
              <w:rPr>
                <w:rFonts w:eastAsia="Calibri"/>
                <w:i/>
                <w:sz w:val="18"/>
                <w:szCs w:val="18"/>
                <w:lang w:eastAsia="en-US"/>
              </w:rPr>
            </w:pPr>
            <w:r w:rsidRPr="00B37580">
              <w:rPr>
                <w:rFonts w:eastAsia="Calibri"/>
                <w:i/>
                <w:sz w:val="18"/>
                <w:szCs w:val="18"/>
                <w:lang w:eastAsia="en-US"/>
              </w:rPr>
              <w:t>Dopyt po práci závisí na jednej strane na produkcii tovarov a služieb v ekonomike a na druhej strane na cene práce.</w:t>
            </w:r>
          </w:p>
        </w:tc>
        <w:tc>
          <w:tcPr>
            <w:tcW w:w="30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37580" w:rsidRPr="00B37580" w:rsidRDefault="00B37580" w:rsidP="00B37580">
            <w:pPr>
              <w:rPr>
                <w:rFonts w:eastAsia="Calibri"/>
                <w:szCs w:val="18"/>
                <w:lang w:eastAsia="en-US"/>
              </w:rPr>
            </w:pPr>
            <w:r w:rsidRPr="00B37580">
              <w:rPr>
                <w:rFonts w:eastAsia="Calibri"/>
                <w:i/>
              </w:rPr>
              <w:t>Návrh zákona nemá vplyv na zamestnanosť a na trh práce.</w:t>
            </w:r>
          </w:p>
        </w:tc>
      </w:tr>
      <w:tr w:rsidR="00B37580" w:rsidRPr="00B37580" w:rsidTr="008046BF">
        <w:trPr>
          <w:trHeight w:val="20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hideMark/>
          </w:tcPr>
          <w:p w:rsidR="00B37580" w:rsidRPr="00B37580" w:rsidRDefault="00B37580" w:rsidP="00B37580">
            <w:pPr>
              <w:rPr>
                <w:rFonts w:eastAsia="Calibri"/>
                <w:lang w:eastAsia="en-US"/>
              </w:rPr>
            </w:pPr>
            <w:r w:rsidRPr="00B37580">
              <w:rPr>
                <w:rFonts w:eastAsia="Calibri"/>
                <w:i/>
                <w:lang w:eastAsia="en-US"/>
              </w:rPr>
              <w:t>Má návrh dosah na fungovanie trhu práce?</w:t>
            </w:r>
            <w:r w:rsidRPr="00B37580">
              <w:rPr>
                <w:rFonts w:eastAsia="Calibri"/>
                <w:lang w:eastAsia="en-US"/>
              </w:rPr>
              <w:t xml:space="preserve"> </w:t>
            </w:r>
            <w:r w:rsidRPr="00B37580">
              <w:rPr>
                <w:rFonts w:eastAsia="Calibri"/>
                <w:i/>
                <w:lang w:eastAsia="en-US"/>
              </w:rPr>
              <w:t>Ak áno, aký?</w:t>
            </w:r>
          </w:p>
        </w:tc>
      </w:tr>
      <w:tr w:rsidR="00B37580" w:rsidRPr="00B37580" w:rsidTr="008046BF">
        <w:trPr>
          <w:trHeight w:val="794"/>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hideMark/>
          </w:tcPr>
          <w:p w:rsidR="00B37580" w:rsidRPr="00B37580" w:rsidRDefault="00B37580" w:rsidP="00B37580">
            <w:pPr>
              <w:rPr>
                <w:rFonts w:eastAsia="Calibri"/>
                <w:i/>
                <w:sz w:val="18"/>
                <w:szCs w:val="18"/>
                <w:lang w:eastAsia="en-US"/>
              </w:rPr>
            </w:pPr>
            <w:r w:rsidRPr="00B37580">
              <w:rPr>
                <w:rFonts w:eastAsia="Calibri"/>
                <w:i/>
                <w:sz w:val="18"/>
                <w:szCs w:val="18"/>
                <w:lang w:eastAsia="en-US"/>
              </w:rPr>
              <w:t>Týka sa makroekonomických dosahov ako je napr. participácia na trhu práce, dlhodobá nezamestnanosť, regionálne rozdiely v mierach zamestnanosti.</w:t>
            </w:r>
            <w:r w:rsidRPr="00B37580">
              <w:rPr>
                <w:rFonts w:eastAsia="Calibri"/>
                <w:sz w:val="18"/>
                <w:szCs w:val="18"/>
                <w:lang w:eastAsia="en-US"/>
              </w:rPr>
              <w:t xml:space="preserve"> </w:t>
            </w:r>
            <w:r w:rsidRPr="00B37580">
              <w:rPr>
                <w:rFonts w:eastAsia="Calibri"/>
                <w:i/>
                <w:sz w:val="18"/>
                <w:szCs w:val="18"/>
                <w:lang w:eastAsia="en-US"/>
              </w:rPr>
              <w:t xml:space="preserve">Ponuka práce môže byť ovplyvnená rôznymi premennými napr. úrovňou </w:t>
            </w:r>
            <w:r w:rsidRPr="00B37580">
              <w:rPr>
                <w:rFonts w:eastAsia="Calibri"/>
                <w:i/>
                <w:sz w:val="18"/>
                <w:szCs w:val="18"/>
                <w:lang w:eastAsia="en-US"/>
              </w:rPr>
              <w:lastRenderedPageBreak/>
              <w:t>miezd, inštitucionálnym nastavením (napr.  zosúladenie pracovného a súkromného života alebo uľahčovanie rôznych foriem mobility).</w:t>
            </w:r>
          </w:p>
        </w:tc>
        <w:tc>
          <w:tcPr>
            <w:tcW w:w="30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37580" w:rsidRPr="00B37580" w:rsidRDefault="00B37580" w:rsidP="00B37580">
            <w:pPr>
              <w:rPr>
                <w:rFonts w:eastAsia="Calibri"/>
                <w:szCs w:val="18"/>
                <w:lang w:eastAsia="en-US"/>
              </w:rPr>
            </w:pPr>
            <w:r w:rsidRPr="00B37580">
              <w:rPr>
                <w:rFonts w:eastAsia="Calibri"/>
                <w:i/>
              </w:rPr>
              <w:lastRenderedPageBreak/>
              <w:t>Návrh zákona nemá vplyv na zamestnanosť a na trh práce.</w:t>
            </w:r>
          </w:p>
        </w:tc>
      </w:tr>
      <w:tr w:rsidR="00B37580" w:rsidRPr="00B37580" w:rsidTr="008046BF">
        <w:trPr>
          <w:trHeight w:val="32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hideMark/>
          </w:tcPr>
          <w:p w:rsidR="00B37580" w:rsidRPr="00B37580" w:rsidRDefault="00B37580" w:rsidP="00B37580">
            <w:pPr>
              <w:rPr>
                <w:rFonts w:eastAsia="Calibri"/>
                <w:lang w:eastAsia="en-US"/>
              </w:rPr>
            </w:pPr>
            <w:r w:rsidRPr="00B37580">
              <w:rPr>
                <w:rFonts w:eastAsia="Calibri"/>
                <w:i/>
                <w:lang w:eastAsia="en-US"/>
              </w:rPr>
              <w:lastRenderedPageBreak/>
              <w:t>Má návrh špecifické negatívne dôsledky pre isté skupiny profesií, skupín zamestnancov či živnostníkov?</w:t>
            </w:r>
            <w:r w:rsidRPr="00B37580">
              <w:rPr>
                <w:rFonts w:eastAsia="Calibri"/>
                <w:lang w:eastAsia="en-US"/>
              </w:rPr>
              <w:t xml:space="preserve"> </w:t>
            </w:r>
            <w:r w:rsidRPr="00B37580">
              <w:rPr>
                <w:rFonts w:eastAsia="Calibri"/>
                <w:i/>
                <w:lang w:eastAsia="en-US"/>
              </w:rPr>
              <w:t>Ak áno, aké a pre ktoré skupiny?</w:t>
            </w:r>
          </w:p>
        </w:tc>
      </w:tr>
      <w:tr w:rsidR="00B37580" w:rsidRPr="00B37580" w:rsidTr="008046BF">
        <w:trPr>
          <w:trHeight w:val="216"/>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hideMark/>
          </w:tcPr>
          <w:p w:rsidR="00B37580" w:rsidRPr="00B37580" w:rsidRDefault="00B37580" w:rsidP="00B37580">
            <w:pPr>
              <w:rPr>
                <w:rFonts w:eastAsia="Calibri"/>
                <w:i/>
                <w:sz w:val="18"/>
                <w:szCs w:val="18"/>
                <w:lang w:eastAsia="en-US"/>
              </w:rPr>
            </w:pPr>
            <w:r w:rsidRPr="00B37580">
              <w:rPr>
                <w:rFonts w:eastAsia="Calibri"/>
                <w:i/>
                <w:sz w:val="18"/>
                <w:szCs w:val="18"/>
                <w:lang w:eastAsia="en-US"/>
              </w:rPr>
              <w:t>Návrh môže ohrozovať napr. pracovníkov istých profesií favorizovaním špecifických aktivít či technológií.</w:t>
            </w:r>
          </w:p>
        </w:tc>
        <w:tc>
          <w:tcPr>
            <w:tcW w:w="30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37580" w:rsidRPr="00B37580" w:rsidRDefault="00B37580" w:rsidP="00B37580">
            <w:pPr>
              <w:rPr>
                <w:rFonts w:eastAsia="Calibri"/>
                <w:szCs w:val="18"/>
                <w:lang w:eastAsia="en-US"/>
              </w:rPr>
            </w:pPr>
            <w:r w:rsidRPr="00B37580">
              <w:rPr>
                <w:rFonts w:eastAsia="Calibri"/>
                <w:i/>
              </w:rPr>
              <w:t>Návrh zákona nemá vplyv na zamestnanosť a na trh práce.</w:t>
            </w:r>
          </w:p>
        </w:tc>
      </w:tr>
      <w:tr w:rsidR="00B37580" w:rsidRPr="00B37580" w:rsidTr="008046BF">
        <w:trPr>
          <w:trHeight w:val="21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hideMark/>
          </w:tcPr>
          <w:p w:rsidR="00B37580" w:rsidRPr="00B37580" w:rsidRDefault="00B37580" w:rsidP="00B37580">
            <w:pPr>
              <w:rPr>
                <w:rFonts w:eastAsia="Calibri"/>
                <w:lang w:eastAsia="en-US"/>
              </w:rPr>
            </w:pPr>
            <w:r w:rsidRPr="00B37580">
              <w:rPr>
                <w:rFonts w:eastAsia="Calibri"/>
                <w:i/>
                <w:lang w:eastAsia="en-US"/>
              </w:rPr>
              <w:t>Ovplyvňuje návrh špecifické vekové skupiny zamestnancov? Ak áno, aké? Akým spôsobom?</w:t>
            </w:r>
          </w:p>
        </w:tc>
      </w:tr>
      <w:tr w:rsidR="00B37580" w:rsidRPr="00B37580" w:rsidTr="008046BF">
        <w:trPr>
          <w:trHeight w:val="497"/>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hideMark/>
          </w:tcPr>
          <w:p w:rsidR="00B37580" w:rsidRPr="00B37580" w:rsidRDefault="00B37580" w:rsidP="00B37580">
            <w:pPr>
              <w:rPr>
                <w:rFonts w:eastAsia="Calibri"/>
                <w:i/>
                <w:sz w:val="18"/>
                <w:szCs w:val="18"/>
                <w:lang w:eastAsia="en-US"/>
              </w:rPr>
            </w:pPr>
            <w:r w:rsidRPr="00B37580">
              <w:rPr>
                <w:rFonts w:eastAsia="Calibri"/>
                <w:i/>
                <w:sz w:val="18"/>
                <w:szCs w:val="18"/>
                <w:lang w:eastAsia="en-US"/>
              </w:rPr>
              <w:t>Identifikujte, či návrh môže ovplyvniť rozhodnutia zamestnancov alebo zamestnávateľov a môže byť zdrojom neskoršieho vstupu na trh práce alebo predčasného odchodu z trhu práce jednotlivcov.“</w:t>
            </w:r>
          </w:p>
        </w:tc>
        <w:tc>
          <w:tcPr>
            <w:tcW w:w="30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37580" w:rsidRPr="00B37580" w:rsidRDefault="00B37580" w:rsidP="00B37580">
            <w:pPr>
              <w:rPr>
                <w:rFonts w:eastAsia="Calibri"/>
                <w:szCs w:val="18"/>
                <w:lang w:eastAsia="en-US"/>
              </w:rPr>
            </w:pPr>
            <w:r w:rsidRPr="00B37580">
              <w:rPr>
                <w:rFonts w:eastAsia="Calibri"/>
                <w:i/>
              </w:rPr>
              <w:t>Návrh zákona nemá vplyv na zamestnanosť a na trh práce.</w:t>
            </w:r>
          </w:p>
        </w:tc>
      </w:tr>
    </w:tbl>
    <w:p w:rsidR="00B37580" w:rsidRPr="00B37580" w:rsidRDefault="00B37580" w:rsidP="00B37580">
      <w:pPr>
        <w:rPr>
          <w:rFonts w:eastAsia="Calibri"/>
          <w:b/>
          <w:sz w:val="24"/>
          <w:szCs w:val="24"/>
        </w:rPr>
        <w:sectPr w:rsidR="00B37580" w:rsidRPr="00B37580">
          <w:footnotePr>
            <w:numFmt w:val="chicago"/>
          </w:footnotePr>
          <w:type w:val="continuous"/>
          <w:pgSz w:w="11906" w:h="16838"/>
          <w:pgMar w:top="1134" w:right="1418" w:bottom="1134" w:left="1418" w:header="510" w:footer="567" w:gutter="0"/>
          <w:cols w:space="708"/>
          <w:formProt w:val="0"/>
        </w:sectPr>
      </w:pPr>
    </w:p>
    <w:p w:rsidR="00CB3623" w:rsidRPr="00377F01" w:rsidRDefault="00CB3623" w:rsidP="006A364B">
      <w:pPr>
        <w:spacing w:after="200" w:line="276" w:lineRule="auto"/>
      </w:pPr>
      <w:bookmarkStart w:id="1" w:name="_GoBack"/>
      <w:bookmarkEnd w:id="1"/>
    </w:p>
    <w:sectPr w:rsidR="00CB3623" w:rsidRPr="00377F01" w:rsidSect="00B37580">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FF4" w:rsidRDefault="008B3FF4" w:rsidP="003501A1">
      <w:r>
        <w:separator/>
      </w:r>
    </w:p>
  </w:endnote>
  <w:endnote w:type="continuationSeparator" w:id="0">
    <w:p w:rsidR="008B3FF4" w:rsidRDefault="008B3FF4"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altName w:val="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BF" w:rsidRDefault="008046B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8046BF" w:rsidRDefault="008046BF">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BF" w:rsidRDefault="008046BF">
    <w:pPr>
      <w:pStyle w:val="Pta"/>
      <w:jc w:val="right"/>
    </w:pPr>
    <w:r>
      <w:fldChar w:fldCharType="begin"/>
    </w:r>
    <w:r>
      <w:instrText>PAGE   \* MERGEFORMAT</w:instrText>
    </w:r>
    <w:r>
      <w:fldChar w:fldCharType="separate"/>
    </w:r>
    <w:r>
      <w:rPr>
        <w:noProof/>
      </w:rPr>
      <w:t>0</w:t>
    </w:r>
    <w:r>
      <w:fldChar w:fldCharType="end"/>
    </w:r>
  </w:p>
  <w:p w:rsidR="008046BF" w:rsidRDefault="008046B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FF4" w:rsidRDefault="008B3FF4" w:rsidP="003501A1">
      <w:r>
        <w:separator/>
      </w:r>
    </w:p>
  </w:footnote>
  <w:footnote w:type="continuationSeparator" w:id="0">
    <w:p w:rsidR="008B3FF4" w:rsidRDefault="008B3FF4" w:rsidP="00350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BF" w:rsidRDefault="008046BF" w:rsidP="008046BF">
    <w:pPr>
      <w:pStyle w:val="Hlavika"/>
      <w:jc w:val="right"/>
      <w:rPr>
        <w:sz w:val="24"/>
        <w:szCs w:val="24"/>
      </w:rPr>
    </w:pPr>
    <w:r>
      <w:rPr>
        <w:sz w:val="24"/>
        <w:szCs w:val="24"/>
      </w:rPr>
      <w:t>Príloha č. 2</w:t>
    </w:r>
  </w:p>
  <w:p w:rsidR="008046BF" w:rsidRPr="00EB59C8" w:rsidRDefault="008046BF" w:rsidP="008046BF">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BF" w:rsidRPr="000A15AE" w:rsidRDefault="008046BF" w:rsidP="008046BF">
    <w:pPr>
      <w:pStyle w:val="Hlavika"/>
      <w:jc w:val="right"/>
      <w:rPr>
        <w:sz w:val="24"/>
        <w:szCs w:val="24"/>
      </w:rPr>
    </w:pPr>
    <w:r>
      <w:rPr>
        <w:sz w:val="24"/>
        <w:szCs w:val="24"/>
      </w:rPr>
      <w:t>Príloha č.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BF" w:rsidRPr="00B37580" w:rsidRDefault="008046BF" w:rsidP="00B37580">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BF" w:rsidRPr="00B37580" w:rsidRDefault="008046BF" w:rsidP="00B3758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A6A61"/>
    <w:multiLevelType w:val="hybridMultilevel"/>
    <w:tmpl w:val="227E7ED4"/>
    <w:lvl w:ilvl="0" w:tplc="1FE2721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5E5C4339"/>
    <w:multiLevelType w:val="hybridMultilevel"/>
    <w:tmpl w:val="AE78C398"/>
    <w:lvl w:ilvl="0" w:tplc="CD1AFD64">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
    <w:nsid w:val="7BDE54EF"/>
    <w:multiLevelType w:val="hybridMultilevel"/>
    <w:tmpl w:val="82C42ECE"/>
    <w:lvl w:ilvl="0" w:tplc="B560AD86">
      <w:start w:val="1"/>
      <w:numFmt w:val="decimal"/>
      <w:lvlText w:val="%1."/>
      <w:lvlJc w:val="left"/>
      <w:pPr>
        <w:ind w:left="360"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
    <w:nsid w:val="7F537704"/>
    <w:multiLevelType w:val="hybridMultilevel"/>
    <w:tmpl w:val="FFDC236A"/>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4"/>
  </w:num>
  <w:num w:numId="2">
    <w:abstractNumId w:val="3"/>
  </w:num>
  <w:num w:numId="3">
    <w:abstractNumId w:val="0"/>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86"/>
    <w:rsid w:val="00006BCB"/>
    <w:rsid w:val="00011909"/>
    <w:rsid w:val="00013256"/>
    <w:rsid w:val="00021C0F"/>
    <w:rsid w:val="00030F09"/>
    <w:rsid w:val="00035949"/>
    <w:rsid w:val="00036A60"/>
    <w:rsid w:val="0003744F"/>
    <w:rsid w:val="00074BC3"/>
    <w:rsid w:val="000A1C37"/>
    <w:rsid w:val="000A2143"/>
    <w:rsid w:val="000B474D"/>
    <w:rsid w:val="000D40AB"/>
    <w:rsid w:val="000D524C"/>
    <w:rsid w:val="001015F8"/>
    <w:rsid w:val="0011693A"/>
    <w:rsid w:val="00132DCC"/>
    <w:rsid w:val="001362F1"/>
    <w:rsid w:val="00175FD8"/>
    <w:rsid w:val="00193D18"/>
    <w:rsid w:val="00195C6D"/>
    <w:rsid w:val="001A1559"/>
    <w:rsid w:val="001A2225"/>
    <w:rsid w:val="001A5D25"/>
    <w:rsid w:val="0020153D"/>
    <w:rsid w:val="00203A4E"/>
    <w:rsid w:val="00231591"/>
    <w:rsid w:val="00234429"/>
    <w:rsid w:val="00235A62"/>
    <w:rsid w:val="002376E6"/>
    <w:rsid w:val="00277418"/>
    <w:rsid w:val="002B42DD"/>
    <w:rsid w:val="002B5FE2"/>
    <w:rsid w:val="002C6B8A"/>
    <w:rsid w:val="002D032A"/>
    <w:rsid w:val="002E37D6"/>
    <w:rsid w:val="002E6BEB"/>
    <w:rsid w:val="003016FB"/>
    <w:rsid w:val="00332F34"/>
    <w:rsid w:val="003414BD"/>
    <w:rsid w:val="003501A1"/>
    <w:rsid w:val="00361D11"/>
    <w:rsid w:val="003669E9"/>
    <w:rsid w:val="00377F01"/>
    <w:rsid w:val="00395098"/>
    <w:rsid w:val="003A3380"/>
    <w:rsid w:val="003B430B"/>
    <w:rsid w:val="003D437B"/>
    <w:rsid w:val="003E1500"/>
    <w:rsid w:val="003E4574"/>
    <w:rsid w:val="00400BBC"/>
    <w:rsid w:val="0041018A"/>
    <w:rsid w:val="00420CBA"/>
    <w:rsid w:val="00441455"/>
    <w:rsid w:val="00451C59"/>
    <w:rsid w:val="0045465B"/>
    <w:rsid w:val="00457F05"/>
    <w:rsid w:val="004865AB"/>
    <w:rsid w:val="004C60B8"/>
    <w:rsid w:val="004C794A"/>
    <w:rsid w:val="004E1F20"/>
    <w:rsid w:val="004F4C4A"/>
    <w:rsid w:val="004F6F1F"/>
    <w:rsid w:val="004F7D6F"/>
    <w:rsid w:val="00523714"/>
    <w:rsid w:val="00556F4C"/>
    <w:rsid w:val="00567966"/>
    <w:rsid w:val="00570B48"/>
    <w:rsid w:val="00573E56"/>
    <w:rsid w:val="0058767C"/>
    <w:rsid w:val="00594B6D"/>
    <w:rsid w:val="005B7A8D"/>
    <w:rsid w:val="005C1717"/>
    <w:rsid w:val="00602B3C"/>
    <w:rsid w:val="006158D9"/>
    <w:rsid w:val="00624114"/>
    <w:rsid w:val="006326F8"/>
    <w:rsid w:val="006537B4"/>
    <w:rsid w:val="0067530E"/>
    <w:rsid w:val="0068428D"/>
    <w:rsid w:val="006863EA"/>
    <w:rsid w:val="006A364B"/>
    <w:rsid w:val="006C3B7D"/>
    <w:rsid w:val="006D0D62"/>
    <w:rsid w:val="006E46C8"/>
    <w:rsid w:val="006F27ED"/>
    <w:rsid w:val="00724534"/>
    <w:rsid w:val="00741273"/>
    <w:rsid w:val="00760D85"/>
    <w:rsid w:val="00777D6E"/>
    <w:rsid w:val="0078104B"/>
    <w:rsid w:val="00793206"/>
    <w:rsid w:val="00793A50"/>
    <w:rsid w:val="007B4594"/>
    <w:rsid w:val="007C1F54"/>
    <w:rsid w:val="007C7803"/>
    <w:rsid w:val="007D01D6"/>
    <w:rsid w:val="007D5810"/>
    <w:rsid w:val="008046BF"/>
    <w:rsid w:val="008345DB"/>
    <w:rsid w:val="0086609E"/>
    <w:rsid w:val="00876EA7"/>
    <w:rsid w:val="00881452"/>
    <w:rsid w:val="00885AB6"/>
    <w:rsid w:val="008A5C37"/>
    <w:rsid w:val="008A5F92"/>
    <w:rsid w:val="008B3FF4"/>
    <w:rsid w:val="008C5FD6"/>
    <w:rsid w:val="00990197"/>
    <w:rsid w:val="009A18D4"/>
    <w:rsid w:val="009B0950"/>
    <w:rsid w:val="00A00418"/>
    <w:rsid w:val="00A03F2E"/>
    <w:rsid w:val="00A3093D"/>
    <w:rsid w:val="00A4443A"/>
    <w:rsid w:val="00A87B33"/>
    <w:rsid w:val="00A94590"/>
    <w:rsid w:val="00AA0570"/>
    <w:rsid w:val="00AA0968"/>
    <w:rsid w:val="00AC2477"/>
    <w:rsid w:val="00AC5E65"/>
    <w:rsid w:val="00AE47FA"/>
    <w:rsid w:val="00AF59DC"/>
    <w:rsid w:val="00B37580"/>
    <w:rsid w:val="00B65A86"/>
    <w:rsid w:val="00B81A80"/>
    <w:rsid w:val="00C01A06"/>
    <w:rsid w:val="00C47651"/>
    <w:rsid w:val="00C70853"/>
    <w:rsid w:val="00C71D0C"/>
    <w:rsid w:val="00C94568"/>
    <w:rsid w:val="00CA23A4"/>
    <w:rsid w:val="00CB3623"/>
    <w:rsid w:val="00CC6CA1"/>
    <w:rsid w:val="00CD6902"/>
    <w:rsid w:val="00D078FD"/>
    <w:rsid w:val="00D13B6F"/>
    <w:rsid w:val="00D21E58"/>
    <w:rsid w:val="00D50C63"/>
    <w:rsid w:val="00D64111"/>
    <w:rsid w:val="00D7213A"/>
    <w:rsid w:val="00D75D35"/>
    <w:rsid w:val="00D8159C"/>
    <w:rsid w:val="00D90B3C"/>
    <w:rsid w:val="00D9324A"/>
    <w:rsid w:val="00DE2A12"/>
    <w:rsid w:val="00DE5384"/>
    <w:rsid w:val="00DF4C2C"/>
    <w:rsid w:val="00DF7818"/>
    <w:rsid w:val="00DF7A8F"/>
    <w:rsid w:val="00E022E2"/>
    <w:rsid w:val="00E1496A"/>
    <w:rsid w:val="00E32FCF"/>
    <w:rsid w:val="00EA7B17"/>
    <w:rsid w:val="00EB1F43"/>
    <w:rsid w:val="00EB59E3"/>
    <w:rsid w:val="00ED0214"/>
    <w:rsid w:val="00ED2565"/>
    <w:rsid w:val="00EE3D2A"/>
    <w:rsid w:val="00EF07E7"/>
    <w:rsid w:val="00EF466C"/>
    <w:rsid w:val="00F036FC"/>
    <w:rsid w:val="00F0592D"/>
    <w:rsid w:val="00F11DE4"/>
    <w:rsid w:val="00F130FE"/>
    <w:rsid w:val="00F16505"/>
    <w:rsid w:val="00F22831"/>
    <w:rsid w:val="00F30003"/>
    <w:rsid w:val="00F42DBA"/>
    <w:rsid w:val="00F45FC3"/>
    <w:rsid w:val="00F62771"/>
    <w:rsid w:val="00F62CFA"/>
    <w:rsid w:val="00F976E5"/>
    <w:rsid w:val="00FC4C46"/>
    <w:rsid w:val="00FF1E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99"/>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unhideWhenUsed/>
    <w:rsid w:val="00175FD8"/>
  </w:style>
  <w:style w:type="character" w:customStyle="1" w:styleId="TextkomentraChar">
    <w:name w:val="Text komentára Char"/>
    <w:basedOn w:val="Predvolenpsmoodseku"/>
    <w:link w:val="Textkomentra"/>
    <w:uiPriority w:val="99"/>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D90B3C"/>
    <w:rPr>
      <w:color w:val="0000FF" w:themeColor="hyperlink"/>
      <w:u w:val="single"/>
    </w:rPr>
  </w:style>
  <w:style w:type="character" w:styleId="PouitHypertextovPrepojenie">
    <w:name w:val="FollowedHyperlink"/>
    <w:basedOn w:val="Predvolenpsmoodseku"/>
    <w:uiPriority w:val="99"/>
    <w:semiHidden/>
    <w:unhideWhenUsed/>
    <w:rsid w:val="00D90B3C"/>
    <w:rPr>
      <w:color w:val="800080" w:themeColor="followedHyperlink"/>
      <w:u w:val="single"/>
    </w:rPr>
  </w:style>
  <w:style w:type="paragraph" w:styleId="Zkladntext">
    <w:name w:val="Body Text"/>
    <w:basedOn w:val="Normlny"/>
    <w:link w:val="ZkladntextChar"/>
    <w:uiPriority w:val="99"/>
    <w:rsid w:val="00132DCC"/>
    <w:pPr>
      <w:widowControl w:val="0"/>
    </w:pPr>
    <w:rPr>
      <w:rFonts w:eastAsia="MS Mincho"/>
      <w:color w:val="000000"/>
      <w:sz w:val="24"/>
      <w:szCs w:val="24"/>
    </w:rPr>
  </w:style>
  <w:style w:type="character" w:customStyle="1" w:styleId="ZkladntextChar">
    <w:name w:val="Základný text Char"/>
    <w:basedOn w:val="Predvolenpsmoodseku"/>
    <w:link w:val="Zkladntext"/>
    <w:uiPriority w:val="99"/>
    <w:rsid w:val="00132DCC"/>
    <w:rPr>
      <w:rFonts w:ascii="Times New Roman" w:eastAsia="MS Mincho" w:hAnsi="Times New Roman" w:cs="Times New Roman"/>
      <w:color w:val="000000"/>
      <w:sz w:val="24"/>
      <w:szCs w:val="24"/>
      <w:lang w:eastAsia="sk-SK"/>
    </w:rPr>
  </w:style>
  <w:style w:type="character" w:styleId="Textzstupnhosymbolu">
    <w:name w:val="Placeholder Text"/>
    <w:basedOn w:val="Predvolenpsmoodseku"/>
    <w:uiPriority w:val="99"/>
    <w:semiHidden/>
    <w:rsid w:val="001362F1"/>
    <w:rPr>
      <w:rFonts w:ascii="Times New Roman" w:hAnsi="Times New Roman" w:cs="Times New Roman"/>
      <w:color w:val="000000"/>
    </w:rPr>
  </w:style>
  <w:style w:type="numbering" w:customStyle="1" w:styleId="Bezzoznamu1">
    <w:name w:val="Bez zoznamu1"/>
    <w:next w:val="Bezzoznamu"/>
    <w:uiPriority w:val="99"/>
    <w:semiHidden/>
    <w:unhideWhenUsed/>
    <w:rsid w:val="00B37580"/>
  </w:style>
  <w:style w:type="character" w:styleId="slostrany">
    <w:name w:val="page number"/>
    <w:basedOn w:val="Predvolenpsmoodseku"/>
    <w:uiPriority w:val="99"/>
    <w:rsid w:val="00B3758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99"/>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unhideWhenUsed/>
    <w:rsid w:val="00175FD8"/>
  </w:style>
  <w:style w:type="character" w:customStyle="1" w:styleId="TextkomentraChar">
    <w:name w:val="Text komentára Char"/>
    <w:basedOn w:val="Predvolenpsmoodseku"/>
    <w:link w:val="Textkomentra"/>
    <w:uiPriority w:val="99"/>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D90B3C"/>
    <w:rPr>
      <w:color w:val="0000FF" w:themeColor="hyperlink"/>
      <w:u w:val="single"/>
    </w:rPr>
  </w:style>
  <w:style w:type="character" w:styleId="PouitHypertextovPrepojenie">
    <w:name w:val="FollowedHyperlink"/>
    <w:basedOn w:val="Predvolenpsmoodseku"/>
    <w:uiPriority w:val="99"/>
    <w:semiHidden/>
    <w:unhideWhenUsed/>
    <w:rsid w:val="00D90B3C"/>
    <w:rPr>
      <w:color w:val="800080" w:themeColor="followedHyperlink"/>
      <w:u w:val="single"/>
    </w:rPr>
  </w:style>
  <w:style w:type="paragraph" w:styleId="Zkladntext">
    <w:name w:val="Body Text"/>
    <w:basedOn w:val="Normlny"/>
    <w:link w:val="ZkladntextChar"/>
    <w:uiPriority w:val="99"/>
    <w:rsid w:val="00132DCC"/>
    <w:pPr>
      <w:widowControl w:val="0"/>
    </w:pPr>
    <w:rPr>
      <w:rFonts w:eastAsia="MS Mincho"/>
      <w:color w:val="000000"/>
      <w:sz w:val="24"/>
      <w:szCs w:val="24"/>
    </w:rPr>
  </w:style>
  <w:style w:type="character" w:customStyle="1" w:styleId="ZkladntextChar">
    <w:name w:val="Základný text Char"/>
    <w:basedOn w:val="Predvolenpsmoodseku"/>
    <w:link w:val="Zkladntext"/>
    <w:uiPriority w:val="99"/>
    <w:rsid w:val="00132DCC"/>
    <w:rPr>
      <w:rFonts w:ascii="Times New Roman" w:eastAsia="MS Mincho" w:hAnsi="Times New Roman" w:cs="Times New Roman"/>
      <w:color w:val="000000"/>
      <w:sz w:val="24"/>
      <w:szCs w:val="24"/>
      <w:lang w:eastAsia="sk-SK"/>
    </w:rPr>
  </w:style>
  <w:style w:type="character" w:styleId="Textzstupnhosymbolu">
    <w:name w:val="Placeholder Text"/>
    <w:basedOn w:val="Predvolenpsmoodseku"/>
    <w:uiPriority w:val="99"/>
    <w:semiHidden/>
    <w:rsid w:val="001362F1"/>
    <w:rPr>
      <w:rFonts w:ascii="Times New Roman" w:hAnsi="Times New Roman" w:cs="Times New Roman"/>
      <w:color w:val="000000"/>
    </w:rPr>
  </w:style>
  <w:style w:type="numbering" w:customStyle="1" w:styleId="Bezzoznamu1">
    <w:name w:val="Bez zoznamu1"/>
    <w:next w:val="Bezzoznamu"/>
    <w:uiPriority w:val="99"/>
    <w:semiHidden/>
    <w:unhideWhenUsed/>
    <w:rsid w:val="00B37580"/>
  </w:style>
  <w:style w:type="character" w:styleId="slostrany">
    <w:name w:val="page number"/>
    <w:basedOn w:val="Predvolenpsmoodseku"/>
    <w:uiPriority w:val="99"/>
    <w:rsid w:val="00B3758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1682">
      <w:bodyDiv w:val="1"/>
      <w:marLeft w:val="0"/>
      <w:marRight w:val="0"/>
      <w:marTop w:val="0"/>
      <w:marBottom w:val="0"/>
      <w:divBdr>
        <w:top w:val="none" w:sz="0" w:space="0" w:color="auto"/>
        <w:left w:val="none" w:sz="0" w:space="0" w:color="auto"/>
        <w:bottom w:val="none" w:sz="0" w:space="0" w:color="auto"/>
        <w:right w:val="none" w:sz="0" w:space="0" w:color="auto"/>
      </w:divBdr>
    </w:div>
    <w:div w:id="122618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van.fufal@minv.sk" TargetMode="Externa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60ADB-E747-4179-87E3-3C4D91B2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15</Pages>
  <Words>4685</Words>
  <Characters>26709</Characters>
  <Application>Microsoft Office Word</Application>
  <DocSecurity>0</DocSecurity>
  <Lines>222</Lines>
  <Paragraphs>62</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31332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Marianna Ferancova</cp:lastModifiedBy>
  <cp:revision>23</cp:revision>
  <dcterms:created xsi:type="dcterms:W3CDTF">2017-01-12T12:38:00Z</dcterms:created>
  <dcterms:modified xsi:type="dcterms:W3CDTF">2019-02-19T12:52:00Z</dcterms:modified>
</cp:coreProperties>
</file>