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1B434B" w:rsidRDefault="001B434B">
      <w:pPr>
        <w:jc w:val="center"/>
        <w:divId w:val="1406413927"/>
        <w:rPr>
          <w:rFonts w:ascii="Times" w:hAnsi="Times" w:cs="Times"/>
          <w:sz w:val="25"/>
          <w:szCs w:val="25"/>
        </w:rPr>
      </w:pPr>
      <w:r>
        <w:rPr>
          <w:rFonts w:ascii="Times" w:hAnsi="Times" w:cs="Times"/>
          <w:sz w:val="25"/>
          <w:szCs w:val="25"/>
        </w:rPr>
        <w:t>Zákon, ktorým sa mení a dopĺňa zákon č. 592/2006 Z. z. o poskytovaní vianočného príspevku niektorým poberateľom dôchodku a o doplnení niektorých zákonov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1B434B" w:rsidP="001B434B">
            <w:pPr>
              <w:spacing w:after="0" w:line="240" w:lineRule="auto"/>
              <w:rPr>
                <w:rFonts w:ascii="Times New Roman" w:hAnsi="Times New Roman" w:cs="Calibri"/>
                <w:sz w:val="20"/>
                <w:szCs w:val="20"/>
              </w:rPr>
            </w:pPr>
            <w:r>
              <w:rPr>
                <w:rFonts w:ascii="Times" w:hAnsi="Times" w:cs="Times"/>
                <w:sz w:val="25"/>
                <w:szCs w:val="25"/>
              </w:rPr>
              <w:t>15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1B434B" w:rsidP="001B434B">
            <w:pPr>
              <w:spacing w:after="0" w:line="240" w:lineRule="auto"/>
              <w:rPr>
                <w:rFonts w:ascii="Times New Roman" w:hAnsi="Times New Roman" w:cs="Calibri"/>
                <w:sz w:val="20"/>
                <w:szCs w:val="20"/>
              </w:rPr>
            </w:pPr>
            <w:r>
              <w:rPr>
                <w:rFonts w:ascii="Times" w:hAnsi="Times" w:cs="Times"/>
                <w:sz w:val="25"/>
                <w:szCs w:val="25"/>
              </w:rPr>
              <w:t>15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1B434B" w:rsidP="001B434B">
            <w:pPr>
              <w:spacing w:after="0" w:line="240" w:lineRule="auto"/>
              <w:rPr>
                <w:rFonts w:ascii="Times New Roman" w:hAnsi="Times New Roman" w:cs="Calibri"/>
                <w:sz w:val="20"/>
                <w:szCs w:val="20"/>
              </w:rPr>
            </w:pPr>
            <w:r>
              <w:rPr>
                <w:rFonts w:ascii="Times" w:hAnsi="Times" w:cs="Times"/>
                <w:sz w:val="25"/>
                <w:szCs w:val="25"/>
              </w:rPr>
              <w:t>11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1B434B" w:rsidP="001B434B">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1B434B" w:rsidP="001B434B">
            <w:pPr>
              <w:spacing w:after="0" w:line="240" w:lineRule="auto"/>
              <w:rPr>
                <w:rFonts w:ascii="Times New Roman" w:hAnsi="Times New Roman" w:cs="Calibri"/>
                <w:sz w:val="20"/>
                <w:szCs w:val="20"/>
              </w:rPr>
            </w:pPr>
            <w:r>
              <w:rPr>
                <w:rFonts w:ascii="Times" w:hAnsi="Times" w:cs="Times"/>
                <w:sz w:val="25"/>
                <w:szCs w:val="25"/>
              </w:rPr>
              <w:t>3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1B434B" w:rsidRDefault="001B434B"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1B434B">
        <w:trPr>
          <w:divId w:val="1314329455"/>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b/>
                <w:bCs/>
                <w:sz w:val="25"/>
                <w:szCs w:val="25"/>
              </w:rPr>
            </w:pPr>
            <w:r>
              <w:rPr>
                <w:rFonts w:ascii="Times" w:hAnsi="Times" w:cs="Times"/>
                <w:b/>
                <w:bCs/>
                <w:sz w:val="25"/>
                <w:szCs w:val="25"/>
              </w:rPr>
              <w:t>Vôbec nezaslali</w:t>
            </w: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sz w:val="20"/>
                <w:szCs w:val="20"/>
              </w:rPr>
            </w:pP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sz w:val="20"/>
                <w:szCs w:val="20"/>
              </w:rPr>
            </w:pP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4 (2o,2z)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sz w:val="20"/>
                <w:szCs w:val="20"/>
              </w:rPr>
            </w:pP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sz w:val="20"/>
                <w:szCs w:val="20"/>
              </w:rPr>
            </w:pP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sz w:val="20"/>
                <w:szCs w:val="20"/>
              </w:rPr>
            </w:pP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sz w:val="20"/>
                <w:szCs w:val="20"/>
              </w:rPr>
            </w:pP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sz w:val="20"/>
                <w:szCs w:val="20"/>
              </w:rPr>
            </w:pP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sz w:val="20"/>
                <w:szCs w:val="20"/>
              </w:rPr>
            </w:pP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sz w:val="20"/>
                <w:szCs w:val="20"/>
              </w:rPr>
            </w:pP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Slovenská informačná služba</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Slovenská akadémia vied</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Nezávislé kresťanské odbory Slovenska</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Národná rada občanov so zdravotným postihnutím v SR</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Slovenská asociácia malých a stredných podnikov a živnostníkov</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lastRenderedPageBreak/>
              <w:t>54.</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x</w:t>
            </w:r>
          </w:p>
        </w:tc>
      </w:tr>
      <w:tr w:rsidR="001B434B">
        <w:trPr>
          <w:divId w:val="1314329455"/>
          <w:jc w:val="center"/>
        </w:trPr>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15 (13o,2z)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434B" w:rsidRDefault="001B434B">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1B434B" w:rsidRDefault="001B434B"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1B434B">
        <w:trPr>
          <w:divId w:val="11468922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b/>
                <w:bCs/>
                <w:sz w:val="25"/>
                <w:szCs w:val="25"/>
              </w:rPr>
            </w:pPr>
            <w:r>
              <w:rPr>
                <w:rFonts w:ascii="Times" w:hAnsi="Times" w:cs="Times"/>
                <w:b/>
                <w:bCs/>
                <w:sz w:val="25"/>
                <w:szCs w:val="25"/>
              </w:rPr>
              <w:t>Spôsob vyhodnotenia</w:t>
            </w:r>
          </w:p>
        </w:tc>
      </w:tr>
      <w:tr w:rsidR="001B434B">
        <w:trPr>
          <w:divId w:val="11468922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p>
        </w:tc>
      </w:tr>
      <w:tr w:rsidR="001B434B">
        <w:trPr>
          <w:divId w:val="11468922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 xml:space="preserve">KOZ SR hodnotí predložený návrh novely zákona, ktorým predkladateľ navrhuje zvýšenie hornej hranice nároku na výplatu vianočného príspevku zo 60 % na 65 % priemernej mesačnej mzdy v hospodárstve SR vykázanej Štatistickým úradom Slovenskej republiky za kalendárny rok predchádzajúci kalendárnemu roku, v ktorom sa vianočný príspevok vypláca, pozitívne. Maximálna suma vianočného príspevku sa po prijatí navrhovanej právnej úpravy dostane na úroveň 200 eur. KOZ SR víta každé opatrenie, na základe ktorého sa zvýši poberateľom dôchodkových dávok ich príjem a zlepší sa tak ich finančná situácia hoci len jednorazovo (vo vianočnom období).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sz w:val="20"/>
                <w:szCs w:val="20"/>
              </w:rPr>
            </w:pPr>
          </w:p>
        </w:tc>
      </w:tr>
      <w:tr w:rsidR="001B434B">
        <w:trPr>
          <w:divId w:val="11468922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Pri kvantifikácii vplyvov na rozpočet verejnej správy opakovane žiadam zohľadniť makroekonomickú prognózu Inštitútu finančnej politiky z februára 2019. V návrhu je uvedené, že vianočný príspevok nebude nižší ako 10 eur, čo, podľa môjho názoru, nepredstavuje marginálny vplyv pre roky 2021 a 2022; túto skutočnosť preto žiadam zohľadniť v kvantifikácii vplyvov na rozpočet verejnej správy na tieto roky a zabezpečiť v rámci schválených limitov výdavkov rozpočtu verejnej správy. V </w:t>
            </w:r>
            <w:r>
              <w:rPr>
                <w:rFonts w:ascii="Times" w:hAnsi="Times" w:cs="Times"/>
                <w:sz w:val="25"/>
                <w:szCs w:val="25"/>
              </w:rPr>
              <w:lastRenderedPageBreak/>
              <w:t xml:space="preserve">Analýze vplyvov na rozpočet verejnej správy, na zamestnanosť vo verejnej správe a financovanie návrhu je uvedený negatívny, rozpočtovo zabezpečený vplyv v rokoch 2019, 2020 a 2021. Negatívny vplyv na rozpočet verejnej správy v sume 151 764 242 eur v roku 2022 je uvedený ako nezabezpečený. Tento vplyv v roku 2022 žiadam zabezpečiť v rámci schváleného limitu výdavkov rozpočtu verejnej správy. Podľa uvedeného žiadam upraviť aj rozpočtové zabezpečenie v doložke vybraných vplyvov a v Analýze vplyvov na rozpočet verejnej správy, na zamestnanosť vo verejnej správe a financovanie návrhu uviesť rozpočtovo nekrytý vplyv v roku 2022 ako financovanie zabezpečené v rozpočte.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p>
        </w:tc>
      </w:tr>
      <w:tr w:rsidR="001B434B">
        <w:trPr>
          <w:divId w:val="11468922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Pri kvantifikácii vplyvov na rozpočet verejnej správy opakovane žiadam zohľadniť makroekonomickú prognózu Inštitútu finančnej politiky z februára 2019. V návrhu je uvedené, že vianočný príspevok nebude nižší ako 10 eur, čo, podľa môjho názoru, nepredstavuje marginálny vplyv pre roky 2021 a 2022; túto skutočnosť preto žiadam zohľadniť v kvantifikácii vplyvov na rozpočet verejnej správy na tieto roky a zabezpečiť v rámci schválených limitov výdavkov rozpočtu verejnej správy. V Analýze vplyvov na rozpočet verejnej správy, na zamestnanosť vo verejnej správe a financovanie návrhu je uvedený negatívny, rozpočtovo zabezpečený vplyv v rokoch 2019, 2020 a 2021. Negatívny vplyv na rozpočet verejnej správy v sume 151 764 242 eur v roku 2022 je uvedený ako nezabezpečený. Tento vplyv v roku 2022 žiadam zabezpečiť v rámci schváleného limitu </w:t>
            </w:r>
            <w:r>
              <w:rPr>
                <w:rFonts w:ascii="Times" w:hAnsi="Times" w:cs="Times"/>
                <w:sz w:val="25"/>
                <w:szCs w:val="25"/>
              </w:rPr>
              <w:lastRenderedPageBreak/>
              <w:t xml:space="preserve">výdavkov rozpočtu verejnej správy. Podľa uvedeného žiadam upraviť aj rozpočtové zabezpečenie v doložke vybraných vplyvov a v Analýze vplyvov na rozpočet verejnej správy, na zamestnanosť vo verejnej správe a financovanie návrhu uviesť rozpočtovo nekrytý vplyv v roku 2022 ako financovanie zabezpečené v rozpočte.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p>
        </w:tc>
      </w:tr>
      <w:tr w:rsidR="001B434B">
        <w:trPr>
          <w:divId w:val="11468922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rPr>
                <w:rFonts w:ascii="Times" w:hAnsi="Times" w:cs="Times"/>
                <w:sz w:val="25"/>
                <w:szCs w:val="25"/>
              </w:rPr>
            </w:pPr>
            <w:r>
              <w:rPr>
                <w:rFonts w:ascii="Times" w:hAnsi="Times" w:cs="Times"/>
                <w:b/>
                <w:bCs/>
                <w:sz w:val="25"/>
                <w:szCs w:val="25"/>
              </w:rPr>
              <w:t>Všeobecne</w:t>
            </w:r>
            <w:r>
              <w:rPr>
                <w:rFonts w:ascii="Times" w:hAnsi="Times" w:cs="Times"/>
                <w:sz w:val="25"/>
                <w:szCs w:val="25"/>
              </w:rPr>
              <w:br/>
              <w:t>V čl. I bodoch 4 a 5 prílohách č. 1 a 2 je potrebné za vzorcom, pred slovom „kde“ vložiť čiarku a pomlčku pri jednotlivých veličinách nahradiť slovom „je“.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p>
        </w:tc>
      </w:tr>
      <w:tr w:rsidR="001B434B">
        <w:trPr>
          <w:divId w:val="11468922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rPr>
                <w:rFonts w:ascii="Times" w:hAnsi="Times" w:cs="Times"/>
                <w:sz w:val="25"/>
                <w:szCs w:val="25"/>
              </w:rPr>
            </w:pPr>
            <w:r>
              <w:rPr>
                <w:rFonts w:ascii="Times" w:hAnsi="Times" w:cs="Times"/>
                <w:b/>
                <w:bCs/>
                <w:sz w:val="25"/>
                <w:szCs w:val="25"/>
              </w:rPr>
              <w:t>Všeobecne</w:t>
            </w:r>
            <w:r>
              <w:rPr>
                <w:rFonts w:ascii="Times" w:hAnsi="Times" w:cs="Times"/>
                <w:sz w:val="25"/>
                <w:szCs w:val="25"/>
              </w:rPr>
              <w:br/>
              <w:t>V čl. I bodoch 4 a 5 prílohách č. 1 a 2 je potrebné za vzorcom, pred slovom „kde“ vložiť čiarku a pomlčku pri jednotlivých veličinách nahradiť slovom „je“.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p>
        </w:tc>
      </w:tr>
      <w:tr w:rsidR="001B434B">
        <w:trPr>
          <w:divId w:val="11468922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p>
        </w:tc>
      </w:tr>
      <w:tr w:rsidR="001B434B">
        <w:trPr>
          <w:divId w:val="11468922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rPr>
                <w:rFonts w:ascii="Times" w:hAnsi="Times" w:cs="Times"/>
                <w:sz w:val="25"/>
                <w:szCs w:val="25"/>
              </w:rPr>
            </w:pPr>
            <w:r>
              <w:rPr>
                <w:rFonts w:ascii="Times" w:hAnsi="Times" w:cs="Times"/>
                <w:b/>
                <w:bCs/>
                <w:sz w:val="25"/>
                <w:szCs w:val="25"/>
              </w:rPr>
              <w:t>K čl. I bodu 4 (príloha č. 1)</w:t>
            </w:r>
            <w:r>
              <w:rPr>
                <w:rFonts w:ascii="Times" w:hAnsi="Times" w:cs="Times"/>
                <w:sz w:val="25"/>
                <w:szCs w:val="25"/>
              </w:rPr>
              <w:br/>
              <w:t xml:space="preserve">Ponechávame na zváženie predkladateľa rozdeliť novelizačný bod 4 v nadväznosti na bod 40 Prílohy č. 1 k Legislatívnym pravidlám vlády Slovenskej republiky do dvoch samostatných novelizačných bodov: „4. Doterajšia príloha sa označuje ako príloha č. 1. 5. Príloha č. 1 vrátane nadpisu znie:“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rPr>
                <w:rFonts w:ascii="Times" w:hAnsi="Times" w:cs="Times"/>
                <w:sz w:val="25"/>
                <w:szCs w:val="25"/>
              </w:rPr>
            </w:pPr>
            <w:r>
              <w:rPr>
                <w:rFonts w:ascii="Times" w:hAnsi="Times" w:cs="Times"/>
                <w:sz w:val="25"/>
                <w:szCs w:val="25"/>
              </w:rPr>
              <w:t xml:space="preserve">V navrhovanej legislatívnej technike nie je zjavný legislatívny prínos. </w:t>
            </w:r>
          </w:p>
        </w:tc>
      </w:tr>
      <w:tr w:rsidR="001B434B">
        <w:trPr>
          <w:divId w:val="11468922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rPr>
                <w:rFonts w:ascii="Times" w:hAnsi="Times" w:cs="Times"/>
                <w:sz w:val="25"/>
                <w:szCs w:val="25"/>
              </w:rPr>
            </w:pPr>
            <w:r>
              <w:rPr>
                <w:rFonts w:ascii="Times" w:hAnsi="Times" w:cs="Times"/>
                <w:b/>
                <w:bCs/>
                <w:sz w:val="25"/>
                <w:szCs w:val="25"/>
              </w:rPr>
              <w:t>K návrhu uznesenia vlády Slovenskej republiky</w:t>
            </w:r>
            <w:r>
              <w:rPr>
                <w:rFonts w:ascii="Times" w:hAnsi="Times" w:cs="Times"/>
                <w:sz w:val="25"/>
                <w:szCs w:val="25"/>
              </w:rPr>
              <w:br/>
              <w:t xml:space="preserve">V časti B je potrebné upraviť slovo „ministrovi“ do tvaru </w:t>
            </w:r>
            <w:r>
              <w:rPr>
                <w:rFonts w:ascii="Times" w:hAnsi="Times" w:cs="Times"/>
                <w:sz w:val="25"/>
                <w:szCs w:val="25"/>
              </w:rPr>
              <w:lastRenderedPageBreak/>
              <w:t xml:space="preserve">„ministra“.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p>
        </w:tc>
      </w:tr>
      <w:tr w:rsidR="001B434B">
        <w:trPr>
          <w:divId w:val="11468922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rPr>
                <w:rFonts w:ascii="Times" w:hAnsi="Times" w:cs="Times"/>
                <w:sz w:val="25"/>
                <w:szCs w:val="25"/>
              </w:rPr>
            </w:pPr>
            <w:r>
              <w:rPr>
                <w:rFonts w:ascii="Times" w:hAnsi="Times" w:cs="Times"/>
                <w:b/>
                <w:bCs/>
                <w:sz w:val="25"/>
                <w:szCs w:val="25"/>
              </w:rPr>
              <w:t>k doložke vplyvov na rozpočet verejnej správy</w:t>
            </w:r>
            <w:r>
              <w:rPr>
                <w:rFonts w:ascii="Times" w:hAnsi="Times" w:cs="Times"/>
                <w:sz w:val="25"/>
                <w:szCs w:val="25"/>
              </w:rPr>
              <w:br/>
              <w:t xml:space="preserve">K doložke vplyvov na rozpočet verejnej správy Navrhujeme v doložke vplyvov na rozpočet verejnej správy uvádzať iba vplyv, ktorý vznikne nad rámec súčasného právneho stavu. V uvedenom materiáli, v časti „2.2.4.2 Kvantifikácia výdavkov“, sa uvádza, že „Na záver sa porovnali celkové očakávané výdavky na vianočný príspevok, ktoré zakladá návrh zákona s výdavkami na vianočný príspevok, ktoré sú uvedené v rozpočte verejnej správy na rok 2019 a rozpočtovom výhľade na roky 2020 a 2021.”. K tomuto porovnaniu však nedošlo a za vplyv opatrenia sú uvažované celkové výdavky, vrátane tých, ktoré vyplývajú zo súčasného právneho stavu.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rPr>
                <w:rFonts w:ascii="Times" w:hAnsi="Times" w:cs="Times"/>
                <w:sz w:val="25"/>
                <w:szCs w:val="25"/>
              </w:rPr>
            </w:pPr>
            <w:r>
              <w:rPr>
                <w:rFonts w:ascii="Times" w:hAnsi="Times" w:cs="Times"/>
                <w:sz w:val="25"/>
                <w:szCs w:val="25"/>
              </w:rPr>
              <w:t xml:space="preserve">Pôvodná analýza vplyvov na rozpočet verejnej správy obsahovala iba vplyv, ktorý vznikne nad rámec súčasného právneho stavu. Zmena uvádzania finančných dopadov vyplynula po akceptovaní pripomienky Komisie pre posudzovanie vybraných vplyvov v rámci predbežného pripomienkového konania, kde Komisia uviedla nasledovnú pripomienku: „Vzhľadom na rozsah navrhovaných zmien v oblasti vyplácania vianočného príspevku Komisia žiada v tabuľke č. 1 analýzy vplyvov na rozpočet verejnej správy v príslušných riadkoch týkajúcich sa výdavkov verejnej správy uvádzať celkové výdavky predpokladané na výplatu vianočného príspevku v jednotlivých rokoch podľa predloženého návrhu a v riadku „Financovanie zabezpečené v rozpočte“ uvádzať výdavky na vianočný príspevok tak, ako sú na tento účel uvedené v rozpočte verejnej správy na rok 2019 a rozpočtovom výhľade na roky 2020 a 2021.“ </w:t>
            </w:r>
            <w:r>
              <w:rPr>
                <w:rFonts w:ascii="Times" w:hAnsi="Times" w:cs="Times"/>
                <w:sz w:val="25"/>
                <w:szCs w:val="25"/>
              </w:rPr>
              <w:lastRenderedPageBreak/>
              <w:t>Celkové porovnanie očakávaných výdavkov na vianočný príspevok, ktoré zakladá návrh zákona s výdavkami na vianočný príspevok, ktoré sú uvedené v rozpočte verejnej správy na rok 2019 a v rozpočtovom výhľade na roky 2020 a 2021, je uvedené v tabuľke č. 1 v časti Financovanie zabezpečené v rozpočte – v riadku Všeobecná pokladničná správa.</w:t>
            </w:r>
          </w:p>
        </w:tc>
      </w:tr>
      <w:tr w:rsidR="001B434B">
        <w:trPr>
          <w:divId w:val="11468922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rPr>
                <w:rFonts w:ascii="Times" w:hAnsi="Times" w:cs="Times"/>
                <w:sz w:val="25"/>
                <w:szCs w:val="25"/>
              </w:rPr>
            </w:pPr>
            <w:r>
              <w:rPr>
                <w:rFonts w:ascii="Times" w:hAnsi="Times" w:cs="Times"/>
                <w:b/>
                <w:bCs/>
                <w:sz w:val="25"/>
                <w:szCs w:val="25"/>
              </w:rPr>
              <w:t>K analýze vplyvov na rozpočet verejnej správy, na zamestnanosť vo verejnej správe a financovanie návrhu :</w:t>
            </w:r>
            <w:r>
              <w:rPr>
                <w:rFonts w:ascii="Times" w:hAnsi="Times" w:cs="Times"/>
                <w:sz w:val="25"/>
                <w:szCs w:val="25"/>
              </w:rPr>
              <w:br/>
              <w:t xml:space="preserve">V časti 2.2.4 Výpočty vplyvov na verejné financie – v bode 2.2.4.2 Kvantifikácia výdavkov, žiadame do legendy pod vzorce výpočtu navrhovanej výšky vianočného príspevku doplniť skratku VP spolu s vysvetlením, že sa jedná o vianočný príspevok.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p>
        </w:tc>
      </w:tr>
      <w:tr w:rsidR="001B434B">
        <w:trPr>
          <w:divId w:val="11468922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rPr>
                <w:rFonts w:ascii="Times" w:hAnsi="Times" w:cs="Times"/>
                <w:sz w:val="25"/>
                <w:szCs w:val="25"/>
              </w:rPr>
            </w:pPr>
            <w:r>
              <w:rPr>
                <w:rFonts w:ascii="Times" w:hAnsi="Times" w:cs="Times"/>
                <w:b/>
                <w:bCs/>
                <w:sz w:val="25"/>
                <w:szCs w:val="25"/>
              </w:rPr>
              <w:t xml:space="preserve">K analýze sociálnych vplyvov: </w:t>
            </w:r>
            <w:r>
              <w:rPr>
                <w:rFonts w:ascii="Times" w:hAnsi="Times" w:cs="Times"/>
                <w:sz w:val="25"/>
                <w:szCs w:val="25"/>
              </w:rPr>
              <w:br/>
              <w:t xml:space="preserve">V tretej časti analýzy sociálnych vplyvov (časť „4.3 Identifikujte a popíšte vplyv na rovnosť príležitostí. Identifikujte, popíšte a kvantifikujte vplyv na rodovú rovnosť .“), žiadame nahradiť pojem „poslanecký návrh zákona“ v oboch prípadoch jeho použitia, pojmom „návrh zákona“, nakoľko predkladaný materiál nie je poslaneckým návrhom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p>
        </w:tc>
      </w:tr>
      <w:tr w:rsidR="001B434B">
        <w:trPr>
          <w:divId w:val="11468922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b/>
                <w:bCs/>
                <w:sz w:val="25"/>
                <w:szCs w:val="25"/>
              </w:rPr>
            </w:pPr>
            <w:r>
              <w:rPr>
                <w:rFonts w:ascii="Times" w:hAnsi="Times" w:cs="Times"/>
                <w:b/>
                <w:bCs/>
                <w:sz w:val="25"/>
                <w:szCs w:val="25"/>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rPr>
                <w:rFonts w:ascii="Times" w:hAnsi="Times" w:cs="Times"/>
                <w:sz w:val="25"/>
                <w:szCs w:val="25"/>
              </w:rPr>
            </w:pPr>
            <w:r>
              <w:rPr>
                <w:rFonts w:ascii="Times" w:hAnsi="Times" w:cs="Times"/>
                <w:b/>
                <w:bCs/>
                <w:sz w:val="25"/>
                <w:szCs w:val="25"/>
              </w:rPr>
              <w:t>Čl. I - k bodu 2 - k § 1 ods. 8 písm. c)</w:t>
            </w:r>
            <w:r>
              <w:rPr>
                <w:rFonts w:ascii="Times" w:hAnsi="Times" w:cs="Times"/>
                <w:sz w:val="25"/>
                <w:szCs w:val="25"/>
              </w:rPr>
              <w:br/>
              <w:t>Zo vzorca na výpočet sumy vianočného príspevku podľa § 1 ods. 8 písm. c) vyplýva, že suma vianočného príspevku musí byť vždy minimálne v sume 10 eur. Z dôvodu všeobecnej zrozumiteľnosti určenia sumy vianočného príspevku žiadame uvedené doplniť výslovne aj do § 1 ods. 8 písm. c)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p>
        </w:tc>
      </w:tr>
      <w:tr w:rsidR="001B434B">
        <w:trPr>
          <w:divId w:val="11468922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rPr>
                <w:rFonts w:ascii="Times" w:hAnsi="Times" w:cs="Times"/>
                <w:sz w:val="25"/>
                <w:szCs w:val="25"/>
              </w:rPr>
            </w:pPr>
            <w:r>
              <w:rPr>
                <w:rFonts w:ascii="Times" w:hAnsi="Times" w:cs="Times"/>
                <w:b/>
                <w:bCs/>
                <w:sz w:val="25"/>
                <w:szCs w:val="25"/>
              </w:rPr>
              <w:t>prílohám č. 1 a 2</w:t>
            </w:r>
            <w:r>
              <w:rPr>
                <w:rFonts w:ascii="Times" w:hAnsi="Times" w:cs="Times"/>
                <w:sz w:val="25"/>
                <w:szCs w:val="25"/>
              </w:rPr>
              <w:br/>
              <w:t>Odporúčame za vzorcom doplniť chýbajúcu čiarku, za slovom "kde" vypustiť nadbytočnú dvojbodku, pomlčky vo vysvetlivkách skratiek nahradiť slovom "je" a za prvou a druhou vysvetlivkou doplniť chýbajúce čiarky.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p>
        </w:tc>
      </w:tr>
      <w:tr w:rsidR="001B434B">
        <w:trPr>
          <w:divId w:val="11468922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rPr>
                <w:rFonts w:ascii="Times" w:hAnsi="Times" w:cs="Times"/>
                <w:sz w:val="25"/>
                <w:szCs w:val="25"/>
              </w:rPr>
            </w:pPr>
            <w:r>
              <w:rPr>
                <w:rFonts w:ascii="Times" w:hAnsi="Times" w:cs="Times"/>
                <w:b/>
                <w:bCs/>
                <w:sz w:val="25"/>
                <w:szCs w:val="25"/>
              </w:rPr>
              <w:t>prílohám č. 1 a 2</w:t>
            </w:r>
            <w:r>
              <w:rPr>
                <w:rFonts w:ascii="Times" w:hAnsi="Times" w:cs="Times"/>
                <w:sz w:val="25"/>
                <w:szCs w:val="25"/>
              </w:rPr>
              <w:br/>
              <w:t>Odporúčame za vzorcom pripojiť slovo "EUR", pretože nejde o bezrozmerné číslo.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434B" w:rsidRDefault="001B434B">
            <w:pPr>
              <w:rPr>
                <w:rFonts w:ascii="Times" w:hAnsi="Times" w:cs="Times"/>
                <w:sz w:val="25"/>
                <w:szCs w:val="25"/>
              </w:rPr>
            </w:pPr>
            <w:r>
              <w:rPr>
                <w:rFonts w:ascii="Times" w:hAnsi="Times" w:cs="Times"/>
                <w:sz w:val="25"/>
                <w:szCs w:val="25"/>
              </w:rPr>
              <w:t xml:space="preserve">Navrhovaným vzorcom sa určuje suma vianočného príspevku a skutočnosť, že vianočný príspevok sa vypláca v eurách je vyjadrená v § 1 ods. 1 (zaokrúhľovanie) a § 1 ods. 8 (suma). </w:t>
            </w:r>
          </w:p>
        </w:tc>
      </w:tr>
    </w:tbl>
    <w:p w:rsidR="00154A91" w:rsidRPr="00154A91" w:rsidRDefault="00154A91" w:rsidP="00CE47A6"/>
    <w:p w:rsidR="00154A91" w:rsidRPr="00024402" w:rsidRDefault="00154A91" w:rsidP="00CE47A6"/>
    <w:sectPr w:rsidR="00154A91" w:rsidRPr="00024402" w:rsidSect="004075B2">
      <w:footerReference w:type="default" r:id="rId8"/>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EF1" w:rsidRDefault="00C84EF1" w:rsidP="000A67D5">
      <w:pPr>
        <w:spacing w:after="0" w:line="240" w:lineRule="auto"/>
      </w:pPr>
      <w:r>
        <w:separator/>
      </w:r>
    </w:p>
  </w:endnote>
  <w:endnote w:type="continuationSeparator" w:id="0">
    <w:p w:rsidR="00C84EF1" w:rsidRDefault="00C84EF1"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079921"/>
      <w:docPartObj>
        <w:docPartGallery w:val="Page Numbers (Bottom of Page)"/>
        <w:docPartUnique/>
      </w:docPartObj>
    </w:sdtPr>
    <w:sdtContent>
      <w:p w:rsidR="00D168C5" w:rsidRDefault="00D168C5">
        <w:pPr>
          <w:pStyle w:val="Pta"/>
          <w:jc w:val="center"/>
        </w:pPr>
        <w:r>
          <w:fldChar w:fldCharType="begin"/>
        </w:r>
        <w:r>
          <w:instrText>PAGE   \* MERGEFORMAT</w:instrText>
        </w:r>
        <w:r>
          <w:fldChar w:fldCharType="separate"/>
        </w:r>
        <w:r>
          <w:rPr>
            <w:noProof/>
          </w:rPr>
          <w:t>1</w:t>
        </w:r>
        <w:r>
          <w:fldChar w:fldCharType="end"/>
        </w:r>
      </w:p>
    </w:sdtContent>
  </w:sdt>
  <w:p w:rsidR="00D168C5" w:rsidRDefault="00D168C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EF1" w:rsidRDefault="00C84EF1" w:rsidP="000A67D5">
      <w:pPr>
        <w:spacing w:after="0" w:line="240" w:lineRule="auto"/>
      </w:pPr>
      <w:r>
        <w:separator/>
      </w:r>
    </w:p>
  </w:footnote>
  <w:footnote w:type="continuationSeparator" w:id="0">
    <w:p w:rsidR="00C84EF1" w:rsidRDefault="00C84EF1"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1B434B"/>
    <w:rsid w:val="001D397D"/>
    <w:rsid w:val="002109B0"/>
    <w:rsid w:val="0021228E"/>
    <w:rsid w:val="00230F3C"/>
    <w:rsid w:val="00242E18"/>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30CC4"/>
    <w:rsid w:val="00A54A16"/>
    <w:rsid w:val="00B018F4"/>
    <w:rsid w:val="00B721A5"/>
    <w:rsid w:val="00B76589"/>
    <w:rsid w:val="00B8767E"/>
    <w:rsid w:val="00BD1FAB"/>
    <w:rsid w:val="00BE7302"/>
    <w:rsid w:val="00BF7CE0"/>
    <w:rsid w:val="00C84EF1"/>
    <w:rsid w:val="00CA44D2"/>
    <w:rsid w:val="00CE47A6"/>
    <w:rsid w:val="00CF3D59"/>
    <w:rsid w:val="00D168C5"/>
    <w:rsid w:val="00D261C9"/>
    <w:rsid w:val="00D708B0"/>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8176">
      <w:bodyDiv w:val="1"/>
      <w:marLeft w:val="0"/>
      <w:marRight w:val="0"/>
      <w:marTop w:val="0"/>
      <w:marBottom w:val="0"/>
      <w:divBdr>
        <w:top w:val="none" w:sz="0" w:space="0" w:color="auto"/>
        <w:left w:val="none" w:sz="0" w:space="0" w:color="auto"/>
        <w:bottom w:val="none" w:sz="0" w:space="0" w:color="auto"/>
        <w:right w:val="none" w:sz="0" w:space="0" w:color="auto"/>
      </w:divBdr>
    </w:div>
    <w:div w:id="374697026">
      <w:bodyDiv w:val="1"/>
      <w:marLeft w:val="0"/>
      <w:marRight w:val="0"/>
      <w:marTop w:val="0"/>
      <w:marBottom w:val="0"/>
      <w:divBdr>
        <w:top w:val="none" w:sz="0" w:space="0" w:color="auto"/>
        <w:left w:val="none" w:sz="0" w:space="0" w:color="auto"/>
        <w:bottom w:val="none" w:sz="0" w:space="0" w:color="auto"/>
        <w:right w:val="none" w:sz="0" w:space="0" w:color="auto"/>
      </w:divBdr>
    </w:div>
    <w:div w:id="1037462706">
      <w:bodyDiv w:val="1"/>
      <w:marLeft w:val="0"/>
      <w:marRight w:val="0"/>
      <w:marTop w:val="0"/>
      <w:marBottom w:val="0"/>
      <w:divBdr>
        <w:top w:val="none" w:sz="0" w:space="0" w:color="auto"/>
        <w:left w:val="none" w:sz="0" w:space="0" w:color="auto"/>
        <w:bottom w:val="none" w:sz="0" w:space="0" w:color="auto"/>
        <w:right w:val="none" w:sz="0" w:space="0" w:color="auto"/>
      </w:divBdr>
    </w:div>
    <w:div w:id="1146892299">
      <w:bodyDiv w:val="1"/>
      <w:marLeft w:val="0"/>
      <w:marRight w:val="0"/>
      <w:marTop w:val="0"/>
      <w:marBottom w:val="0"/>
      <w:divBdr>
        <w:top w:val="none" w:sz="0" w:space="0" w:color="auto"/>
        <w:left w:val="none" w:sz="0" w:space="0" w:color="auto"/>
        <w:bottom w:val="none" w:sz="0" w:space="0" w:color="auto"/>
        <w:right w:val="none" w:sz="0" w:space="0" w:color="auto"/>
      </w:divBdr>
    </w:div>
    <w:div w:id="1314329455">
      <w:bodyDiv w:val="1"/>
      <w:marLeft w:val="0"/>
      <w:marRight w:val="0"/>
      <w:marTop w:val="0"/>
      <w:marBottom w:val="0"/>
      <w:divBdr>
        <w:top w:val="none" w:sz="0" w:space="0" w:color="auto"/>
        <w:left w:val="none" w:sz="0" w:space="0" w:color="auto"/>
        <w:bottom w:val="none" w:sz="0" w:space="0" w:color="auto"/>
        <w:right w:val="none" w:sz="0" w:space="0" w:color="auto"/>
      </w:divBdr>
    </w:div>
    <w:div w:id="1406413927">
      <w:bodyDiv w:val="1"/>
      <w:marLeft w:val="0"/>
      <w:marRight w:val="0"/>
      <w:marTop w:val="0"/>
      <w:marBottom w:val="0"/>
      <w:divBdr>
        <w:top w:val="none" w:sz="0" w:space="0" w:color="auto"/>
        <w:left w:val="none" w:sz="0" w:space="0" w:color="auto"/>
        <w:bottom w:val="none" w:sz="0" w:space="0" w:color="auto"/>
        <w:right w:val="none" w:sz="0" w:space="0" w:color="auto"/>
      </w:divBdr>
    </w:div>
    <w:div w:id="1864980532">
      <w:bodyDiv w:val="1"/>
      <w:marLeft w:val="0"/>
      <w:marRight w:val="0"/>
      <w:marTop w:val="0"/>
      <w:marBottom w:val="0"/>
      <w:divBdr>
        <w:top w:val="none" w:sz="0" w:space="0" w:color="auto"/>
        <w:left w:val="none" w:sz="0" w:space="0" w:color="auto"/>
        <w:bottom w:val="none" w:sz="0" w:space="0" w:color="auto"/>
        <w:right w:val="none" w:sz="0" w:space="0" w:color="auto"/>
      </w:divBdr>
    </w:div>
    <w:div w:id="189866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7.2.2019 8:41:12"/>
    <f:field ref="objchangedby" par="" text="Administrator, System"/>
    <f:field ref="objmodifiedat" par="" text="27.2.2019 8:41:17"/>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1903</Words>
  <Characters>10848</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2019-02-27T07:49:00Z</dcterms:created>
  <dcterms:modified xsi:type="dcterms:W3CDTF">2019-02-27T07:52:00Z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ktorým sa mení a dopĺňa zákon č. 592/2006 Z. z. o&amp;nbsp;poskytovaní vianočného príspevku niektorým poberateľom dôchodku a&amp;nbsp;o doplnení niektorých zákonov v&amp;nbsp;znení neskorší</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Právo sociálneho zabezpečenia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Vladimír Hornáček</vt:lpwstr>
  </property>
  <property fmtid="{D5CDD505-2E9C-101B-9397-08002B2CF9AE}" pid="11" name="FSC#SKEDITIONSLOVLEX@103.510:zodppredkladatel">
    <vt:lpwstr>Ján Richter</vt:lpwstr>
  </property>
  <property fmtid="{D5CDD505-2E9C-101B-9397-08002B2CF9AE}" pid="12" name="FSC#SKEDITIONSLOVLEX@103.510:dalsipredkladatel">
    <vt:lpwstr/>
  </property>
  <property fmtid="{D5CDD505-2E9C-101B-9397-08002B2CF9AE}" pid="13" name="FSC#SKEDITIONSLOVLEX@103.510:nazovpredpis">
    <vt:lpwstr>, ktorým sa mení a dopĺňa zákon č. 592/2006 Z. z. o poskytovaní vianočného príspevku niektorým poberateľom dôchodku a o doplnení niektorých zákonov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práce, sociálnych vecí a rodiny Slovenskej republiky</vt:lpwstr>
  </property>
  <property fmtid="{D5CDD505-2E9C-101B-9397-08002B2CF9AE}" pid="19"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rok 2019</vt:lpwstr>
  </property>
  <property fmtid="{D5CDD505-2E9C-101B-9397-08002B2CF9AE}" pid="22" name="FSC#SKEDITIONSLOVLEX@103.510:plnynazovpredpis">
    <vt:lpwstr> Zákon, ktorým sa mení a dopĺňa zákon č. 592/2006 Z. z. o poskytovaní vianočného príspevku niektorým poberateľom dôchodku a o doplnení niektorých zákonov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8377/2019-M_OPVA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LP/2019/80</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151 a 153 Zmluvy o fungovaní Európskej únie, (Konsolidované znenie), </vt:lpwstr>
  </property>
  <property fmtid="{D5CDD505-2E9C-101B-9397-08002B2CF9AE}" pid="46" name="FSC#SKEDITIONSLOVLEX@103.510:AttrStrListDocPropSekundarneLegPravoPO">
    <vt:lpwstr>nie je upravená,</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rozsudok ESD C-361/13 Európska komisia proti Slovenskej republike (žaloba bola zamietnutá).</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Bezpredmetné.</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10. 1. 2019</vt:lpwstr>
  </property>
  <property fmtid="{D5CDD505-2E9C-101B-9397-08002B2CF9AE}" pid="58" name="FSC#SKEDITIONSLOVLEX@103.510:AttrDateDocPropUkonceniePKK">
    <vt:lpwstr>23. 1. 2019</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 style="text-align: justify;"&gt;&lt;em&gt;&lt;u&gt;Vplyvy na rozpočet verejnej správy&lt;/u&gt; – vplyv na rozpočet verejnej správy bude negatívny z&amp;nbsp;dôvodu, že sa predpokladajú vyššie výdavky na vianočný príspevok v&amp;nbsp;porovnaní so schváleným rozpočtom štátnej správ</vt:lpwstr>
  </property>
  <property fmtid="{D5CDD505-2E9C-101B-9397-08002B2CF9AE}" pid="65" name="FSC#SKEDITIONSLOVLEX@103.510:AttrStrListDocPropAltRiesenia">
    <vt:lpwstr>Ak by nebola schválená navrhovaná právna úprava, tak by maximálna suma vianočného príspevku dôchodcov, ktorých celkový dôchodkový príjem neprevyšuje sumu životného minima pre jednu plnoletú osobu predstavovala spolu s jednorazovým zvýšením 100 eur. </vt:lpwstr>
  </property>
  <property fmtid="{D5CDD505-2E9C-101B-9397-08002B2CF9AE}" pid="66" name="FSC#SKEDITIONSLOVLEX@103.510:AttrStrListDocPropStanoviskoGest">
    <vt:lpwstr>&lt;p align="center"&gt;&amp;nbsp;&lt;/p&gt;&lt;p align="center"&gt;&amp;nbsp;&lt;/p&gt;&lt;p&gt;Bratislava: 28.1.2019&lt;/p&gt;&lt;p&gt;Číslo: 007/2019&lt;/p&gt;&lt;p&gt;Vybavuje: Mgr. Kováč&lt;/p&gt;&lt;p&gt;&amp;nbsp;&lt;/p&gt;&lt;h4&gt;&amp;nbsp; &amp;nbsp; &amp;nbsp; &amp;nbsp; &amp;nbsp; &amp;nbsp; &amp;nbsp; &amp;nbsp; &amp;nbsp; &amp;nbsp; &amp;nbsp; &amp;nbsp; &amp;nbsp; &amp;nbsp; &amp;nbsp;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práce, sociálnych vecí a rodiny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práce, sociálnych vecí a rodiny Slovenskej republiky</vt:lpwstr>
  </property>
  <property fmtid="{D5CDD505-2E9C-101B-9397-08002B2CF9AE}" pid="141" name="FSC#SKEDITIONSLOVLEX@103.510:funkciaZodpPredAkuzativ">
    <vt:lpwstr>ministrovi práce, sociálnych vecí a rodiny Slovenskej republiky</vt:lpwstr>
  </property>
  <property fmtid="{D5CDD505-2E9C-101B-9397-08002B2CF9AE}" pid="142" name="FSC#SKEDITIONSLOVLEX@103.510:funkciaZodpPredDativ">
    <vt:lpwstr>ministra práce, sociálnych vecí a rodiny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Richter_x000d_
minister práce, sociálnych vecí a rodiny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práce, sociálnych vecí a rodiny Slovenskej republiky predkladá návrh zákona, ktorým sa mení a dopĺňa zákon č. 592/2006 Z. z. o poskytovaní vianočného príspevku niektorým poberateľom dôchodku a o doplnení niekto</vt:lpwstr>
  </property>
  <property fmtid="{D5CDD505-2E9C-101B-9397-08002B2CF9AE}" pid="149" name="FSC#COOSYSTEM@1.1:Container">
    <vt:lpwstr>COO.2145.1000.3.3242685</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27. 2. 2019</vt:lpwstr>
  </property>
</Properties>
</file>