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2" w:rsidRPr="00946DC2" w14:paraId="66B50247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D8EBF4F" w14:textId="77777777" w:rsidR="009F2DFA" w:rsidRPr="00946DC2" w:rsidRDefault="008A1252" w:rsidP="007B71A4">
            <w:pPr>
              <w:jc w:val="center"/>
              <w:rPr>
                <w:b/>
                <w:sz w:val="24"/>
                <w:u w:val="single"/>
              </w:rPr>
            </w:pPr>
            <w:r w:rsidRPr="00946DC2">
              <w:rPr>
                <w:b/>
                <w:sz w:val="28"/>
                <w:u w:val="single"/>
              </w:rPr>
              <w:t>Analýza v</w:t>
            </w:r>
            <w:r w:rsidR="009F2DFA" w:rsidRPr="00946DC2">
              <w:rPr>
                <w:b/>
                <w:sz w:val="28"/>
                <w:u w:val="single"/>
              </w:rPr>
              <w:t>plyv</w:t>
            </w:r>
            <w:r w:rsidRPr="00946DC2">
              <w:rPr>
                <w:b/>
                <w:sz w:val="28"/>
                <w:u w:val="single"/>
              </w:rPr>
              <w:t>ov</w:t>
            </w:r>
            <w:r w:rsidR="009F2DFA" w:rsidRPr="00946DC2">
              <w:rPr>
                <w:b/>
                <w:sz w:val="28"/>
                <w:u w:val="single"/>
              </w:rPr>
              <w:t xml:space="preserve"> na podnikateľské prostredie </w:t>
            </w:r>
          </w:p>
          <w:p w14:paraId="784E1628" w14:textId="77777777" w:rsidR="009F2DFA" w:rsidRPr="00946DC2" w:rsidRDefault="009F2DFA" w:rsidP="00780BA6">
            <w:pPr>
              <w:jc w:val="center"/>
              <w:rPr>
                <w:b/>
                <w:u w:val="single"/>
              </w:rPr>
            </w:pPr>
            <w:r w:rsidRPr="00946DC2">
              <w:rPr>
                <w:b/>
                <w:sz w:val="24"/>
                <w:u w:val="single"/>
              </w:rPr>
              <w:t xml:space="preserve">(vrátane </w:t>
            </w:r>
            <w:r w:rsidR="00780BA6" w:rsidRPr="00946DC2">
              <w:rPr>
                <w:b/>
                <w:sz w:val="24"/>
                <w:u w:val="single"/>
              </w:rPr>
              <w:t xml:space="preserve">testu </w:t>
            </w:r>
            <w:r w:rsidRPr="00946DC2">
              <w:rPr>
                <w:b/>
                <w:sz w:val="24"/>
                <w:u w:val="single"/>
              </w:rPr>
              <w:t>MSP)</w:t>
            </w:r>
          </w:p>
        </w:tc>
      </w:tr>
      <w:tr w:rsidR="00946DC2" w:rsidRPr="00946DC2" w14:paraId="35274444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9254079" w14:textId="77777777" w:rsidR="009F2DFA" w:rsidRPr="00946DC2" w:rsidRDefault="009F2DFA" w:rsidP="007B71A4">
            <w:pPr>
              <w:rPr>
                <w:b/>
                <w:u w:val="single"/>
              </w:rPr>
            </w:pPr>
            <w:r w:rsidRPr="00946DC2">
              <w:rPr>
                <w:b/>
                <w:u w:val="single"/>
              </w:rPr>
              <w:t>Materiál bude mať vplyv s ohľadom na veľkostnú kategóriu podnikov:</w:t>
            </w:r>
          </w:p>
        </w:tc>
      </w:tr>
      <w:tr w:rsidR="00946DC2" w:rsidRPr="00946DC2" w14:paraId="7D7F00AF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46DC2" w:rsidRPr="00946DC2" w14:paraId="547C2D7F" w14:textId="77777777" w:rsidTr="007B71A4">
              <w:sdt>
                <w:sdtPr>
                  <w:rPr>
                    <w:u w:val="single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E72A42B" w14:textId="77777777" w:rsidR="009F2DFA" w:rsidRPr="00946DC2" w:rsidRDefault="004C7918" w:rsidP="007B71A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="MS Gothic" w:eastAsia="MS Gothic" w:hAnsi="MS Gothic" w:hint="eastAsia"/>
                          <w:u w:val="singl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F10D9B1" w14:textId="77777777" w:rsidR="009F2DFA" w:rsidRPr="00946DC2" w:rsidRDefault="009F2DFA" w:rsidP="007B71A4">
                  <w:pPr>
                    <w:rPr>
                      <w:b/>
                      <w:u w:val="single"/>
                    </w:rPr>
                  </w:pPr>
                  <w:r w:rsidRPr="00946DC2">
                    <w:rPr>
                      <w:b/>
                      <w:u w:val="single"/>
                    </w:rPr>
                    <w:t xml:space="preserve">iba na MSP (0 - 249 zamestnancov) </w:t>
                  </w:r>
                </w:p>
              </w:tc>
            </w:tr>
            <w:tr w:rsidR="00946DC2" w:rsidRPr="00946DC2" w14:paraId="3262709F" w14:textId="77777777" w:rsidTr="007B71A4">
              <w:sdt>
                <w:sdtPr>
                  <w:rPr>
                    <w:u w:val="single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EA44F1" w14:textId="77777777" w:rsidR="009F2DFA" w:rsidRPr="00946DC2" w:rsidRDefault="009F2DFA" w:rsidP="007B71A4">
                      <w:pPr>
                        <w:jc w:val="center"/>
                        <w:rPr>
                          <w:u w:val="single"/>
                        </w:rPr>
                      </w:pPr>
                      <w:r w:rsidRPr="00946DC2">
                        <w:rPr>
                          <w:rFonts w:ascii="MS Mincho" w:eastAsia="MS Mincho" w:hAnsi="MS Mincho" w:cs="MS Mincho" w:hint="eastAsia"/>
                          <w:u w:val="singl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863A94B" w14:textId="77777777" w:rsidR="009F2DFA" w:rsidRPr="00946DC2" w:rsidRDefault="009F2DFA" w:rsidP="007B71A4">
                  <w:pPr>
                    <w:rPr>
                      <w:b/>
                      <w:u w:val="single"/>
                    </w:rPr>
                  </w:pPr>
                  <w:r w:rsidRPr="00946DC2">
                    <w:rPr>
                      <w:b/>
                      <w:u w:val="single"/>
                    </w:rPr>
                    <w:t>iba na veľké podniky (250 a viac zamestnancov)</w:t>
                  </w:r>
                </w:p>
              </w:tc>
            </w:tr>
            <w:tr w:rsidR="00946DC2" w:rsidRPr="00946DC2" w14:paraId="1890E902" w14:textId="77777777" w:rsidTr="007B71A4">
              <w:sdt>
                <w:sdtPr>
                  <w:rPr>
                    <w:u w:val="single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5875D74" w14:textId="77777777" w:rsidR="009F2DFA" w:rsidRPr="00946DC2" w:rsidRDefault="00D6661A" w:rsidP="007B71A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="MS Gothic" w:eastAsia="MS Gothic" w:hAnsi="MS Gothic" w:hint="eastAsia"/>
                          <w:u w:val="single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518EEE0" w14:textId="77777777" w:rsidR="009F2DFA" w:rsidRPr="00946DC2" w:rsidRDefault="009F2DFA" w:rsidP="007B71A4">
                  <w:pPr>
                    <w:rPr>
                      <w:u w:val="single"/>
                    </w:rPr>
                  </w:pPr>
                  <w:r w:rsidRPr="00946DC2">
                    <w:rPr>
                      <w:b/>
                      <w:u w:val="single"/>
                    </w:rPr>
                    <w:t>na všetky kategórie podnikov</w:t>
                  </w:r>
                </w:p>
              </w:tc>
            </w:tr>
          </w:tbl>
          <w:p w14:paraId="0A47BF35" w14:textId="77777777" w:rsidR="009F2DFA" w:rsidRPr="00946DC2" w:rsidRDefault="009F2DFA" w:rsidP="007B71A4">
            <w:pPr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946DC2" w:rsidRPr="00946DC2" w14:paraId="74CE073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0C4A2EC4" w14:textId="77777777" w:rsidR="009F2DFA" w:rsidRPr="00946DC2" w:rsidRDefault="002B1108" w:rsidP="007B71A4">
            <w:pPr>
              <w:rPr>
                <w:b/>
                <w:u w:val="single"/>
              </w:rPr>
            </w:pPr>
            <w:r w:rsidRPr="00946DC2">
              <w:rPr>
                <w:b/>
                <w:u w:val="single"/>
              </w:rPr>
              <w:t>3</w:t>
            </w:r>
            <w:r w:rsidR="009F2DFA" w:rsidRPr="00946DC2">
              <w:rPr>
                <w:b/>
                <w:u w:val="single"/>
              </w:rPr>
              <w:t>.1 Dotknuté podnikateľské subjekty</w:t>
            </w:r>
          </w:p>
          <w:p w14:paraId="14F0CBFB" w14:textId="77777777" w:rsidR="009F2DFA" w:rsidRPr="00946DC2" w:rsidRDefault="009F2DFA" w:rsidP="007B71A4">
            <w:pPr>
              <w:ind w:left="284"/>
              <w:rPr>
                <w:b/>
                <w:u w:val="single"/>
              </w:rPr>
            </w:pPr>
            <w:r w:rsidRPr="00946DC2">
              <w:rPr>
                <w:u w:val="single"/>
              </w:rPr>
              <w:t xml:space="preserve"> - </w:t>
            </w:r>
            <w:r w:rsidRPr="00946DC2">
              <w:rPr>
                <w:b/>
                <w:u w:val="single"/>
              </w:rPr>
              <w:t>z toho MSP</w:t>
            </w:r>
          </w:p>
        </w:tc>
      </w:tr>
      <w:tr w:rsidR="00946DC2" w:rsidRPr="00946DC2" w14:paraId="7C30DFF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EF6C6AF" w14:textId="77777777" w:rsidR="009F2DFA" w:rsidRPr="00946DC2" w:rsidRDefault="009F2DFA" w:rsidP="00005B5C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Uveďte, aké podnikateľské subjekty budú predkladaným návrhom ovplyvnené.</w:t>
            </w:r>
            <w:r w:rsidR="00005B5C" w:rsidRPr="00946DC2">
              <w:rPr>
                <w:i/>
                <w:u w:val="single"/>
              </w:rPr>
              <w:t xml:space="preserve"> </w:t>
            </w:r>
            <w:r w:rsidRPr="00946DC2">
              <w:rPr>
                <w:i/>
                <w:u w:val="single"/>
              </w:rPr>
              <w:t>Aký je ich počet?</w:t>
            </w:r>
          </w:p>
        </w:tc>
      </w:tr>
      <w:tr w:rsidR="00946DC2" w:rsidRPr="00946DC2" w14:paraId="1683F9BD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7A0E0ADB" w14:textId="77777777" w:rsidR="00946DC2" w:rsidRPr="00946DC2" w:rsidRDefault="00946DC2" w:rsidP="004B3B3E">
            <w:pPr>
              <w:jc w:val="both"/>
              <w:rPr>
                <w:rFonts w:asciiTheme="minorHAnsi" w:hAnsiTheme="minorHAnsi"/>
              </w:rPr>
            </w:pPr>
          </w:p>
          <w:p w14:paraId="07C36FDE" w14:textId="77777777" w:rsidR="004B3B3E" w:rsidRPr="00946DC2" w:rsidRDefault="004B3B3E" w:rsidP="004B3B3E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>Predkladaný návrh právnej úpravy sa dotkne nasledovných podnikateľských subjektov:</w:t>
            </w:r>
          </w:p>
          <w:p w14:paraId="6FA7584F" w14:textId="77777777" w:rsidR="004B3B3E" w:rsidRPr="00946DC2" w:rsidRDefault="004B3B3E" w:rsidP="004B3B3E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 xml:space="preserve">- všetkých prípadných osôb (fyzických i právnických), ktoré sa budú podieľať na vstupe a dovoze tovarov kultúrnej povahy na colné územie Európskej únie. Samotné implementované nariadenie sa môže týkať len úzkej a veľmi špecifickej skupiny podnikateľov, ktorí sa zaoberajú dovozom tovaru kultúrnej hodnoty. Túto skupinu nie je možné na základe dostupných údajov bližšie kvantifikovať. </w:t>
            </w:r>
          </w:p>
          <w:p w14:paraId="01F3C58A" w14:textId="77777777" w:rsidR="00946DC2" w:rsidRPr="00946DC2" w:rsidRDefault="00946DC2" w:rsidP="004B3B3E">
            <w:pPr>
              <w:jc w:val="both"/>
              <w:rPr>
                <w:rFonts w:asciiTheme="minorHAnsi" w:hAnsiTheme="minorHAnsi"/>
              </w:rPr>
            </w:pPr>
          </w:p>
          <w:p w14:paraId="7FEDF5E7" w14:textId="77777777" w:rsidR="004B3B3E" w:rsidRDefault="004B3B3E" w:rsidP="004B3B3E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>- predajcov predmetov kultúrnej hodnoty, predovšetkým príležitostných predajcov predmetov kultúrnej hodnoty, ktorých aktivity neboli doteraz zvlášť regulované. Aplikáciou novo ustanovených sankcií sa môže dotknúť všetkých potenciálnych predajcov, ktorí obchodujú s predmetmi kultúrnej hodnoty, ktorých držba alebo vlastníctvo je nezákonné. Počet dotknutých subjektov nie je možné odhadnúť. Pri vstupe a dovoze sa predpokladajú jednotlivé sporadické prípady, rádovo niekoľko osôb. V prípade príležitostných predajcov, ktorí nie sú podnikateľskými subjektmi v pravom slova zmysle, i keď možno uskutočňujú aktivity pravidelne, opakovane a s cieľom zisku</w:t>
            </w:r>
            <w:r w:rsidR="00946DC2" w:rsidRPr="00946DC2">
              <w:rPr>
                <w:rFonts w:asciiTheme="minorHAnsi" w:hAnsiTheme="minorHAnsi"/>
              </w:rPr>
              <w:t xml:space="preserve"> (na burzách, resp. v on-line priestore),</w:t>
            </w:r>
            <w:r w:rsidRPr="00946DC2">
              <w:rPr>
                <w:rFonts w:asciiTheme="minorHAnsi" w:hAnsiTheme="minorHAnsi"/>
              </w:rPr>
              <w:t xml:space="preserve"> tiež nie je možné ich počet presne kvantifikovať. Podľa doterajších skúseností ale možno konštatovať, že aktivity týchto predajcov sa presúvajú z fyzického priestoru (burzy) do online priestoru, kde ich počet narastá.</w:t>
            </w:r>
          </w:p>
          <w:p w14:paraId="66FF96A7" w14:textId="77777777" w:rsidR="00DF3D14" w:rsidRDefault="00DF3D14" w:rsidP="00EF7F37">
            <w:pPr>
              <w:jc w:val="both"/>
              <w:rPr>
                <w:rFonts w:asciiTheme="minorHAnsi" w:hAnsiTheme="minorHAnsi"/>
                <w:u w:val="single"/>
              </w:rPr>
            </w:pPr>
          </w:p>
          <w:p w14:paraId="76437F9F" w14:textId="77777777" w:rsidR="00BE4985" w:rsidRPr="00946DC2" w:rsidRDefault="00BE4985" w:rsidP="00EF7F37">
            <w:pPr>
              <w:jc w:val="both"/>
              <w:rPr>
                <w:rFonts w:asciiTheme="minorHAnsi" w:hAnsiTheme="minorHAnsi"/>
                <w:u w:val="single"/>
              </w:rPr>
            </w:pPr>
            <w:r w:rsidRPr="00E837E5">
              <w:rPr>
                <w:rFonts w:asciiTheme="minorHAnsi" w:hAnsiTheme="minorHAnsi"/>
              </w:rPr>
              <w:t>Všetky uvedené vplyvy sa dotýkajú v rovnakej miere veľkých podnikov, MSP aj  nepodnikateľov (fyzických a právnických osôb).</w:t>
            </w:r>
          </w:p>
        </w:tc>
      </w:tr>
      <w:tr w:rsidR="00946DC2" w:rsidRPr="00946DC2" w14:paraId="7B4E9DEC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08E9E" w14:textId="77777777" w:rsidR="009F2DFA" w:rsidRPr="00946DC2" w:rsidRDefault="002B1108" w:rsidP="007B71A4">
            <w:pPr>
              <w:rPr>
                <w:b/>
                <w:u w:val="single"/>
              </w:rPr>
            </w:pPr>
            <w:r w:rsidRPr="00946DC2">
              <w:rPr>
                <w:b/>
                <w:u w:val="single"/>
              </w:rPr>
              <w:t>3</w:t>
            </w:r>
            <w:r w:rsidR="009F2DFA" w:rsidRPr="00946DC2">
              <w:rPr>
                <w:b/>
                <w:u w:val="single"/>
              </w:rPr>
              <w:t>.2 Vyhodnotenie konzultácií</w:t>
            </w:r>
          </w:p>
          <w:p w14:paraId="763C1DC2" w14:textId="77777777" w:rsidR="009F2DFA" w:rsidRPr="00946DC2" w:rsidRDefault="009F2DFA" w:rsidP="007B71A4">
            <w:pPr>
              <w:rPr>
                <w:b/>
                <w:u w:val="single"/>
              </w:rPr>
            </w:pPr>
            <w:r w:rsidRPr="00946DC2">
              <w:rPr>
                <w:u w:val="single"/>
              </w:rPr>
              <w:t xml:space="preserve">       - </w:t>
            </w:r>
            <w:r w:rsidRPr="00946DC2">
              <w:rPr>
                <w:b/>
                <w:u w:val="single"/>
              </w:rPr>
              <w:t>z toho MSP</w:t>
            </w:r>
          </w:p>
        </w:tc>
      </w:tr>
      <w:tr w:rsidR="00946DC2" w:rsidRPr="00946DC2" w14:paraId="71FAE5D7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20D7015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Uveďte, akou formou (verejné alebo cielené konzultácie a prečo) a s kým bol návrh konzultovaný.</w:t>
            </w:r>
          </w:p>
          <w:p w14:paraId="28918729" w14:textId="77777777" w:rsidR="009F2DFA" w:rsidRPr="00946DC2" w:rsidRDefault="009F2DFA" w:rsidP="00005B5C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Ako dlho trvali konzultácie?</w:t>
            </w:r>
            <w:r w:rsidR="00005B5C" w:rsidRPr="00946DC2">
              <w:rPr>
                <w:i/>
                <w:u w:val="single"/>
              </w:rPr>
              <w:t xml:space="preserve"> </w:t>
            </w:r>
            <w:r w:rsidRPr="00946DC2">
              <w:rPr>
                <w:i/>
                <w:u w:val="single"/>
              </w:rPr>
              <w:t xml:space="preserve">Uveďte hlavné body konzultácií a výsledky konzultácií. </w:t>
            </w:r>
          </w:p>
        </w:tc>
      </w:tr>
      <w:tr w:rsidR="00946DC2" w:rsidRPr="00946DC2" w14:paraId="7B9AB290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15060EB" w14:textId="77777777" w:rsidR="00946DC2" w:rsidRPr="00946DC2" w:rsidRDefault="00946DC2" w:rsidP="004B3B3E">
            <w:pPr>
              <w:jc w:val="both"/>
              <w:rPr>
                <w:rFonts w:asciiTheme="minorHAnsi" w:hAnsiTheme="minorHAnsi"/>
              </w:rPr>
            </w:pPr>
          </w:p>
          <w:p w14:paraId="43A2DBEE" w14:textId="77777777" w:rsidR="004B3B3E" w:rsidRPr="00946DC2" w:rsidRDefault="004B3B3E" w:rsidP="004B3B3E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>Pred začatím i počas procesu prípravy novely zákona sa viacerými formami uskutočnili konzultácie s profesionálnou archeologickou obcou i pamiatkarmi, ktoré smerovali k úsiliu jednoznačne definovať nezákonnosť obchodovania aj s predmetmi, ktoré sú priamymi produktmi súčasných archeologických vykopávok alebo nálezov a sú v nezákonnej držbe alebo vlastníctve. Konzultácie smerovali k snahe jasne formulovať a pre všetkých účastníkov trhu jednoznačne stanoviť povinnosť rešpektovať princíp „due dilligence“ pri nadobúdaní i predaji predmetov kultúrnej hodnoty spočívajúci v povinnosti s náležitou starostlivosťou aplikovať  základný prvok tohto princípu spočívajúci predovšetkým na zisťovaní pôvodu (proveniencie) a histórie daného predmetu od momentu jeho zhotovenia (resp. kontextu objavenia v prípade archeologických predmetov) až po súčasnosť, pretože len základe týchto informácií je možné daný predmet náležite zaradiť a určiť jeho hodnotu.</w:t>
            </w:r>
          </w:p>
          <w:p w14:paraId="59DC1B04" w14:textId="77777777" w:rsidR="004B3B3E" w:rsidRPr="00946DC2" w:rsidRDefault="004B3B3E" w:rsidP="004B3B3E">
            <w:pPr>
              <w:jc w:val="both"/>
              <w:rPr>
                <w:rFonts w:asciiTheme="minorHAnsi" w:hAnsiTheme="minorHAnsi"/>
              </w:rPr>
            </w:pPr>
          </w:p>
          <w:p w14:paraId="6C055552" w14:textId="77777777" w:rsidR="004B3B3E" w:rsidRPr="00946DC2" w:rsidRDefault="004B3B3E" w:rsidP="004B3B3E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 xml:space="preserve">S odbornou numizmatickou verejnosťou i relevantnými obchodnými subjektmi realizujúcimi nákup a predaj  predovšetkým numizmatických predmetov bol diskutovaný princíp rovnakého postavenia na trhu a dosah jednotlivých právnych predpisov na oficiálnych (legálne pôsobiacich) hráčov na trhu na rozdiel od celej skupiny osôb operujúcich na trhu s predmetmi kultúrnej hodnoty, predovšetkým na burzách a výmenných stretnutiach zberateľov, alebo osôb realizujúcich nákup a predaj anonymne v on-line priestore alebo v tzv. šedej sfére obchodu s predmetmi kultúrnej hodnoty. Snahou novelizácie je aj zosúladenie administratívnej záťaže, ktorú majú oficiálni predajcovia, vykonávajúci svoju obchodnú činnosť s predmetmi kultúrnej hodnoty ako registrovaní podnikatelia v súlade s platným právnym poriadkom, na rozdiel od príležitostných predajcov, ktorí v danom segmente aktivít na trhu doteraz stáli  mimo akéhokoľvek právneho vymedzenia a administratívnej záťaže a svojím často neetickým alebo aj nezákonným správaním deformujú rovnosť postavenia jednotlivých subjektov na trhu s predmetmi kultúrnej hodnoty. Definovaním  tých príležitostných predajcov a stanovením </w:t>
            </w:r>
            <w:r w:rsidRPr="00946DC2">
              <w:rPr>
                <w:rFonts w:asciiTheme="minorHAnsi" w:hAnsiTheme="minorHAnsi"/>
              </w:rPr>
              <w:lastRenderedPageBreak/>
              <w:t>povinnosti rešpektovať princíp náležitej starostlivosti aj pre nich, spolu s možným uplatnením sankcií za nezákonný predaj predmetov kultúrnej hodnoty, sa očakáva kladný efekt smerujúci k ozdraveniu podnikateľského prostredia, ako aj transparentnosti trhu s predmetmi kultúrnej hodnoty. Zavedením uvedených opatrení sa dôslednejšie napĺňajú aj záväzky Slovenskej republiky, ktoré jej ako zmluvnej strane vyplývajú z dohovorov  UNESCO a UNIDROIT.</w:t>
            </w:r>
          </w:p>
          <w:p w14:paraId="23A72812" w14:textId="77777777" w:rsidR="004B3B3E" w:rsidRPr="00946DC2" w:rsidRDefault="004B3B3E" w:rsidP="004B3B3E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>Konzultácie s relevantnými predstaviteľmi obchodu s numizmatikou a s archeologickou obcou prebiehali formou osobných konzultácií aj e-mailovej komunikácie v časovom období od mája 2020 do decembra 2020 priebežne.</w:t>
            </w:r>
          </w:p>
          <w:p w14:paraId="5EB908FD" w14:textId="77777777" w:rsidR="00946DC2" w:rsidRPr="00946DC2" w:rsidRDefault="00946DC2" w:rsidP="00946DC2">
            <w:pPr>
              <w:jc w:val="both"/>
              <w:rPr>
                <w:i/>
                <w:u w:val="single"/>
              </w:rPr>
            </w:pPr>
          </w:p>
        </w:tc>
      </w:tr>
      <w:tr w:rsidR="00946DC2" w:rsidRPr="00946DC2" w14:paraId="51C3F8BF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8C14AA6" w14:textId="77777777" w:rsidR="009F2DFA" w:rsidRPr="00946DC2" w:rsidRDefault="002B1108" w:rsidP="007B71A4">
            <w:pPr>
              <w:rPr>
                <w:b/>
                <w:u w:val="single"/>
              </w:rPr>
            </w:pPr>
            <w:r w:rsidRPr="00946DC2">
              <w:rPr>
                <w:b/>
                <w:u w:val="single"/>
              </w:rPr>
              <w:lastRenderedPageBreak/>
              <w:t>3</w:t>
            </w:r>
            <w:r w:rsidR="009F2DFA" w:rsidRPr="00946DC2">
              <w:rPr>
                <w:b/>
                <w:u w:val="single"/>
              </w:rPr>
              <w:t>.3 Náklady regulácie</w:t>
            </w:r>
          </w:p>
          <w:p w14:paraId="2A59CAC0" w14:textId="77777777" w:rsidR="009F2DFA" w:rsidRPr="00946DC2" w:rsidRDefault="009F2DFA" w:rsidP="007B71A4">
            <w:pPr>
              <w:rPr>
                <w:b/>
                <w:u w:val="single"/>
              </w:rPr>
            </w:pPr>
            <w:r w:rsidRPr="00946DC2">
              <w:rPr>
                <w:u w:val="single"/>
              </w:rPr>
              <w:t xml:space="preserve">      - </w:t>
            </w:r>
            <w:r w:rsidRPr="00946DC2">
              <w:rPr>
                <w:b/>
                <w:u w:val="single"/>
              </w:rPr>
              <w:t>z toho MSP</w:t>
            </w:r>
          </w:p>
        </w:tc>
      </w:tr>
      <w:tr w:rsidR="00946DC2" w:rsidRPr="00946DC2" w14:paraId="563A166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62A9EC9" w14:textId="77777777" w:rsidR="009F2DFA" w:rsidRPr="00946DC2" w:rsidRDefault="002B1108" w:rsidP="007B71A4">
            <w:pPr>
              <w:rPr>
                <w:b/>
                <w:i/>
                <w:u w:val="single"/>
              </w:rPr>
            </w:pPr>
            <w:r w:rsidRPr="00946DC2">
              <w:rPr>
                <w:b/>
                <w:i/>
                <w:u w:val="single"/>
              </w:rPr>
              <w:t>3</w:t>
            </w:r>
            <w:r w:rsidR="009F2DFA" w:rsidRPr="00946DC2">
              <w:rPr>
                <w:b/>
                <w:i/>
                <w:u w:val="single"/>
              </w:rPr>
              <w:t>.3.1 Priame finančné náklady</w:t>
            </w:r>
          </w:p>
          <w:p w14:paraId="0C1A7856" w14:textId="77777777" w:rsidR="0091321A" w:rsidRPr="00946DC2" w:rsidRDefault="0091321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Dochádza k zvýšeniu/zníženiu priamych finančných nákladov (poplatky, odvody, dane clá...)? Ak áno, popíšte a vyčíslite ich. Uveďte tiež spôsob ich výpočet</w:t>
            </w:r>
          </w:p>
          <w:p w14:paraId="6E87439F" w14:textId="77777777" w:rsidR="009F2DFA" w:rsidRPr="00946DC2" w:rsidRDefault="009F2DFA" w:rsidP="00005B5C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946DC2" w:rsidRPr="00946DC2" w14:paraId="0CED82F5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D7B7AEA" w14:textId="77777777" w:rsidR="00946DC2" w:rsidRPr="00946DC2" w:rsidRDefault="00946DC2" w:rsidP="00946DC2">
            <w:pPr>
              <w:jc w:val="both"/>
              <w:rPr>
                <w:rFonts w:asciiTheme="minorHAnsi" w:hAnsiTheme="minorHAnsi"/>
              </w:rPr>
            </w:pPr>
          </w:p>
          <w:p w14:paraId="55272DA3" w14:textId="77777777" w:rsidR="00946DC2" w:rsidRDefault="008B7DB1" w:rsidP="00946DC2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 xml:space="preserve">V danej fáze implementácie predmetného nariadenia v čl. 3 ods. 1 </w:t>
            </w:r>
            <w:r w:rsidR="00C0038B">
              <w:rPr>
                <w:rFonts w:asciiTheme="minorHAnsi" w:hAnsiTheme="minorHAnsi"/>
              </w:rPr>
              <w:t xml:space="preserve">sa </w:t>
            </w:r>
            <w:r w:rsidRPr="00946DC2">
              <w:rPr>
                <w:rFonts w:asciiTheme="minorHAnsi" w:hAnsiTheme="minorHAnsi"/>
              </w:rPr>
              <w:t xml:space="preserve">nestanovujú žiadne nové poplatky, odvody, dane alebo clá. V prípade, že predmet, ktorý by mohol byť tovarom kultúrnej hodnoty, zadrží colný orgán, alebo ak príde k jeho zhabaniu v prípade, že jeho vstupom na colné územie EÚ došlo k porušeniu predmetného Nariadenia, môžu vzniknúť osobe podieľajúcej sa na vstupe tohto predmetu vzniknúť priame finančné náklady so zaobstaraním si  potrebnej dokumentácie alebo dokladmi, ktorými v stanovenej lehote dokáže legálnosť dovozu. Na základe doterajších skúseností možno očakávať minimálny počet prípadov takéhoto postupu (niekoľko jednotiek osôb ročne). </w:t>
            </w:r>
          </w:p>
          <w:p w14:paraId="5B0E9CC1" w14:textId="77777777" w:rsidR="00C0038B" w:rsidRDefault="00C0038B" w:rsidP="00946DC2">
            <w:pPr>
              <w:jc w:val="both"/>
              <w:rPr>
                <w:rFonts w:asciiTheme="minorHAnsi" w:hAnsiTheme="minorHAnsi"/>
              </w:rPr>
            </w:pPr>
          </w:p>
          <w:p w14:paraId="5AA09072" w14:textId="77777777" w:rsidR="00C0038B" w:rsidRPr="00946DC2" w:rsidRDefault="00C0038B" w:rsidP="00946D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Navrhovaná právna úprava zavádza odstrašujúce sankcie za predaj a kúpu predmetu kultúrnej hodnoty, ktorý bol nezákonne dovezený do SR. Právnickej alebo fyzickej osobe – podnikateľovi môže Ministerstvo kultúry </w:t>
            </w:r>
            <w:r w:rsidR="00764DE8">
              <w:rPr>
                <w:rFonts w:asciiTheme="minorHAnsi" w:hAnsiTheme="minorHAnsi"/>
              </w:rPr>
              <w:t xml:space="preserve">SR </w:t>
            </w:r>
            <w:r>
              <w:rPr>
                <w:rFonts w:asciiTheme="minorHAnsi" w:hAnsiTheme="minorHAnsi"/>
              </w:rPr>
              <w:t>za takéto konanie uložiť pokutu do výšky 200 000 eur</w:t>
            </w:r>
            <w:r>
              <w:rPr>
                <w:sz w:val="24"/>
                <w:szCs w:val="24"/>
              </w:rPr>
              <w:t>.</w:t>
            </w:r>
          </w:p>
          <w:p w14:paraId="5CD25AAD" w14:textId="77777777" w:rsidR="009F2DFA" w:rsidRPr="00946DC2" w:rsidRDefault="009F2DFA" w:rsidP="00946DC2">
            <w:pPr>
              <w:jc w:val="both"/>
              <w:rPr>
                <w:b/>
                <w:i/>
                <w:u w:val="single"/>
              </w:rPr>
            </w:pPr>
          </w:p>
        </w:tc>
      </w:tr>
      <w:tr w:rsidR="00946DC2" w:rsidRPr="00946DC2" w14:paraId="1A0102D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EC597E5" w14:textId="77777777" w:rsidR="009F2DFA" w:rsidRPr="00946DC2" w:rsidRDefault="002B1108" w:rsidP="007B71A4">
            <w:pPr>
              <w:rPr>
                <w:b/>
                <w:i/>
                <w:u w:val="single"/>
              </w:rPr>
            </w:pPr>
            <w:r w:rsidRPr="00946DC2">
              <w:rPr>
                <w:b/>
                <w:i/>
                <w:u w:val="single"/>
              </w:rPr>
              <w:t>3</w:t>
            </w:r>
            <w:r w:rsidR="009F2DFA" w:rsidRPr="00946DC2">
              <w:rPr>
                <w:b/>
                <w:i/>
                <w:u w:val="single"/>
              </w:rPr>
              <w:t>.3.2 Nepriame finančné náklady</w:t>
            </w:r>
          </w:p>
          <w:p w14:paraId="4D60EA15" w14:textId="77777777" w:rsidR="009F2DFA" w:rsidRPr="00946DC2" w:rsidRDefault="009F2DFA" w:rsidP="00B31A8E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 xml:space="preserve">Vyžaduje si predkladaný návrh dodatočné náklady na nákup tovarov alebo služieb? </w:t>
            </w:r>
            <w:r w:rsidR="00B31A8E" w:rsidRPr="00946DC2">
              <w:rPr>
                <w:i/>
                <w:u w:val="single"/>
              </w:rPr>
              <w:t xml:space="preserve">Zvyšuje predkladaný návrh náklady súvisiace so zamestnávaním? </w:t>
            </w:r>
            <w:r w:rsidRPr="00946DC2">
              <w:rPr>
                <w:i/>
                <w:u w:val="single"/>
              </w:rPr>
              <w:t>Ak áno, popíšte a vyčíslite ich. Uveďte tiež spôsob ich výpočtu.</w:t>
            </w:r>
          </w:p>
        </w:tc>
      </w:tr>
      <w:tr w:rsidR="00946DC2" w:rsidRPr="00946DC2" w14:paraId="650CEE4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3D5E7F0" w14:textId="77777777" w:rsidR="009F2DFA" w:rsidRPr="00946DC2" w:rsidRDefault="009F2DFA" w:rsidP="007B71A4">
            <w:pPr>
              <w:rPr>
                <w:b/>
                <w:i/>
                <w:u w:val="single"/>
              </w:rPr>
            </w:pPr>
          </w:p>
          <w:p w14:paraId="302FBE20" w14:textId="77777777" w:rsidR="009F2DFA" w:rsidRPr="00946DC2" w:rsidRDefault="00F43633" w:rsidP="007B71A4">
            <w:pPr>
              <w:rPr>
                <w:b/>
                <w:i/>
              </w:rPr>
            </w:pPr>
            <w:r w:rsidRPr="00946DC2">
              <w:rPr>
                <w:rFonts w:asciiTheme="minorHAnsi" w:hAnsiTheme="minorHAnsi"/>
              </w:rPr>
              <w:t>Predkladaný návrh právnej úpravy nepredpokladá žiadne dodatočné náklady na nákup tovarov alebo služieb, ani nezvyšuje náklady súvisiace so zamestnávaním.</w:t>
            </w:r>
          </w:p>
          <w:p w14:paraId="329DA698" w14:textId="77777777" w:rsidR="009F2DFA" w:rsidRPr="00946DC2" w:rsidRDefault="009F2DFA" w:rsidP="007B71A4">
            <w:pPr>
              <w:rPr>
                <w:b/>
                <w:i/>
                <w:u w:val="single"/>
              </w:rPr>
            </w:pPr>
          </w:p>
        </w:tc>
      </w:tr>
      <w:tr w:rsidR="00946DC2" w:rsidRPr="00946DC2" w14:paraId="06937CD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C1F256A" w14:textId="77777777" w:rsidR="009F2DFA" w:rsidRPr="00946DC2" w:rsidRDefault="002B1108" w:rsidP="007B71A4">
            <w:pPr>
              <w:rPr>
                <w:b/>
                <w:i/>
                <w:u w:val="single"/>
              </w:rPr>
            </w:pPr>
            <w:r w:rsidRPr="00946DC2">
              <w:rPr>
                <w:b/>
                <w:i/>
                <w:u w:val="single"/>
              </w:rPr>
              <w:t>3</w:t>
            </w:r>
            <w:r w:rsidR="009F2DFA" w:rsidRPr="00946DC2">
              <w:rPr>
                <w:b/>
                <w:i/>
                <w:u w:val="single"/>
              </w:rPr>
              <w:t>.3.3 Administratívne náklady</w:t>
            </w:r>
          </w:p>
          <w:p w14:paraId="11EB2FBF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46DC2" w:rsidRPr="00946DC2" w14:paraId="52ECE05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32A1941" w14:textId="77777777" w:rsidR="0064476F" w:rsidRPr="00946DC2" w:rsidRDefault="0064476F" w:rsidP="00A31A7E">
            <w:pPr>
              <w:jc w:val="both"/>
              <w:rPr>
                <w:rFonts w:asciiTheme="minorHAnsi" w:hAnsiTheme="minorHAnsi"/>
                <w:u w:val="single"/>
              </w:rPr>
            </w:pPr>
          </w:p>
          <w:p w14:paraId="6117ACD3" w14:textId="77777777" w:rsidR="002F6C56" w:rsidRPr="00946DC2" w:rsidRDefault="008B7DB1" w:rsidP="008B7DB1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 xml:space="preserve">Predkladanou právnou úpravou nedochádza k zavedeniu nových informačných povinností pre MSP okrem jestvujúcich povinností vyplývajúcich z dnes platných colných predpisov, resp. povinností predajcu predmetu kultúrnej hodnoty, ktorého predmetom podnikania alebo činnosti je obchodovanie s predmetom kultúrnej hodnoty. Podrobnejšie sa vysvetľuje obsah jestvujúcej povinnosti predajcu predmetu kultúrnej hodnoty pri vedení Identifikačnej karty predmetu kultúrnej hodnoty uvedenej v Prílohe č. 6 k zákonu č. 207/2009 Z. z. - uvádzanie miesta pôvodu alebo lokality, z ktorej pochádza predmet kultúrnej hodnoty, ktorý má vo vlastníctve alebo držbe. Úprava nejde nad rámec jestvujúcich položiek v identifikačnej karte. Pre predajcu návrh právnej úpravy nepredpokladá žiadne dodatočné náklady na nákup tovarov alebo služieb, ani nezvyšuje náklady súvisiace so zamestnávaním. </w:t>
            </w:r>
          </w:p>
          <w:p w14:paraId="644E0F2A" w14:textId="77777777" w:rsidR="00946DC2" w:rsidRPr="00946DC2" w:rsidRDefault="00946DC2" w:rsidP="00946DC2">
            <w:pPr>
              <w:jc w:val="both"/>
              <w:rPr>
                <w:rFonts w:asciiTheme="minorHAnsi" w:hAnsiTheme="minorHAnsi"/>
              </w:rPr>
            </w:pPr>
          </w:p>
          <w:p w14:paraId="21A8A968" w14:textId="77777777" w:rsidR="00946DC2" w:rsidRDefault="008B7DB1" w:rsidP="00946DC2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>Povinnosť vedieť preukázať legálnosť vlastníctva alebo držby predmetu kultúrnej hodnoty sa rozširuje aj na príležitostného predajcu takéhoto predmetu v snahe eliminovať a zamedziť nedovolené obchodovanie s tými predmetmi, ktoré sú predmetom verejného záujmu v oblasti ochrany kultúrneho dedičstva.</w:t>
            </w:r>
            <w:r w:rsidR="002F6C56" w:rsidRPr="00946DC2">
              <w:rPr>
                <w:rFonts w:asciiTheme="minorHAnsi" w:hAnsiTheme="minorHAnsi"/>
              </w:rPr>
              <w:t xml:space="preserve"> </w:t>
            </w:r>
            <w:r w:rsidRPr="00946DC2">
              <w:rPr>
                <w:rFonts w:asciiTheme="minorHAnsi" w:hAnsiTheme="minorHAnsi"/>
              </w:rPr>
              <w:t>Predajcovia aj doteraz mali povinnosť vedieť dokladovať legálnosť nadobudnutia vlastníctva alebo držby ponúkaného predmetu kultúrnej hodnoty</w:t>
            </w:r>
            <w:r w:rsidR="002F6C56" w:rsidRPr="00946DC2">
              <w:rPr>
                <w:rFonts w:asciiTheme="minorHAnsi" w:hAnsiTheme="minorHAnsi"/>
              </w:rPr>
              <w:t>. Na</w:t>
            </w:r>
            <w:r w:rsidRPr="00946DC2">
              <w:rPr>
                <w:rFonts w:asciiTheme="minorHAnsi" w:hAnsiTheme="minorHAnsi"/>
              </w:rPr>
              <w:t xml:space="preserve">vrhovaná úprava iba explicitnejšie tieto pravidlá vysvetľuje aj pre novo definovanú skupinu tzv. príležitostných predajcov. </w:t>
            </w:r>
            <w:r w:rsidR="002F6C56" w:rsidRPr="00946DC2">
              <w:rPr>
                <w:rFonts w:asciiTheme="minorHAnsi" w:hAnsiTheme="minorHAnsi"/>
              </w:rPr>
              <w:t xml:space="preserve">Administratívne nálady predloženia dokladu preukazujúceho legálnosť držby, alebo vlastníctva PKH,  prípadne spôsob legálneho získania PKH v cudzine (a potvrdenie o legálnosti jeho dovozu zo zahraničia v zmysle platných colných predpisov) predstavujú 3 – 6 eur </w:t>
            </w:r>
            <w:r w:rsidR="002F6C56" w:rsidRPr="00946DC2">
              <w:rPr>
                <w:rFonts w:asciiTheme="minorHAnsi" w:hAnsiTheme="minorHAnsi"/>
              </w:rPr>
              <w:lastRenderedPageBreak/>
              <w:t>jednorazovo, celkové náklady na celé podnikateľské prostredie nie je možné vyčísliť pre nedostatok dát o počte príležitostných predajcov a o počte predaných predmetov kultúrnej hodnoty.</w:t>
            </w:r>
            <w:r w:rsidR="00946DC2" w:rsidRPr="00946DC2" w:rsidDel="00946DC2">
              <w:rPr>
                <w:rFonts w:asciiTheme="minorHAnsi" w:hAnsiTheme="minorHAnsi"/>
              </w:rPr>
              <w:t xml:space="preserve"> </w:t>
            </w:r>
          </w:p>
          <w:p w14:paraId="5E77CAE1" w14:textId="77777777" w:rsidR="000E336F" w:rsidRDefault="000E336F" w:rsidP="00946DC2">
            <w:pPr>
              <w:jc w:val="both"/>
              <w:rPr>
                <w:rFonts w:asciiTheme="minorHAnsi" w:hAnsiTheme="minorHAnsi"/>
              </w:rPr>
            </w:pPr>
          </w:p>
          <w:p w14:paraId="34AEFA3F" w14:textId="77777777" w:rsidR="000E336F" w:rsidRPr="00946DC2" w:rsidRDefault="000E336F" w:rsidP="00946D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Rovnako nie je možné vyčísliť dopad odstrašujúcich sankcií za nezákonnú kúpu a predaj predmetov kultúrnej hodnoty pre nedostatok dát o objeme nezákonného obchodu tohto druhu.</w:t>
            </w:r>
          </w:p>
          <w:p w14:paraId="37C31AEE" w14:textId="77777777" w:rsidR="009F2DFA" w:rsidRPr="00946DC2" w:rsidRDefault="009F2DFA" w:rsidP="00946DC2">
            <w:pPr>
              <w:jc w:val="both"/>
              <w:rPr>
                <w:b/>
                <w:i/>
                <w:u w:val="single"/>
              </w:rPr>
            </w:pPr>
          </w:p>
        </w:tc>
      </w:tr>
      <w:tr w:rsidR="00946DC2" w:rsidRPr="00946DC2" w14:paraId="789BC378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64677F89" w14:textId="77777777" w:rsidR="009F2DFA" w:rsidRPr="00946DC2" w:rsidRDefault="002B1108" w:rsidP="007B71A4">
            <w:pPr>
              <w:rPr>
                <w:i/>
                <w:u w:val="single"/>
              </w:rPr>
            </w:pPr>
            <w:r w:rsidRPr="00946DC2">
              <w:rPr>
                <w:b/>
                <w:i/>
                <w:u w:val="single"/>
              </w:rPr>
              <w:lastRenderedPageBreak/>
              <w:t>3</w:t>
            </w:r>
            <w:r w:rsidR="009F2DFA" w:rsidRPr="00946DC2">
              <w:rPr>
                <w:b/>
                <w:i/>
                <w:u w:val="single"/>
              </w:rPr>
              <w:t>.3.4 Súhrnná tabuľka nákladov regulácie</w:t>
            </w:r>
          </w:p>
          <w:p w14:paraId="7194965D" w14:textId="77777777" w:rsidR="009F2DFA" w:rsidRPr="00946DC2" w:rsidRDefault="009F2DFA" w:rsidP="007B71A4">
            <w:pPr>
              <w:rPr>
                <w:i/>
                <w:u w:val="single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2"/>
              <w:gridCol w:w="2945"/>
            </w:tblGrid>
            <w:tr w:rsidR="00946DC2" w:rsidRPr="00946DC2" w14:paraId="2EA00246" w14:textId="77777777" w:rsidTr="007B71A4">
              <w:tc>
                <w:tcPr>
                  <w:tcW w:w="2993" w:type="dxa"/>
                </w:tcPr>
                <w:p w14:paraId="6C5967B1" w14:textId="77777777" w:rsidR="009F2DFA" w:rsidRPr="00946DC2" w:rsidRDefault="009F2DFA" w:rsidP="007B71A4">
                  <w:pPr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4" w:type="dxa"/>
                </w:tcPr>
                <w:p w14:paraId="3CEBDF85" w14:textId="77777777" w:rsidR="009F2DFA" w:rsidRPr="00946DC2" w:rsidRDefault="009F2DFA" w:rsidP="007B71A4">
                  <w:pPr>
                    <w:jc w:val="center"/>
                    <w:rPr>
                      <w:i/>
                      <w:u w:val="single"/>
                    </w:rPr>
                  </w:pPr>
                  <w:r w:rsidRPr="00946DC2">
                    <w:rPr>
                      <w:i/>
                      <w:u w:val="single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3FEAD2A6" w14:textId="77777777" w:rsidR="009F2DFA" w:rsidRPr="00946DC2" w:rsidRDefault="009F2DFA" w:rsidP="007B71A4">
                  <w:pPr>
                    <w:jc w:val="center"/>
                    <w:rPr>
                      <w:i/>
                      <w:u w:val="single"/>
                    </w:rPr>
                  </w:pPr>
                  <w:r w:rsidRPr="00946DC2">
                    <w:rPr>
                      <w:i/>
                      <w:u w:val="single"/>
                    </w:rPr>
                    <w:t>Náklady na celé podnikateľské prostredie</w:t>
                  </w:r>
                </w:p>
              </w:tc>
            </w:tr>
            <w:tr w:rsidR="00946DC2" w:rsidRPr="00946DC2" w14:paraId="7C0D8BAD" w14:textId="77777777" w:rsidTr="007B71A4">
              <w:tc>
                <w:tcPr>
                  <w:tcW w:w="2993" w:type="dxa"/>
                </w:tcPr>
                <w:p w14:paraId="4B83F459" w14:textId="77777777" w:rsidR="009F2DFA" w:rsidRPr="00946DC2" w:rsidRDefault="009F2DFA" w:rsidP="007B71A4">
                  <w:pPr>
                    <w:rPr>
                      <w:i/>
                      <w:u w:val="single"/>
                    </w:rPr>
                  </w:pPr>
                  <w:r w:rsidRPr="00946DC2">
                    <w:rPr>
                      <w:i/>
                      <w:u w:val="single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2041C7A9" w14:textId="77777777" w:rsidR="009F2DFA" w:rsidRPr="00E837E5" w:rsidRDefault="00C0038B" w:rsidP="007B71A4">
                  <w:pPr>
                    <w:jc w:val="center"/>
                  </w:pPr>
                  <w:r w:rsidRPr="00E837E5">
                    <w:t>Nemožno presne vyčísliť</w:t>
                  </w:r>
                </w:p>
              </w:tc>
              <w:tc>
                <w:tcPr>
                  <w:tcW w:w="2994" w:type="dxa"/>
                </w:tcPr>
                <w:p w14:paraId="16956342" w14:textId="77777777" w:rsidR="009F2DFA" w:rsidRPr="00E837E5" w:rsidRDefault="00C0038B" w:rsidP="007B71A4">
                  <w:pPr>
                    <w:jc w:val="center"/>
                  </w:pPr>
                  <w:r w:rsidRPr="00E837E5">
                    <w:t>Nemožno presne vyčísliť</w:t>
                  </w:r>
                </w:p>
              </w:tc>
            </w:tr>
            <w:tr w:rsidR="00946DC2" w:rsidRPr="00946DC2" w14:paraId="3D3D90A4" w14:textId="77777777" w:rsidTr="007B71A4">
              <w:tc>
                <w:tcPr>
                  <w:tcW w:w="2993" w:type="dxa"/>
                </w:tcPr>
                <w:p w14:paraId="2EB46E99" w14:textId="77777777" w:rsidR="009F2DFA" w:rsidRPr="00946DC2" w:rsidRDefault="009F2DFA" w:rsidP="007B71A4">
                  <w:pPr>
                    <w:rPr>
                      <w:i/>
                      <w:u w:val="single"/>
                    </w:rPr>
                  </w:pPr>
                  <w:r w:rsidRPr="00946DC2">
                    <w:rPr>
                      <w:i/>
                      <w:u w:val="single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5B03BC12" w14:textId="77777777" w:rsidR="009F2DFA" w:rsidRPr="00E837E5" w:rsidRDefault="009F2DFA" w:rsidP="007B71A4">
                  <w:pPr>
                    <w:jc w:val="center"/>
                  </w:pPr>
                  <w:r w:rsidRPr="00E837E5">
                    <w:t>0</w:t>
                  </w:r>
                </w:p>
              </w:tc>
              <w:tc>
                <w:tcPr>
                  <w:tcW w:w="2994" w:type="dxa"/>
                </w:tcPr>
                <w:p w14:paraId="3952EC3C" w14:textId="77777777" w:rsidR="009F2DFA" w:rsidRPr="00E837E5" w:rsidRDefault="009F2DFA" w:rsidP="007B71A4">
                  <w:pPr>
                    <w:jc w:val="center"/>
                  </w:pPr>
                  <w:r w:rsidRPr="00E837E5">
                    <w:t>0</w:t>
                  </w:r>
                </w:p>
              </w:tc>
            </w:tr>
            <w:tr w:rsidR="00946DC2" w:rsidRPr="00946DC2" w14:paraId="6AC1A4F5" w14:textId="77777777" w:rsidTr="007B71A4">
              <w:tc>
                <w:tcPr>
                  <w:tcW w:w="2993" w:type="dxa"/>
                </w:tcPr>
                <w:p w14:paraId="7DE2AB0E" w14:textId="77777777" w:rsidR="009F2DFA" w:rsidRPr="00946DC2" w:rsidRDefault="009F2DFA" w:rsidP="007B71A4">
                  <w:pPr>
                    <w:rPr>
                      <w:i/>
                      <w:u w:val="single"/>
                    </w:rPr>
                  </w:pPr>
                  <w:r w:rsidRPr="00946DC2">
                    <w:rPr>
                      <w:i/>
                      <w:u w:val="single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7BC94339" w14:textId="77777777" w:rsidR="009F2DFA" w:rsidRPr="00E837E5" w:rsidRDefault="002F6C56" w:rsidP="002F6C56">
                  <w:pPr>
                    <w:jc w:val="center"/>
                  </w:pPr>
                  <w:r w:rsidRPr="00E837E5">
                    <w:t xml:space="preserve">3 – 6 eur jednorazovo </w:t>
                  </w:r>
                </w:p>
              </w:tc>
              <w:tc>
                <w:tcPr>
                  <w:tcW w:w="2994" w:type="dxa"/>
                </w:tcPr>
                <w:p w14:paraId="7324EDBF" w14:textId="77777777" w:rsidR="009F2DFA" w:rsidRPr="00E837E5" w:rsidRDefault="002F6C56" w:rsidP="00E837E5">
                  <w:pPr>
                    <w:tabs>
                      <w:tab w:val="left" w:pos="1065"/>
                      <w:tab w:val="center" w:pos="1364"/>
                    </w:tabs>
                    <w:jc w:val="center"/>
                  </w:pPr>
                  <w:r w:rsidRPr="00E837E5">
                    <w:t>Nemožno presne vyčísliť</w:t>
                  </w:r>
                </w:p>
              </w:tc>
            </w:tr>
            <w:tr w:rsidR="00946DC2" w:rsidRPr="00946DC2" w14:paraId="7AD0A893" w14:textId="77777777" w:rsidTr="007B71A4">
              <w:tc>
                <w:tcPr>
                  <w:tcW w:w="2993" w:type="dxa"/>
                </w:tcPr>
                <w:p w14:paraId="21E22C7D" w14:textId="77777777" w:rsidR="009F2DFA" w:rsidRPr="00946DC2" w:rsidRDefault="009F2DFA" w:rsidP="007B71A4">
                  <w:pPr>
                    <w:rPr>
                      <w:b/>
                      <w:i/>
                      <w:u w:val="single"/>
                    </w:rPr>
                  </w:pPr>
                  <w:r w:rsidRPr="00946DC2">
                    <w:rPr>
                      <w:b/>
                      <w:i/>
                      <w:u w:val="single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7CD176F2" w14:textId="77777777" w:rsidR="009F2DFA" w:rsidRPr="00E837E5" w:rsidRDefault="00E837E5" w:rsidP="007B71A4">
                  <w:pPr>
                    <w:jc w:val="center"/>
                    <w:rPr>
                      <w:b/>
                    </w:rPr>
                  </w:pPr>
                  <w:r w:rsidRPr="00E837E5">
                    <w:t>Nemožno presne vyčísliť</w:t>
                  </w:r>
                </w:p>
              </w:tc>
              <w:tc>
                <w:tcPr>
                  <w:tcW w:w="2994" w:type="dxa"/>
                </w:tcPr>
                <w:p w14:paraId="0ACD2352" w14:textId="77777777" w:rsidR="009F2DFA" w:rsidRPr="00E837E5" w:rsidRDefault="00E837E5" w:rsidP="007B71A4">
                  <w:pPr>
                    <w:jc w:val="center"/>
                    <w:rPr>
                      <w:b/>
                    </w:rPr>
                  </w:pPr>
                  <w:r w:rsidRPr="00E837E5">
                    <w:t>Nemožno presne vyčísliť</w:t>
                  </w:r>
                </w:p>
              </w:tc>
            </w:tr>
          </w:tbl>
          <w:p w14:paraId="31DFFA8D" w14:textId="77777777" w:rsidR="009F2DFA" w:rsidRPr="00946DC2" w:rsidRDefault="009F2DFA" w:rsidP="007B71A4">
            <w:pPr>
              <w:rPr>
                <w:i/>
                <w:u w:val="single"/>
              </w:rPr>
            </w:pPr>
          </w:p>
        </w:tc>
      </w:tr>
      <w:tr w:rsidR="00946DC2" w:rsidRPr="00946DC2" w14:paraId="077A62B4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0AA6C10B" w14:textId="77777777" w:rsidR="009F2DFA" w:rsidRPr="00946DC2" w:rsidRDefault="002B1108" w:rsidP="007B71A4">
            <w:pPr>
              <w:rPr>
                <w:b/>
                <w:u w:val="single"/>
              </w:rPr>
            </w:pPr>
            <w:r w:rsidRPr="00946DC2">
              <w:rPr>
                <w:b/>
                <w:u w:val="single"/>
              </w:rPr>
              <w:t>3</w:t>
            </w:r>
            <w:r w:rsidR="009F2DFA" w:rsidRPr="00946DC2">
              <w:rPr>
                <w:b/>
                <w:u w:val="single"/>
              </w:rPr>
              <w:t>.4 Konkurencieschopnosť a správanie sa podnikov na trhu</w:t>
            </w:r>
          </w:p>
          <w:p w14:paraId="3A486C95" w14:textId="77777777" w:rsidR="009F2DFA" w:rsidRPr="00946DC2" w:rsidRDefault="009F2DFA" w:rsidP="007B71A4">
            <w:pPr>
              <w:rPr>
                <w:u w:val="single"/>
              </w:rPr>
            </w:pPr>
            <w:r w:rsidRPr="00946DC2">
              <w:rPr>
                <w:b/>
                <w:u w:val="single"/>
              </w:rPr>
              <w:t xml:space="preserve">       </w:t>
            </w:r>
            <w:r w:rsidRPr="00946DC2">
              <w:rPr>
                <w:u w:val="single"/>
              </w:rPr>
              <w:t xml:space="preserve">- </w:t>
            </w:r>
            <w:r w:rsidRPr="00946DC2">
              <w:rPr>
                <w:b/>
                <w:u w:val="single"/>
              </w:rPr>
              <w:t>z toho MSP</w:t>
            </w:r>
          </w:p>
        </w:tc>
      </w:tr>
      <w:tr w:rsidR="00946DC2" w:rsidRPr="00946DC2" w14:paraId="67DC128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D294D4F" w14:textId="77777777" w:rsidR="008B7DB1" w:rsidRPr="00946DC2" w:rsidRDefault="008B7DB1" w:rsidP="007B71A4">
            <w:pPr>
              <w:rPr>
                <w:i/>
                <w:u w:val="single"/>
              </w:rPr>
            </w:pPr>
          </w:p>
          <w:p w14:paraId="3487B933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55D8A9C6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73F5FF5F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Ako ovplyvní cenu alebo dostupnosť základných zdrojov (suroviny, mechanizmy, pracovná sila, energie atď.)?</w:t>
            </w:r>
          </w:p>
          <w:p w14:paraId="3F52D5AD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Ovplyvňuje prístup k financiám? Ak áno, ako?</w:t>
            </w:r>
          </w:p>
        </w:tc>
      </w:tr>
      <w:tr w:rsidR="00946DC2" w:rsidRPr="00946DC2" w14:paraId="5081F030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0C0C115" w14:textId="77777777" w:rsidR="00071409" w:rsidRPr="00946DC2" w:rsidRDefault="00071409" w:rsidP="00DF3D14">
            <w:pPr>
              <w:rPr>
                <w:rFonts w:asciiTheme="minorHAnsi" w:hAnsiTheme="minorHAnsi"/>
                <w:u w:val="single"/>
              </w:rPr>
            </w:pPr>
          </w:p>
          <w:p w14:paraId="7DBC00E4" w14:textId="77777777" w:rsidR="008B7DB1" w:rsidRDefault="008B7DB1" w:rsidP="008B7DB1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 xml:space="preserve">Nedochádza k vytvorenie bariér pre vstup na trh pre MSP, nevytvára bariéry pre nových dodávateľov alebo poskytovateľov služieb. Navrhované nariadenie zabezpečí prísnejšiu reguláciu obchodu s tovarom kultúrneho charakteru s cieľom, aby kupujúci a dovozcovia z EÚ venovali zvýšenú pozornosť legálnosti tovaru kultúrneho charakteru privážaného do EÚ. </w:t>
            </w:r>
          </w:p>
          <w:p w14:paraId="307B28DC" w14:textId="77777777" w:rsidR="00946DC2" w:rsidRPr="00946DC2" w:rsidRDefault="00946DC2" w:rsidP="008B7DB1">
            <w:pPr>
              <w:jc w:val="both"/>
              <w:rPr>
                <w:rFonts w:asciiTheme="minorHAnsi" w:hAnsiTheme="minorHAnsi"/>
              </w:rPr>
            </w:pPr>
          </w:p>
          <w:p w14:paraId="7FDB52DD" w14:textId="77777777" w:rsidR="00071409" w:rsidRPr="00946DC2" w:rsidRDefault="008B7DB1" w:rsidP="00946DC2">
            <w:pPr>
              <w:jc w:val="both"/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 xml:space="preserve">Navrhované opatrenia v predkladanom materiáli nemajú vplyv na legálny a legitímny trh s umením, resp. predmetmi kultúrnej hodnoty, s ktorými nie je obmedzené obchodovanie. Predkladaný predpis má naopak ambíciu pozitívne vplývať  na rovnosť účastníkov na trhu s predmetmi kultúrnej hodnoty a na ozdravenie tohto prostredia s cieľom eliminovať v ňom nežiadúce javy a postupy. Zavádza odradzujúce sankcie pre nelegálne obchodovanie s predmetmi kultúrnej hodnoty a stanovením nového právneho rámca a sprísneného režimu pri vstupe na colné územie EÚ zavádza aj bariéry k nelegálnemu vstupu predmetov, ktoré sú súčasťou  kultúrneho dedičstva tretích krajín, a chce brániť obchodovaniu a predaju   nelegálne získaných alebo dovezených predmetov kultúrnej hodnoty. </w:t>
            </w:r>
          </w:p>
          <w:p w14:paraId="1C06EB6A" w14:textId="77777777" w:rsidR="00946DC2" w:rsidRPr="00946DC2" w:rsidRDefault="00946DC2" w:rsidP="00946DC2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946DC2" w:rsidRPr="00946DC2" w14:paraId="58BBD78B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3E8417F" w14:textId="77777777" w:rsidR="009F2DFA" w:rsidRPr="00946DC2" w:rsidRDefault="002B1108" w:rsidP="007B71A4">
            <w:pPr>
              <w:rPr>
                <w:b/>
                <w:u w:val="single"/>
              </w:rPr>
            </w:pPr>
            <w:r w:rsidRPr="00946DC2">
              <w:rPr>
                <w:b/>
                <w:u w:val="single"/>
              </w:rPr>
              <w:t>3</w:t>
            </w:r>
            <w:r w:rsidR="009F2DFA" w:rsidRPr="00946DC2">
              <w:rPr>
                <w:b/>
                <w:u w:val="single"/>
              </w:rPr>
              <w:t xml:space="preserve">.5 Inovácie </w:t>
            </w:r>
          </w:p>
          <w:p w14:paraId="202579BC" w14:textId="77777777" w:rsidR="009F2DFA" w:rsidRPr="00946DC2" w:rsidRDefault="009F2DFA" w:rsidP="007B71A4">
            <w:pPr>
              <w:rPr>
                <w:b/>
                <w:u w:val="single"/>
              </w:rPr>
            </w:pPr>
            <w:r w:rsidRPr="00946DC2">
              <w:rPr>
                <w:u w:val="single"/>
              </w:rPr>
              <w:t xml:space="preserve">       - </w:t>
            </w:r>
            <w:r w:rsidRPr="00946DC2">
              <w:rPr>
                <w:b/>
                <w:u w:val="single"/>
              </w:rPr>
              <w:t>z toho MSP</w:t>
            </w:r>
          </w:p>
        </w:tc>
      </w:tr>
      <w:tr w:rsidR="00946DC2" w:rsidRPr="00946DC2" w14:paraId="0FE9754D" w14:textId="77777777" w:rsidTr="007B71A4">
        <w:tc>
          <w:tcPr>
            <w:tcW w:w="9212" w:type="dxa"/>
          </w:tcPr>
          <w:p w14:paraId="3948DCD1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Uveďte, ako podporuje navrhovaná zmena inovácie.</w:t>
            </w:r>
          </w:p>
          <w:p w14:paraId="3B4C184A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Zjednodušuje uvedenie alebo rozšírenie nových výrobných metód, technológií a výrobkov na trh?</w:t>
            </w:r>
          </w:p>
          <w:p w14:paraId="714CAAF8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 xml:space="preserve">Uveďte, ako vplýva navrhovaná zmena na </w:t>
            </w:r>
            <w:r w:rsidR="00904C9B" w:rsidRPr="00946DC2">
              <w:rPr>
                <w:i/>
                <w:u w:val="single"/>
              </w:rPr>
              <w:t xml:space="preserve">jednotlivé </w:t>
            </w:r>
            <w:r w:rsidRPr="00946DC2">
              <w:rPr>
                <w:i/>
                <w:u w:val="single"/>
              </w:rPr>
              <w:t>práva duševného vlastníctva (</w:t>
            </w:r>
            <w:r w:rsidR="00904C9B" w:rsidRPr="00946DC2">
              <w:rPr>
                <w:i/>
                <w:u w:val="single"/>
              </w:rPr>
              <w:t xml:space="preserve">napr. </w:t>
            </w:r>
            <w:r w:rsidRPr="00946DC2">
              <w:rPr>
                <w:i/>
                <w:u w:val="single"/>
              </w:rPr>
              <w:t xml:space="preserve">patenty, ochranné známky, </w:t>
            </w:r>
            <w:r w:rsidR="00904C9B" w:rsidRPr="00946DC2">
              <w:rPr>
                <w:i/>
                <w:u w:val="single"/>
              </w:rPr>
              <w:t>autorské práva</w:t>
            </w:r>
            <w:r w:rsidRPr="00946DC2">
              <w:rPr>
                <w:i/>
                <w:u w:val="single"/>
              </w:rPr>
              <w:t>, vlastníctvo know-how).</w:t>
            </w:r>
          </w:p>
          <w:p w14:paraId="2547CF00" w14:textId="77777777" w:rsidR="009F2DFA" w:rsidRPr="00946DC2" w:rsidRDefault="009F2DFA" w:rsidP="007B71A4">
            <w:pPr>
              <w:rPr>
                <w:i/>
                <w:u w:val="single"/>
              </w:rPr>
            </w:pPr>
            <w:r w:rsidRPr="00946DC2">
              <w:rPr>
                <w:i/>
                <w:u w:val="single"/>
              </w:rPr>
              <w:t>Podporuje vyššiu efektivitu výroby/využívania zdrojov? Ak áno, ako?</w:t>
            </w:r>
          </w:p>
          <w:p w14:paraId="4EDD03D9" w14:textId="77777777" w:rsidR="00837639" w:rsidRPr="00946DC2" w:rsidRDefault="00837639" w:rsidP="007B71A4">
            <w:pPr>
              <w:rPr>
                <w:u w:val="single"/>
              </w:rPr>
            </w:pPr>
            <w:r w:rsidRPr="00946DC2">
              <w:rPr>
                <w:i/>
                <w:u w:val="single"/>
              </w:rPr>
              <w:t>Vytvorí zmena nové pracovné miesta pre zamestnancov výskumu a vývoja v SR?</w:t>
            </w:r>
          </w:p>
        </w:tc>
      </w:tr>
      <w:tr w:rsidR="009F2DFA" w:rsidRPr="00946DC2" w14:paraId="05F156F3" w14:textId="77777777" w:rsidTr="007B71A4">
        <w:trPr>
          <w:trHeight w:val="1747"/>
        </w:trPr>
        <w:tc>
          <w:tcPr>
            <w:tcW w:w="9212" w:type="dxa"/>
          </w:tcPr>
          <w:p w14:paraId="0A45B9CE" w14:textId="77777777" w:rsidR="00946DC2" w:rsidRDefault="00946DC2" w:rsidP="00071409">
            <w:pPr>
              <w:rPr>
                <w:rFonts w:asciiTheme="minorHAnsi" w:hAnsiTheme="minorHAnsi"/>
              </w:rPr>
            </w:pPr>
          </w:p>
          <w:p w14:paraId="2FF5DB78" w14:textId="77777777" w:rsidR="009F2DFA" w:rsidRPr="00946DC2" w:rsidRDefault="00071409" w:rsidP="00071409">
            <w:pPr>
              <w:rPr>
                <w:rFonts w:asciiTheme="minorHAnsi" w:hAnsiTheme="minorHAnsi"/>
              </w:rPr>
            </w:pPr>
            <w:r w:rsidRPr="00946DC2">
              <w:rPr>
                <w:rFonts w:asciiTheme="minorHAnsi" w:hAnsiTheme="minorHAnsi"/>
              </w:rPr>
              <w:t>Návrh právnej úpravy n</w:t>
            </w:r>
            <w:r w:rsidR="00DF3D14" w:rsidRPr="00946DC2">
              <w:rPr>
                <w:rFonts w:asciiTheme="minorHAnsi" w:hAnsiTheme="minorHAnsi"/>
              </w:rPr>
              <w:t>emá vplyv v</w:t>
            </w:r>
            <w:r w:rsidRPr="00946DC2">
              <w:rPr>
                <w:rFonts w:asciiTheme="minorHAnsi" w:hAnsiTheme="minorHAnsi"/>
              </w:rPr>
              <w:t> na inovácie podnikateľov.</w:t>
            </w:r>
          </w:p>
        </w:tc>
      </w:tr>
    </w:tbl>
    <w:p w14:paraId="7913EB48" w14:textId="77777777" w:rsidR="00CB3623" w:rsidRPr="00946DC2" w:rsidRDefault="00CB3623">
      <w:pPr>
        <w:rPr>
          <w:sz w:val="24"/>
          <w:szCs w:val="24"/>
          <w:u w:val="single"/>
        </w:rPr>
      </w:pPr>
    </w:p>
    <w:sectPr w:rsidR="00CB3623" w:rsidRPr="00946DC2" w:rsidSect="00BC3B75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57CA" w14:textId="77777777" w:rsidR="00102A1A" w:rsidRDefault="00102A1A" w:rsidP="009F2DFA">
      <w:r>
        <w:separator/>
      </w:r>
    </w:p>
  </w:endnote>
  <w:endnote w:type="continuationSeparator" w:id="0">
    <w:p w14:paraId="5259B972" w14:textId="77777777" w:rsidR="00102A1A" w:rsidRDefault="00102A1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14:paraId="3D1294D8" w14:textId="77777777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74">
          <w:rPr>
            <w:noProof/>
          </w:rPr>
          <w:t>2</w:t>
        </w:r>
        <w:r>
          <w:fldChar w:fldCharType="end"/>
        </w:r>
      </w:p>
    </w:sdtContent>
  </w:sdt>
  <w:p w14:paraId="0CE4F844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0EEE" w14:textId="77777777" w:rsidR="00102A1A" w:rsidRDefault="00102A1A" w:rsidP="009F2DFA">
      <w:r>
        <w:separator/>
      </w:r>
    </w:p>
  </w:footnote>
  <w:footnote w:type="continuationSeparator" w:id="0">
    <w:p w14:paraId="102C4465" w14:textId="77777777" w:rsidR="00102A1A" w:rsidRDefault="00102A1A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5B5C"/>
    <w:rsid w:val="000418D6"/>
    <w:rsid w:val="00062A50"/>
    <w:rsid w:val="00071409"/>
    <w:rsid w:val="000B5D02"/>
    <w:rsid w:val="000E336F"/>
    <w:rsid w:val="00101C5F"/>
    <w:rsid w:val="00102A1A"/>
    <w:rsid w:val="00123B04"/>
    <w:rsid w:val="00154881"/>
    <w:rsid w:val="0018237C"/>
    <w:rsid w:val="00204BEB"/>
    <w:rsid w:val="00222474"/>
    <w:rsid w:val="00232B19"/>
    <w:rsid w:val="00243996"/>
    <w:rsid w:val="002B092C"/>
    <w:rsid w:val="002B1108"/>
    <w:rsid w:val="002E01C0"/>
    <w:rsid w:val="002F6C56"/>
    <w:rsid w:val="00312282"/>
    <w:rsid w:val="0035319B"/>
    <w:rsid w:val="00355113"/>
    <w:rsid w:val="003B5BFA"/>
    <w:rsid w:val="003C3921"/>
    <w:rsid w:val="0041680B"/>
    <w:rsid w:val="004532E3"/>
    <w:rsid w:val="004B3B3E"/>
    <w:rsid w:val="004C7918"/>
    <w:rsid w:val="004D752B"/>
    <w:rsid w:val="0052297F"/>
    <w:rsid w:val="005832AB"/>
    <w:rsid w:val="00597962"/>
    <w:rsid w:val="005E6D08"/>
    <w:rsid w:val="0064476F"/>
    <w:rsid w:val="0069695D"/>
    <w:rsid w:val="006B6C95"/>
    <w:rsid w:val="006E06DC"/>
    <w:rsid w:val="00703AB5"/>
    <w:rsid w:val="00764DE8"/>
    <w:rsid w:val="00780BA6"/>
    <w:rsid w:val="007A7301"/>
    <w:rsid w:val="00837639"/>
    <w:rsid w:val="008733F9"/>
    <w:rsid w:val="00892C12"/>
    <w:rsid w:val="008A1252"/>
    <w:rsid w:val="008B7DB1"/>
    <w:rsid w:val="00904C9B"/>
    <w:rsid w:val="0091321A"/>
    <w:rsid w:val="009155EF"/>
    <w:rsid w:val="00937309"/>
    <w:rsid w:val="00946DC2"/>
    <w:rsid w:val="00996E87"/>
    <w:rsid w:val="009F2DFA"/>
    <w:rsid w:val="00A14BD7"/>
    <w:rsid w:val="00A31A7E"/>
    <w:rsid w:val="00A53244"/>
    <w:rsid w:val="00A73DC1"/>
    <w:rsid w:val="00A869D5"/>
    <w:rsid w:val="00AB27F4"/>
    <w:rsid w:val="00AC32A1"/>
    <w:rsid w:val="00B31A8E"/>
    <w:rsid w:val="00B34246"/>
    <w:rsid w:val="00B644EC"/>
    <w:rsid w:val="00BA073A"/>
    <w:rsid w:val="00BC3B75"/>
    <w:rsid w:val="00BE4985"/>
    <w:rsid w:val="00C0038B"/>
    <w:rsid w:val="00C14A87"/>
    <w:rsid w:val="00C54E74"/>
    <w:rsid w:val="00CB3623"/>
    <w:rsid w:val="00CC3180"/>
    <w:rsid w:val="00CD115C"/>
    <w:rsid w:val="00CF54A0"/>
    <w:rsid w:val="00CF7BF3"/>
    <w:rsid w:val="00D6661A"/>
    <w:rsid w:val="00D848C2"/>
    <w:rsid w:val="00D91B0D"/>
    <w:rsid w:val="00DF3D14"/>
    <w:rsid w:val="00E33B55"/>
    <w:rsid w:val="00E837E5"/>
    <w:rsid w:val="00E86AD1"/>
    <w:rsid w:val="00EA579C"/>
    <w:rsid w:val="00EF7F37"/>
    <w:rsid w:val="00F16D18"/>
    <w:rsid w:val="00F41620"/>
    <w:rsid w:val="00F43633"/>
    <w:rsid w:val="00F50738"/>
    <w:rsid w:val="00F62CF8"/>
    <w:rsid w:val="00FB5C13"/>
    <w:rsid w:val="00FD6446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A644"/>
  <w15:docId w15:val="{2367DEE0-DF58-44A7-AFBE-34EFAD9A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E"/>
    <w:rsid w:val="002B5215"/>
    <w:rsid w:val="00B5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3A5AA624F6C4B71BE14C083CC1DA21E">
    <w:name w:val="53A5AA624F6C4B71BE14C083CC1DA21E"/>
    <w:rsid w:val="00B5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21-MKSR-NOVELA207-Analýza-vplyvov-na-podnikatelské-prostredie"/>
    <f:field ref="objsubject" par="" edit="true" text=""/>
    <f:field ref="objcreatedby" par="" text="Nádaždyová, Katarína, JUDr."/>
    <f:field ref="objcreatedat" par="" text="15.1.2021 11:21:39"/>
    <f:field ref="objchangedby" par="" text="Administrator, System"/>
    <f:field ref="objmodifiedat" par="" text="15.1.2021 11:21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EE2660-3A94-4E49-BB8F-FFF4B36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Radovanovič Bojan</cp:lastModifiedBy>
  <cp:revision>3</cp:revision>
  <cp:lastPrinted>2021-02-15T10:33:00Z</cp:lastPrinted>
  <dcterms:created xsi:type="dcterms:W3CDTF">2021-02-15T10:35:00Z</dcterms:created>
  <dcterms:modified xsi:type="dcterms:W3CDTF">2021-02-15T15:22:00Z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 &lt;/strong&gt;&lt;strong&gt;Scenár 1: Verejnosť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207/2009 Z. z. o podmienkach vývozu a dovozu predmetu kultúrnej hodnoty a o doplnení zákona č. 652/2004 Z. z. o orgánoch štátnej správy v colníctve a o zmene a doplnení niektorých zákonov v znení neskorších predpisov v </vt:lpwstr>
  </property>
  <property fmtid="{D5CDD505-2E9C-101B-9397-08002B2CF9AE}" pid="15" name="FSC#SKEDITIONSLOVLEX@103.510:nazovpredpis1">
    <vt:lpwstr>znení neskorších predpisov a ktorým sa dopĺňa zákon č. 199/2004 Z. z. Colný zákon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23" name="FSC#SKEDITIONSLOVLEX@103.510:plnynazovpredpis">
    <vt:lpwstr> Zákon, ktorým sa mení a dopĺňa zákon č. 207/2009 Z. z. o podmienkach vývozu a dovozu predmetu kultúrnej hodnoty a o doplnení zákona č. 652/2004 Z. z. o orgánoch štátnej správy v colníctve a o zmene a doplnení niektorých zákonov v znení neskorších predpis</vt:lpwstr>
  </property>
  <property fmtid="{D5CDD505-2E9C-101B-9397-08002B2CF9AE}" pid="24" name="FSC#SKEDITIONSLOVLEX@103.510:plnynazovpredpis1">
    <vt:lpwstr>ov v znení neskorších predpisov a ktorým sa dopĺňa zákon č. 199/2004 Z. z. Colný zákon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MK-743/2021-242/519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republiky_x000d_
minister financií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50" name="FSC#SKEDITIONSLOVLEX@103.510:vytvorenedna">
    <vt:lpwstr>15. 1. 2021</vt:lpwstr>
  </property>
  <property fmtid="{D5CDD505-2E9C-101B-9397-08002B2CF9AE}" pid="151" name="FSC#COOSYSTEM@1.1:Container">
    <vt:lpwstr>COO.2145.1000.3.4210771</vt:lpwstr>
  </property>
  <property fmtid="{D5CDD505-2E9C-101B-9397-08002B2CF9AE}" pid="152" name="FSC#FSCFOLIO@1.1001:docpropproject">
    <vt:lpwstr/>
  </property>
</Properties>
</file>