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1491" w14:textId="77777777" w:rsidR="007B22CA" w:rsidRDefault="007B22CA" w:rsidP="00F3520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78537838" w14:textId="5BBCEC01" w:rsidR="007B22CA" w:rsidRDefault="007B22CA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o preverovaní zahraničných investícií a o zmene a doplnení niektorých zákonov </w:t>
      </w:r>
      <w:r w:rsidRPr="000D2209">
        <w:rPr>
          <w:rFonts w:ascii="Times New Roman" w:hAnsi="Times New Roman" w:cs="Times New Roman"/>
          <w:sz w:val="24"/>
          <w:szCs w:val="24"/>
        </w:rPr>
        <w:t>sa na rokovanie Legislatívnej rady vlády Slovenskej republiky predk</w:t>
      </w:r>
      <w:r>
        <w:rPr>
          <w:rFonts w:ascii="Times New Roman" w:hAnsi="Times New Roman" w:cs="Times New Roman"/>
          <w:sz w:val="24"/>
          <w:szCs w:val="24"/>
        </w:rPr>
        <w:t xml:space="preserve">ladá </w:t>
      </w:r>
      <w:r w:rsidRPr="007B22CA">
        <w:rPr>
          <w:rFonts w:ascii="Times New Roman" w:hAnsi="Times New Roman" w:cs="Times New Roman"/>
          <w:sz w:val="24"/>
          <w:szCs w:val="24"/>
        </w:rPr>
        <w:t>s rozporom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CA">
        <w:rPr>
          <w:rFonts w:ascii="Times New Roman" w:hAnsi="Times New Roman" w:cs="Times New Roman"/>
          <w:b/>
          <w:sz w:val="24"/>
          <w:szCs w:val="24"/>
        </w:rPr>
        <w:t>Ministerstvom financií Slovenskej republiky</w:t>
      </w:r>
      <w:r w:rsidRPr="007B22CA">
        <w:rPr>
          <w:rFonts w:ascii="Times New Roman" w:hAnsi="Times New Roman" w:cs="Times New Roman"/>
          <w:sz w:val="24"/>
          <w:szCs w:val="24"/>
        </w:rPr>
        <w:t xml:space="preserve"> </w:t>
      </w:r>
      <w:r w:rsidR="00ED5593">
        <w:rPr>
          <w:rFonts w:ascii="Times New Roman" w:hAnsi="Times New Roman" w:cs="Times New Roman"/>
          <w:sz w:val="24"/>
          <w:szCs w:val="24"/>
        </w:rPr>
        <w:t xml:space="preserve">a s </w:t>
      </w:r>
      <w:r w:rsidR="00EB049F" w:rsidRPr="00EB049F">
        <w:rPr>
          <w:rFonts w:ascii="Times New Roman" w:hAnsi="Times New Roman" w:cs="Times New Roman"/>
          <w:b/>
          <w:sz w:val="24"/>
          <w:szCs w:val="24"/>
        </w:rPr>
        <w:t>Asociáciou priemyselných zväzov a</w:t>
      </w:r>
      <w:r w:rsidR="00ED5593">
        <w:rPr>
          <w:rFonts w:ascii="Times New Roman" w:hAnsi="Times New Roman" w:cs="Times New Roman"/>
          <w:b/>
          <w:sz w:val="24"/>
          <w:szCs w:val="24"/>
        </w:rPr>
        <w:t> </w:t>
      </w:r>
      <w:r w:rsidR="00EB049F" w:rsidRPr="00EB049F">
        <w:rPr>
          <w:rFonts w:ascii="Times New Roman" w:hAnsi="Times New Roman" w:cs="Times New Roman"/>
          <w:b/>
          <w:sz w:val="24"/>
          <w:szCs w:val="24"/>
        </w:rPr>
        <w:t>dopravy</w:t>
      </w:r>
      <w:r w:rsidR="00ED5593">
        <w:rPr>
          <w:rFonts w:ascii="Times New Roman" w:hAnsi="Times New Roman" w:cs="Times New Roman"/>
          <w:sz w:val="24"/>
          <w:szCs w:val="24"/>
        </w:rPr>
        <w:t>.</w:t>
      </w:r>
    </w:p>
    <w:p w14:paraId="79297663" w14:textId="7701FBD7" w:rsidR="00EB049F" w:rsidRDefault="00ED5593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</w:t>
      </w:r>
      <w:r w:rsidR="00EB049F" w:rsidRPr="00EB049F">
        <w:rPr>
          <w:rFonts w:ascii="Times New Roman" w:hAnsi="Times New Roman" w:cs="Times New Roman"/>
          <w:b/>
          <w:sz w:val="24"/>
          <w:szCs w:val="24"/>
        </w:rPr>
        <w:t xml:space="preserve"> financií Slovenskej republiky</w:t>
      </w:r>
      <w:r w:rsidR="00EB049F" w:rsidRPr="00EB049F">
        <w:rPr>
          <w:rFonts w:ascii="Times New Roman" w:hAnsi="Times New Roman" w:cs="Times New Roman"/>
          <w:sz w:val="24"/>
          <w:szCs w:val="24"/>
        </w:rPr>
        <w:t xml:space="preserve"> </w:t>
      </w:r>
      <w:r w:rsidR="00EB049F">
        <w:rPr>
          <w:rFonts w:ascii="Times New Roman" w:hAnsi="Times New Roman" w:cs="Times New Roman"/>
          <w:sz w:val="24"/>
          <w:szCs w:val="24"/>
        </w:rPr>
        <w:t xml:space="preserve">uplatnilo </w:t>
      </w:r>
      <w:r>
        <w:rPr>
          <w:rFonts w:ascii="Times New Roman" w:hAnsi="Times New Roman" w:cs="Times New Roman"/>
          <w:sz w:val="24"/>
          <w:szCs w:val="24"/>
        </w:rPr>
        <w:t xml:space="preserve">zásadnú </w:t>
      </w:r>
      <w:r w:rsidR="00EB049F">
        <w:rPr>
          <w:rFonts w:ascii="Times New Roman" w:hAnsi="Times New Roman" w:cs="Times New Roman"/>
          <w:sz w:val="24"/>
          <w:szCs w:val="24"/>
        </w:rPr>
        <w:t>pripomienku</w:t>
      </w:r>
      <w:r w:rsidR="00104108">
        <w:rPr>
          <w:rFonts w:ascii="Times New Roman" w:hAnsi="Times New Roman" w:cs="Times New Roman"/>
          <w:sz w:val="24"/>
          <w:szCs w:val="24"/>
        </w:rPr>
        <w:t>, ktorá smerovala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08">
        <w:rPr>
          <w:rFonts w:ascii="Times New Roman" w:hAnsi="Times New Roman" w:cs="Times New Roman"/>
          <w:sz w:val="24"/>
          <w:szCs w:val="24"/>
        </w:rPr>
        <w:t>všeobecne k návrhu zákona</w:t>
      </w:r>
      <w:r>
        <w:rPr>
          <w:rFonts w:ascii="Times New Roman" w:hAnsi="Times New Roman" w:cs="Times New Roman"/>
          <w:sz w:val="24"/>
          <w:szCs w:val="24"/>
        </w:rPr>
        <w:t>, a to v nasledovnom znení</w:t>
      </w:r>
      <w:r w:rsidR="00EB04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D5593">
        <w:rPr>
          <w:rFonts w:ascii="Times New Roman" w:hAnsi="Times New Roman" w:cs="Times New Roman"/>
          <w:sz w:val="24"/>
          <w:szCs w:val="24"/>
        </w:rPr>
        <w:t xml:space="preserve">V doložke vybraných </w:t>
      </w:r>
      <w:bookmarkStart w:id="0" w:name="_GoBack"/>
      <w:bookmarkEnd w:id="0"/>
      <w:r w:rsidRPr="00ED5593">
        <w:rPr>
          <w:rFonts w:ascii="Times New Roman" w:hAnsi="Times New Roman" w:cs="Times New Roman"/>
          <w:sz w:val="24"/>
          <w:szCs w:val="24"/>
        </w:rPr>
        <w:t>vplyvov je uvedené, že návrh zákona bude mať pozitívny aj negatívny vplyv na rozpočet verejnej správy, ktorý je čiastočne rozpočtovo zabezpečený. V analýze vplyvov na rozpočet verejnej správy, na zamestnanosť vo verejnej správe a financovanie návrhu (ďalej len „analýza vplyvov“) sú kvantifikované výdavky na roky 2022 až 2024 vo výške 220 240 eur každoročne, z toho mzdy v sume 163 200 eur sú plánované pre osem osôb. V analýze vplyvov bode 2.1.1. Financovanie návrhu sa zároveň uvádza, že vzhľadom na nové kompetencie vyplývajúce z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návrhu zákona uvedený vplyv nie je zabezpečený v rozpočte príslušných kapitol štátneho rozpočtu a predkladateľ požaduje zvýšenie limitov výdavkov kapitol v jednotlivých rozpočtových rokoch. Žiadame všetky vplyvy vyplývajúce z nových kompetencií (aj za oblasť zamestnanosti) zabezpečiť v rámci schválených limitov dotknutých subjektov verejnej správy a limitu počtu zamestnancov na príslušné rozpočtové roky bez dodatočných požiadaviek na</w:t>
      </w:r>
      <w:r w:rsidR="008C75B3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rozpočet verejnej správy. Uvedené žiadame uviesť do analýzy vplyvov a doložky vybraných vplyvov, v ktorej zároveň žiadame v časti Vplyvy navrhovaného materiálu v riadku „z toho rozpočtovo zabezpečené vplyvy“ označiť políčko „áno“. V tabuľke č. 1 analýzy vplyvov žiadame v riadkoch týkajúcich sa mzdových výdavkov opraviť sumu 220 240 eur na sumu 163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200 eur tak, aby vyjadrovala iba mzdové výdavky bez výdavkov na poistné a príspevok do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Pr="00ED5593">
        <w:rPr>
          <w:rFonts w:ascii="Times New Roman" w:hAnsi="Times New Roman" w:cs="Times New Roman"/>
          <w:sz w:val="24"/>
          <w:szCs w:val="24"/>
        </w:rPr>
        <w:t>poisťovní.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DF4EA21" w14:textId="077F2DD7" w:rsidR="00ED5593" w:rsidRDefault="00ED5593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 </w:t>
      </w:r>
      <w:r w:rsidR="00104108">
        <w:rPr>
          <w:rFonts w:ascii="Times New Roman" w:hAnsi="Times New Roman" w:cs="Times New Roman"/>
          <w:sz w:val="24"/>
          <w:szCs w:val="24"/>
        </w:rPr>
        <w:t xml:space="preserve">čiastočne </w:t>
      </w:r>
      <w:r>
        <w:rPr>
          <w:rFonts w:ascii="Times New Roman" w:hAnsi="Times New Roman" w:cs="Times New Roman"/>
          <w:sz w:val="24"/>
          <w:szCs w:val="24"/>
        </w:rPr>
        <w:t xml:space="preserve">vyhovel </w:t>
      </w:r>
      <w:r w:rsidR="004F1BE3">
        <w:rPr>
          <w:rFonts w:ascii="Times New Roman" w:hAnsi="Times New Roman" w:cs="Times New Roman"/>
          <w:sz w:val="24"/>
          <w:szCs w:val="24"/>
        </w:rPr>
        <w:t>uplatnenej</w:t>
      </w:r>
      <w:r>
        <w:rPr>
          <w:rFonts w:ascii="Times New Roman" w:hAnsi="Times New Roman" w:cs="Times New Roman"/>
          <w:sz w:val="24"/>
          <w:szCs w:val="24"/>
        </w:rPr>
        <w:t xml:space="preserve"> pripomienke tým, že v</w:t>
      </w:r>
      <w:r w:rsidRPr="00ED5593">
        <w:rPr>
          <w:rFonts w:ascii="Times New Roman" w:hAnsi="Times New Roman" w:cs="Times New Roman"/>
          <w:sz w:val="24"/>
          <w:szCs w:val="24"/>
        </w:rPr>
        <w:t xml:space="preserve"> tabuľke č. 1 analýzy vplyvov </w:t>
      </w:r>
      <w:r>
        <w:rPr>
          <w:rFonts w:ascii="Times New Roman" w:hAnsi="Times New Roman" w:cs="Times New Roman"/>
          <w:sz w:val="24"/>
          <w:szCs w:val="24"/>
        </w:rPr>
        <w:t xml:space="preserve">na rozpočet verejnej správy, na zamestnanosť vo verejnej správe a financovanie návrhu </w:t>
      </w:r>
      <w:r w:rsidR="004F1BE3">
        <w:rPr>
          <w:rFonts w:ascii="Times New Roman" w:hAnsi="Times New Roman" w:cs="Times New Roman"/>
          <w:sz w:val="24"/>
          <w:szCs w:val="24"/>
        </w:rPr>
        <w:t>upravil</w:t>
      </w:r>
      <w:r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4F1BE3">
        <w:rPr>
          <w:rFonts w:ascii="Times New Roman" w:hAnsi="Times New Roman" w:cs="Times New Roman"/>
          <w:sz w:val="24"/>
          <w:szCs w:val="24"/>
        </w:rPr>
        <w:t xml:space="preserve">hodnoty </w:t>
      </w:r>
      <w:r w:rsidRPr="00ED5593">
        <w:rPr>
          <w:rFonts w:ascii="Times New Roman" w:hAnsi="Times New Roman" w:cs="Times New Roman"/>
          <w:sz w:val="24"/>
          <w:szCs w:val="24"/>
        </w:rPr>
        <w:t xml:space="preserve">v riadkoch týkajúcich sa mzdových výdavkov tak, </w:t>
      </w:r>
      <w:r w:rsidR="004F1BE3">
        <w:rPr>
          <w:rFonts w:ascii="Times New Roman" w:hAnsi="Times New Roman" w:cs="Times New Roman"/>
          <w:sz w:val="24"/>
          <w:szCs w:val="24"/>
        </w:rPr>
        <w:t>že vyjadrujú</w:t>
      </w:r>
      <w:r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4F1BE3">
        <w:rPr>
          <w:rFonts w:ascii="Times New Roman" w:hAnsi="Times New Roman" w:cs="Times New Roman"/>
          <w:sz w:val="24"/>
          <w:szCs w:val="24"/>
        </w:rPr>
        <w:t>len</w:t>
      </w:r>
      <w:r w:rsidRPr="00ED5593">
        <w:rPr>
          <w:rFonts w:ascii="Times New Roman" w:hAnsi="Times New Roman" w:cs="Times New Roman"/>
          <w:sz w:val="24"/>
          <w:szCs w:val="24"/>
        </w:rPr>
        <w:t xml:space="preserve"> mzdové výdavky bez výdavkov na poistné a príspevok do poisťovní</w:t>
      </w:r>
      <w:r w:rsidR="004F1BE3">
        <w:rPr>
          <w:rFonts w:ascii="Times New Roman" w:hAnsi="Times New Roman" w:cs="Times New Roman"/>
          <w:sz w:val="24"/>
          <w:szCs w:val="24"/>
        </w:rPr>
        <w:t>.</w:t>
      </w:r>
    </w:p>
    <w:p w14:paraId="44CB9D46" w14:textId="486698EF" w:rsidR="006B7138" w:rsidRDefault="004F1BE3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zvyšnej časti </w:t>
      </w:r>
      <w:r w:rsidR="006B7138">
        <w:rPr>
          <w:rFonts w:ascii="Times New Roman" w:hAnsi="Times New Roman" w:cs="Times New Roman"/>
          <w:sz w:val="24"/>
          <w:szCs w:val="24"/>
        </w:rPr>
        <w:t>pripomienk</w:t>
      </w:r>
      <w:r w:rsidR="008C75B3">
        <w:rPr>
          <w:rFonts w:ascii="Times New Roman" w:hAnsi="Times New Roman" w:cs="Times New Roman"/>
          <w:sz w:val="24"/>
          <w:szCs w:val="24"/>
        </w:rPr>
        <w:t>y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 možné vyhovieť. Z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abezpečenie </w:t>
      </w:r>
      <w:r w:rsidR="00104108">
        <w:rPr>
          <w:rFonts w:ascii="Times New Roman" w:hAnsi="Times New Roman" w:cs="Times New Roman"/>
          <w:sz w:val="24"/>
          <w:szCs w:val="24"/>
        </w:rPr>
        <w:t>vplyvov</w:t>
      </w:r>
      <w:r w:rsidR="00104108" w:rsidRPr="00ED5593">
        <w:rPr>
          <w:rFonts w:ascii="Times New Roman" w:hAnsi="Times New Roman" w:cs="Times New Roman"/>
          <w:sz w:val="24"/>
          <w:szCs w:val="24"/>
        </w:rPr>
        <w:t xml:space="preserve"> vy</w:t>
      </w:r>
      <w:r w:rsidR="00104108">
        <w:rPr>
          <w:rFonts w:ascii="Times New Roman" w:hAnsi="Times New Roman" w:cs="Times New Roman"/>
          <w:sz w:val="24"/>
          <w:szCs w:val="24"/>
        </w:rPr>
        <w:t xml:space="preserve">plývajúcich z nových kompetencií </w:t>
      </w:r>
      <w:r w:rsidR="00104108" w:rsidRPr="00ED5593">
        <w:rPr>
          <w:rFonts w:ascii="Times New Roman" w:hAnsi="Times New Roman" w:cs="Times New Roman"/>
          <w:sz w:val="24"/>
          <w:szCs w:val="24"/>
        </w:rPr>
        <w:t xml:space="preserve">v rámci schválených limitov </w:t>
      </w:r>
      <w:r w:rsidR="00864E98">
        <w:rPr>
          <w:rFonts w:ascii="Times New Roman" w:hAnsi="Times New Roman" w:cs="Times New Roman"/>
          <w:sz w:val="24"/>
          <w:szCs w:val="24"/>
        </w:rPr>
        <w:t xml:space="preserve">(vrátane limitov počtu zamestnancov) </w:t>
      </w:r>
      <w:r w:rsidR="00104108">
        <w:rPr>
          <w:rFonts w:ascii="Times New Roman" w:hAnsi="Times New Roman" w:cs="Times New Roman"/>
          <w:sz w:val="24"/>
          <w:szCs w:val="24"/>
        </w:rPr>
        <w:t xml:space="preserve">Ministerstva hospodárstva Slovenskej republiky a ostatných </w:t>
      </w:r>
      <w:r w:rsidR="00104108" w:rsidRPr="00ED5593">
        <w:rPr>
          <w:rFonts w:ascii="Times New Roman" w:hAnsi="Times New Roman" w:cs="Times New Roman"/>
          <w:sz w:val="24"/>
          <w:szCs w:val="24"/>
        </w:rPr>
        <w:t>dotknut</w:t>
      </w:r>
      <w:r w:rsidR="00864E98">
        <w:rPr>
          <w:rFonts w:ascii="Times New Roman" w:hAnsi="Times New Roman" w:cs="Times New Roman"/>
          <w:sz w:val="24"/>
          <w:szCs w:val="24"/>
        </w:rPr>
        <w:t xml:space="preserve">ých subjektov verejnej správy </w:t>
      </w:r>
      <w:r w:rsidR="00104108" w:rsidRPr="00ED5593">
        <w:rPr>
          <w:rFonts w:ascii="Times New Roman" w:hAnsi="Times New Roman" w:cs="Times New Roman"/>
          <w:sz w:val="24"/>
          <w:szCs w:val="24"/>
        </w:rPr>
        <w:t>na príslušné rozpočtové roky bez dodatočných požiadaviek na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104108" w:rsidRPr="00ED5593">
        <w:rPr>
          <w:rFonts w:ascii="Times New Roman" w:hAnsi="Times New Roman" w:cs="Times New Roman"/>
          <w:sz w:val="24"/>
          <w:szCs w:val="24"/>
        </w:rPr>
        <w:t>rozpočet verejnej správy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nie je možné. </w:t>
      </w:r>
      <w:r w:rsidR="00104108">
        <w:rPr>
          <w:rFonts w:ascii="Times New Roman" w:hAnsi="Times New Roman" w:cs="Times New Roman"/>
          <w:sz w:val="24"/>
          <w:szCs w:val="24"/>
        </w:rPr>
        <w:t xml:space="preserve">Agenda preverovania zahraničných investícií z dôvodu ochrany bezpečnosti </w:t>
      </w:r>
      <w:r w:rsidR="00864E98">
        <w:rPr>
          <w:rFonts w:ascii="Times New Roman" w:hAnsi="Times New Roman" w:cs="Times New Roman"/>
          <w:sz w:val="24"/>
          <w:szCs w:val="24"/>
        </w:rPr>
        <w:t xml:space="preserve">a verejného poriadku </w:t>
      </w:r>
      <w:r w:rsidR="00104108">
        <w:rPr>
          <w:rFonts w:ascii="Times New Roman" w:hAnsi="Times New Roman" w:cs="Times New Roman"/>
          <w:sz w:val="24"/>
          <w:szCs w:val="24"/>
        </w:rPr>
        <w:t xml:space="preserve">predstavuje novú 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agendu, </w:t>
      </w:r>
      <w:r w:rsidR="00864E98">
        <w:rPr>
          <w:rFonts w:ascii="Times New Roman" w:hAnsi="Times New Roman" w:cs="Times New Roman"/>
          <w:sz w:val="24"/>
          <w:szCs w:val="24"/>
        </w:rPr>
        <w:t>s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ktorou súvisia nové úlohy a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požiadavky na ľudský kapitál a</w:t>
      </w:r>
      <w:r w:rsidR="000F4566">
        <w:rPr>
          <w:rFonts w:ascii="Times New Roman" w:hAnsi="Times New Roman" w:cs="Times New Roman"/>
          <w:sz w:val="24"/>
          <w:szCs w:val="24"/>
        </w:rPr>
        <w:t xml:space="preserve">le aj ostatnú </w:t>
      </w:r>
      <w:r w:rsidR="00864E98">
        <w:rPr>
          <w:rFonts w:ascii="Times New Roman" w:hAnsi="Times New Roman" w:cs="Times New Roman"/>
          <w:sz w:val="24"/>
          <w:szCs w:val="24"/>
        </w:rPr>
        <w:t>infraštruktúru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. </w:t>
      </w:r>
      <w:r w:rsidR="006B7138">
        <w:rPr>
          <w:rFonts w:ascii="Times New Roman" w:hAnsi="Times New Roman" w:cs="Times New Roman"/>
          <w:sz w:val="24"/>
          <w:szCs w:val="24"/>
        </w:rPr>
        <w:t>V tejto súvislosti je</w:t>
      </w:r>
      <w:r w:rsidR="000F4566">
        <w:rPr>
          <w:rFonts w:ascii="Times New Roman" w:hAnsi="Times New Roman" w:cs="Times New Roman"/>
          <w:sz w:val="24"/>
          <w:szCs w:val="24"/>
        </w:rPr>
        <w:t xml:space="preserve"> nutné zdôrazniť, že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 ide o</w:t>
      </w:r>
      <w:r w:rsidR="00864E98">
        <w:rPr>
          <w:rFonts w:ascii="Times New Roman" w:hAnsi="Times New Roman" w:cs="Times New Roman"/>
          <w:sz w:val="24"/>
          <w:szCs w:val="24"/>
        </w:rPr>
        <w:t xml:space="preserve"> </w:t>
      </w:r>
      <w:r w:rsidR="00ED5593" w:rsidRPr="00ED5593">
        <w:rPr>
          <w:rFonts w:ascii="Times New Roman" w:hAnsi="Times New Roman" w:cs="Times New Roman"/>
          <w:sz w:val="24"/>
          <w:szCs w:val="24"/>
        </w:rPr>
        <w:t>agendu</w:t>
      </w:r>
      <w:r w:rsidR="00104108">
        <w:rPr>
          <w:rFonts w:ascii="Times New Roman" w:hAnsi="Times New Roman" w:cs="Times New Roman"/>
          <w:sz w:val="24"/>
          <w:szCs w:val="24"/>
        </w:rPr>
        <w:t xml:space="preserve"> </w:t>
      </w:r>
      <w:r w:rsidR="00864E98">
        <w:rPr>
          <w:rFonts w:ascii="Times New Roman" w:hAnsi="Times New Roman" w:cs="Times New Roman"/>
          <w:sz w:val="24"/>
          <w:szCs w:val="24"/>
        </w:rPr>
        <w:t>s nezameniteľným významom</w:t>
      </w:r>
      <w:r w:rsidR="006B7138">
        <w:rPr>
          <w:rFonts w:ascii="Times New Roman" w:hAnsi="Times New Roman" w:cs="Times New Roman"/>
          <w:sz w:val="24"/>
          <w:szCs w:val="24"/>
        </w:rPr>
        <w:t>, ktorá zásadným spôsobom prispe</w:t>
      </w:r>
      <w:r w:rsidR="00864E9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38">
        <w:rPr>
          <w:rFonts w:ascii="Times New Roman" w:hAnsi="Times New Roman" w:cs="Times New Roman"/>
          <w:sz w:val="24"/>
          <w:szCs w:val="24"/>
        </w:rPr>
        <w:t>k ochrane</w:t>
      </w:r>
      <w:r>
        <w:rPr>
          <w:rFonts w:ascii="Times New Roman" w:hAnsi="Times New Roman" w:cs="Times New Roman"/>
          <w:sz w:val="24"/>
          <w:szCs w:val="24"/>
        </w:rPr>
        <w:t xml:space="preserve"> bezpečn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osti a verejného poriadku. </w:t>
      </w:r>
      <w:r w:rsidR="000F4566">
        <w:rPr>
          <w:rFonts w:ascii="Times New Roman" w:hAnsi="Times New Roman" w:cs="Times New Roman"/>
          <w:sz w:val="24"/>
          <w:szCs w:val="24"/>
        </w:rPr>
        <w:t>Predložený návrh zákona predstavuje nástroj, s ktorého zavedením a dôsledným uplatňovaním počítajú, resp. ho vyžadujú, aj dôležité bezpečnostné dokumenty ako sú aktuálne platná Bezpečnostná stratégia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66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66">
        <w:rPr>
          <w:rFonts w:ascii="Times New Roman" w:hAnsi="Times New Roman" w:cs="Times New Roman"/>
          <w:sz w:val="24"/>
          <w:szCs w:val="24"/>
        </w:rPr>
        <w:t>a nedávno prijatý Akčný plán</w:t>
      </w:r>
      <w:r w:rsidR="00ED5593" w:rsidRPr="00ED5593">
        <w:rPr>
          <w:rFonts w:ascii="Times New Roman" w:hAnsi="Times New Roman" w:cs="Times New Roman"/>
          <w:sz w:val="24"/>
          <w:szCs w:val="24"/>
        </w:rPr>
        <w:t xml:space="preserve"> koordinác</w:t>
      </w:r>
      <w:r>
        <w:rPr>
          <w:rFonts w:ascii="Times New Roman" w:hAnsi="Times New Roman" w:cs="Times New Roman"/>
          <w:sz w:val="24"/>
          <w:szCs w:val="24"/>
        </w:rPr>
        <w:t>ie boja proti hybridným hrozbám</w:t>
      </w:r>
      <w:r w:rsidR="006B7138">
        <w:rPr>
          <w:rFonts w:ascii="Times New Roman" w:hAnsi="Times New Roman" w:cs="Times New Roman"/>
          <w:sz w:val="24"/>
          <w:szCs w:val="24"/>
        </w:rPr>
        <w:t xml:space="preserve">. </w:t>
      </w:r>
      <w:r w:rsidR="00C1342A">
        <w:rPr>
          <w:rFonts w:ascii="Times New Roman" w:hAnsi="Times New Roman" w:cs="Times New Roman"/>
          <w:sz w:val="24"/>
          <w:szCs w:val="24"/>
        </w:rPr>
        <w:t>Zavedenie a následná d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ôsledná implementácia </w:t>
      </w:r>
      <w:r w:rsidR="00C1342A">
        <w:rPr>
          <w:rFonts w:ascii="Times New Roman" w:hAnsi="Times New Roman" w:cs="Times New Roman"/>
          <w:sz w:val="24"/>
          <w:szCs w:val="24"/>
        </w:rPr>
        <w:t xml:space="preserve">tejto 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agendy </w:t>
      </w:r>
      <w:r w:rsidR="00C1342A">
        <w:rPr>
          <w:rFonts w:ascii="Times New Roman" w:hAnsi="Times New Roman" w:cs="Times New Roman"/>
          <w:sz w:val="24"/>
          <w:szCs w:val="24"/>
        </w:rPr>
        <w:t>pri tom nie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</w:t>
      </w:r>
      <w:r w:rsidR="00C1342A">
        <w:rPr>
          <w:rFonts w:ascii="Times New Roman" w:hAnsi="Times New Roman" w:cs="Times New Roman"/>
          <w:sz w:val="24"/>
          <w:szCs w:val="24"/>
        </w:rPr>
        <w:t>je dôležitá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len z pohľadu bezpečnosti 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verejného poriadku </w:t>
      </w:r>
      <w:r w:rsidR="00C1342A">
        <w:rPr>
          <w:rFonts w:ascii="Times New Roman" w:hAnsi="Times New Roman" w:cs="Times New Roman"/>
          <w:sz w:val="24"/>
          <w:szCs w:val="24"/>
        </w:rPr>
        <w:t>Slovenskej republiky</w:t>
      </w:r>
      <w:r w:rsidR="00C1342A" w:rsidRPr="00ED5593">
        <w:rPr>
          <w:rFonts w:ascii="Times New Roman" w:hAnsi="Times New Roman" w:cs="Times New Roman"/>
          <w:sz w:val="24"/>
          <w:szCs w:val="24"/>
        </w:rPr>
        <w:t xml:space="preserve"> ale </w:t>
      </w:r>
      <w:r w:rsidR="00C1342A">
        <w:rPr>
          <w:rFonts w:ascii="Times New Roman" w:hAnsi="Times New Roman" w:cs="Times New Roman"/>
          <w:sz w:val="24"/>
          <w:szCs w:val="24"/>
        </w:rPr>
        <w:t xml:space="preserve">je predpokladom pre účinnú ochranu </w:t>
      </w:r>
      <w:r w:rsidR="00C1342A" w:rsidRPr="00ED5593">
        <w:rPr>
          <w:rFonts w:ascii="Times New Roman" w:hAnsi="Times New Roman" w:cs="Times New Roman"/>
          <w:sz w:val="24"/>
          <w:szCs w:val="24"/>
        </w:rPr>
        <w:t>bezpečn</w:t>
      </w:r>
      <w:r w:rsidR="00C1342A">
        <w:rPr>
          <w:rFonts w:ascii="Times New Roman" w:hAnsi="Times New Roman" w:cs="Times New Roman"/>
          <w:sz w:val="24"/>
          <w:szCs w:val="24"/>
        </w:rPr>
        <w:t>osti a verejného poriadku v celej Európskej únii. Práve vzhľadom na túto skutočnosť Európska komisia najskôr po vypuknutí pandémie COVID-19 v roku 2020 (prostredníctvom Oznámenia č. 2020/C 99 I/01) a následne po zača</w:t>
      </w:r>
      <w:r w:rsidR="00F35207">
        <w:rPr>
          <w:rFonts w:ascii="Times New Roman" w:hAnsi="Times New Roman" w:cs="Times New Roman"/>
          <w:sz w:val="24"/>
          <w:szCs w:val="24"/>
        </w:rPr>
        <w:t>tí ruskej agresie na Ukrajine vo februári</w:t>
      </w:r>
      <w:r w:rsidR="00C1342A">
        <w:rPr>
          <w:rFonts w:ascii="Times New Roman" w:hAnsi="Times New Roman" w:cs="Times New Roman"/>
          <w:sz w:val="24"/>
          <w:szCs w:val="24"/>
        </w:rPr>
        <w:t xml:space="preserve"> 2022 (prostredníctvom Oznámenia č. 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2022/C 151 I/01) vyzvala zostávajúce členské štáty Európskej únie, ktoré ešte nemajú zavedený účinný </w:t>
      </w:r>
      <w:r w:rsidR="003148DB">
        <w:rPr>
          <w:rFonts w:ascii="Times New Roman" w:eastAsia="Times New Roman" w:hAnsi="Times New Roman" w:cs="Times New Roman"/>
          <w:sz w:val="24"/>
          <w:szCs w:val="24"/>
        </w:rPr>
        <w:t xml:space="preserve">komplexný 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mechanizmus preverovania zahraničných investícií, </w:t>
      </w:r>
      <w:r w:rsidR="003148DB">
        <w:rPr>
          <w:rFonts w:ascii="Times New Roman" w:eastAsia="Times New Roman" w:hAnsi="Times New Roman" w:cs="Times New Roman"/>
          <w:sz w:val="24"/>
          <w:szCs w:val="24"/>
        </w:rPr>
        <w:t xml:space="preserve">aby urýchlili jeho prijatie, pripravili jeho vykonávanie a vyčlenili primerané zdroje </w:t>
      </w:r>
      <w:r w:rsidR="003148DB">
        <w:rPr>
          <w:rFonts w:ascii="Times New Roman" w:eastAsia="Times New Roman" w:hAnsi="Times New Roman" w:cs="Times New Roman"/>
          <w:sz w:val="24"/>
          <w:szCs w:val="24"/>
        </w:rPr>
        <w:lastRenderedPageBreak/>
        <w:t>na jeho podporu</w:t>
      </w:r>
      <w:r w:rsidR="00C13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207">
        <w:rPr>
          <w:rFonts w:ascii="Times New Roman" w:hAnsi="Times New Roman" w:cs="Times New Roman"/>
          <w:sz w:val="24"/>
          <w:szCs w:val="24"/>
        </w:rPr>
        <w:t>S ohľadom na účel</w:t>
      </w:r>
      <w:r w:rsidR="00C1342A">
        <w:rPr>
          <w:rFonts w:ascii="Times New Roman" w:hAnsi="Times New Roman" w:cs="Times New Roman"/>
          <w:sz w:val="24"/>
          <w:szCs w:val="24"/>
        </w:rPr>
        <w:t xml:space="preserve"> navrhovanej právnej úpravy</w:t>
      </w:r>
      <w:r w:rsidR="006B7138">
        <w:rPr>
          <w:rFonts w:ascii="Times New Roman" w:hAnsi="Times New Roman" w:cs="Times New Roman"/>
          <w:sz w:val="24"/>
          <w:szCs w:val="24"/>
        </w:rPr>
        <w:t>, ktorým je zachytenie 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6B7138">
        <w:rPr>
          <w:rFonts w:ascii="Times New Roman" w:hAnsi="Times New Roman" w:cs="Times New Roman"/>
          <w:sz w:val="24"/>
          <w:szCs w:val="24"/>
        </w:rPr>
        <w:t>adresovanie</w:t>
      </w:r>
      <w:r w:rsidR="006B7138" w:rsidRPr="00864E98">
        <w:rPr>
          <w:rFonts w:ascii="Times New Roman" w:hAnsi="Times New Roman" w:cs="Times New Roman"/>
          <w:sz w:val="24"/>
          <w:szCs w:val="24"/>
        </w:rPr>
        <w:t xml:space="preserve"> pokiaľ </w:t>
      </w:r>
      <w:r w:rsidR="006B7138">
        <w:rPr>
          <w:rFonts w:ascii="Times New Roman" w:hAnsi="Times New Roman" w:cs="Times New Roman"/>
          <w:sz w:val="24"/>
          <w:szCs w:val="24"/>
        </w:rPr>
        <w:t>možno</w:t>
      </w:r>
      <w:r w:rsidR="006B7138" w:rsidRPr="00864E98">
        <w:rPr>
          <w:rFonts w:ascii="Times New Roman" w:hAnsi="Times New Roman" w:cs="Times New Roman"/>
          <w:sz w:val="24"/>
          <w:szCs w:val="24"/>
        </w:rPr>
        <w:t xml:space="preserve"> všetkých bezpečnostných rizík spojených s</w:t>
      </w:r>
      <w:r w:rsidR="002C0CF5">
        <w:rPr>
          <w:rFonts w:ascii="Times New Roman" w:hAnsi="Times New Roman" w:cs="Times New Roman"/>
          <w:sz w:val="24"/>
          <w:szCs w:val="24"/>
        </w:rPr>
        <w:t> </w:t>
      </w:r>
      <w:r w:rsidR="006B7138" w:rsidRPr="00864E98">
        <w:rPr>
          <w:rFonts w:ascii="Times New Roman" w:hAnsi="Times New Roman" w:cs="Times New Roman"/>
          <w:sz w:val="24"/>
          <w:szCs w:val="24"/>
        </w:rPr>
        <w:t>prichádzajúcimi zahraničnými investíciami</w:t>
      </w:r>
      <w:r w:rsidR="006B7138">
        <w:rPr>
          <w:rFonts w:ascii="Times New Roman" w:hAnsi="Times New Roman" w:cs="Times New Roman"/>
          <w:sz w:val="24"/>
          <w:szCs w:val="24"/>
        </w:rPr>
        <w:t>,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 je nevyhnutné </w:t>
      </w:r>
      <w:r w:rsidR="00F35207">
        <w:rPr>
          <w:rFonts w:ascii="Times New Roman" w:hAnsi="Times New Roman" w:cs="Times New Roman"/>
          <w:sz w:val="24"/>
          <w:szCs w:val="24"/>
        </w:rPr>
        <w:t xml:space="preserve">tejto téme 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venovať </w:t>
      </w:r>
      <w:r w:rsidR="00C1342A">
        <w:rPr>
          <w:rFonts w:ascii="Times New Roman" w:hAnsi="Times New Roman" w:cs="Times New Roman"/>
          <w:sz w:val="24"/>
          <w:szCs w:val="24"/>
        </w:rPr>
        <w:t xml:space="preserve">náležitú pozornosť a </w:t>
      </w:r>
      <w:r w:rsidR="00864E98" w:rsidRPr="00864E98">
        <w:rPr>
          <w:rFonts w:ascii="Times New Roman" w:hAnsi="Times New Roman" w:cs="Times New Roman"/>
          <w:sz w:val="24"/>
          <w:szCs w:val="24"/>
        </w:rPr>
        <w:t>vážnosť v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čase prípravy, ako aj v čase </w:t>
      </w:r>
      <w:r w:rsidR="00C1342A">
        <w:rPr>
          <w:rFonts w:ascii="Times New Roman" w:hAnsi="Times New Roman" w:cs="Times New Roman"/>
          <w:sz w:val="24"/>
          <w:szCs w:val="24"/>
        </w:rPr>
        <w:t>následnej</w:t>
      </w:r>
      <w:r w:rsidR="00864E98" w:rsidRPr="00864E98">
        <w:rPr>
          <w:rFonts w:ascii="Times New Roman" w:hAnsi="Times New Roman" w:cs="Times New Roman"/>
          <w:sz w:val="24"/>
          <w:szCs w:val="24"/>
        </w:rPr>
        <w:t xml:space="preserve"> implementácie, kedy </w:t>
      </w:r>
      <w:r w:rsidR="00C1342A">
        <w:rPr>
          <w:rFonts w:ascii="Times New Roman" w:hAnsi="Times New Roman" w:cs="Times New Roman"/>
          <w:sz w:val="24"/>
          <w:szCs w:val="24"/>
        </w:rPr>
        <w:t xml:space="preserve">bude rozhodujúcim </w:t>
      </w:r>
      <w:r w:rsidR="00F856BC">
        <w:rPr>
          <w:rFonts w:ascii="Times New Roman" w:hAnsi="Times New Roman" w:cs="Times New Roman"/>
          <w:sz w:val="24"/>
          <w:szCs w:val="24"/>
        </w:rPr>
        <w:t>predpokladom</w:t>
      </w:r>
      <w:r w:rsidR="00C1342A">
        <w:rPr>
          <w:rFonts w:ascii="Times New Roman" w:hAnsi="Times New Roman" w:cs="Times New Roman"/>
          <w:sz w:val="24"/>
          <w:szCs w:val="24"/>
        </w:rPr>
        <w:t xml:space="preserve"> účinného preverovania </w:t>
      </w:r>
      <w:r w:rsidR="00864E98" w:rsidRPr="00864E98">
        <w:rPr>
          <w:rFonts w:ascii="Times New Roman" w:hAnsi="Times New Roman" w:cs="Times New Roman"/>
          <w:sz w:val="24"/>
          <w:szCs w:val="24"/>
        </w:rPr>
        <w:t>práve zabezpe</w:t>
      </w:r>
      <w:r w:rsidR="006B7138">
        <w:rPr>
          <w:rFonts w:ascii="Times New Roman" w:hAnsi="Times New Roman" w:cs="Times New Roman"/>
          <w:sz w:val="24"/>
          <w:szCs w:val="24"/>
        </w:rPr>
        <w:t>čenie kvalitnej infraštruktúry. T</w:t>
      </w:r>
      <w:r w:rsidR="00864E98" w:rsidRPr="00864E98">
        <w:rPr>
          <w:rFonts w:ascii="Times New Roman" w:hAnsi="Times New Roman" w:cs="Times New Roman"/>
          <w:sz w:val="24"/>
          <w:szCs w:val="24"/>
        </w:rPr>
        <w:t>u je najmä dôraz na</w:t>
      </w:r>
      <w:r w:rsidR="003148DB">
        <w:rPr>
          <w:rFonts w:ascii="Times New Roman" w:hAnsi="Times New Roman" w:cs="Times New Roman"/>
          <w:sz w:val="24"/>
          <w:szCs w:val="24"/>
        </w:rPr>
        <w:t> </w:t>
      </w:r>
      <w:r w:rsidR="00864E98" w:rsidRPr="00864E98">
        <w:rPr>
          <w:rFonts w:ascii="Times New Roman" w:hAnsi="Times New Roman" w:cs="Times New Roman"/>
          <w:sz w:val="24"/>
          <w:szCs w:val="24"/>
        </w:rPr>
        <w:t>potrebný ľudský ka</w:t>
      </w:r>
      <w:r w:rsidR="006B7138">
        <w:rPr>
          <w:rFonts w:ascii="Times New Roman" w:hAnsi="Times New Roman" w:cs="Times New Roman"/>
          <w:sz w:val="24"/>
          <w:szCs w:val="24"/>
        </w:rPr>
        <w:t>pitál</w:t>
      </w:r>
      <w:r w:rsidR="00864E98" w:rsidRPr="00864E98">
        <w:rPr>
          <w:rFonts w:ascii="Times New Roman" w:hAnsi="Times New Roman" w:cs="Times New Roman"/>
          <w:sz w:val="24"/>
          <w:szCs w:val="24"/>
        </w:rPr>
        <w:t>.</w:t>
      </w:r>
      <w:r w:rsidR="006B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ECB5" w14:textId="25D589A8" w:rsidR="003148DB" w:rsidRDefault="003148DB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8DB">
        <w:rPr>
          <w:rFonts w:ascii="Times New Roman" w:hAnsi="Times New Roman" w:cs="Times New Roman"/>
          <w:sz w:val="24"/>
          <w:szCs w:val="24"/>
        </w:rPr>
        <w:t>S ohľadom na plánované zapojenie sa v rámci projektu Európskej únie, predpokladáme čiastočnú refundáciu vyčíslených bežných výdavkov.</w:t>
      </w:r>
    </w:p>
    <w:p w14:paraId="4FEC24FD" w14:textId="4A21AC36" w:rsidR="003148DB" w:rsidRDefault="003148DB" w:rsidP="003148DB">
      <w:pPr>
        <w:pStyle w:val="Odsekzoznamu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mzdových výdavkov, v</w:t>
      </w:r>
      <w:r w:rsidRPr="00AD5BDA">
        <w:rPr>
          <w:rFonts w:ascii="Times New Roman" w:hAnsi="Times New Roman" w:cs="Times New Roman"/>
          <w:sz w:val="24"/>
          <w:szCs w:val="24"/>
        </w:rPr>
        <w:t xml:space="preserve"> rokoch 2023 až 2025 požadujeme 20 000,- eur ročne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5BDA">
        <w:rPr>
          <w:rFonts w:ascii="Times New Roman" w:hAnsi="Times New Roman" w:cs="Times New Roman"/>
          <w:sz w:val="24"/>
          <w:szCs w:val="24"/>
        </w:rPr>
        <w:t>forme kapitálových výdavkov na zabezpečenie prístupov do databáz združujúcich informácie o podnikateľských subjektoch (pôsobiacich v EÚ aj mimo nej), ako aj o fyzických a právnických osobách, ktoré v daných subjektoch pôsobia alebo</w:t>
      </w:r>
      <w:r>
        <w:rPr>
          <w:rFonts w:ascii="Times New Roman" w:hAnsi="Times New Roman" w:cs="Times New Roman"/>
          <w:sz w:val="24"/>
          <w:szCs w:val="24"/>
        </w:rPr>
        <w:t xml:space="preserve"> sú s </w:t>
      </w:r>
      <w:r w:rsidRPr="00AD5BDA">
        <w:rPr>
          <w:rFonts w:ascii="Times New Roman" w:hAnsi="Times New Roman" w:cs="Times New Roman"/>
          <w:sz w:val="24"/>
          <w:szCs w:val="24"/>
        </w:rPr>
        <w:t>nimi prepojené</w:t>
      </w:r>
      <w:r>
        <w:rPr>
          <w:rFonts w:ascii="Times New Roman" w:hAnsi="Times New Roman" w:cs="Times New Roman"/>
          <w:sz w:val="24"/>
          <w:szCs w:val="24"/>
        </w:rPr>
        <w:t xml:space="preserve"> (a to aj historicky)</w:t>
      </w:r>
      <w:r w:rsidRPr="00AD5BDA">
        <w:rPr>
          <w:rFonts w:ascii="Times New Roman" w:hAnsi="Times New Roman" w:cs="Times New Roman"/>
          <w:sz w:val="24"/>
          <w:szCs w:val="24"/>
        </w:rPr>
        <w:t>.</w:t>
      </w:r>
    </w:p>
    <w:p w14:paraId="3153DB0C" w14:textId="77777777" w:rsidR="003148DB" w:rsidRDefault="003148DB" w:rsidP="003148DB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72CBA" w14:textId="52192CB7" w:rsidR="003148DB" w:rsidRDefault="003148DB" w:rsidP="003148DB">
      <w:pPr>
        <w:pStyle w:val="Odsekzoznamu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Vykonávanie agendy preverovania zahraničných investícií si vyžaduje prístup k čo možno najrobustnejším a najspoľahlivejším databázam o podnikateľských subjektoch a s nimi prepojených osobách. Sledovanými údajmi sú súčasné a historické dáta o organizačnej štruktúre, vlastníckej štruktúre, pôsobenie politicky či iným spôsobom exponovaných osôb, prepojenia medzi konkrétnymi subjektmi/osobami, ukazovatele finančnej výkonnosti, účtovné závierky, sankčné zoznamy atď. Sledovanými subjektmi/osobami pritom môžu byť subjekty/osoby so sídlom/občianstvom v rámci Európskej únie, či mimo nej. Prístup k takýmto databázam je nevyhnutný za účelom overovania si informácií poskytnutých zo strany zahraničných investorov a cieľových subjektov, ale aj v rámci prevencie pred porušením právnej úpravy v oblasti preverovania zahraničných investícií, či za účelom vedenia štatistík atď. Nakoľko štát takéto databázy nevedie, prístup k nim je nutné zabezpečiť alternatívnym spôsobom. Pre úplnosť uvádzame, že rovnaký nástroj na získanie/overenie vyššie menovaných informácií/dát bol zvolený aj inými členskými štátmi Európskej únie, ktoré pri uplatňovaní svojich už existujúcich mechanizmov preverovania zahraničných investícií využívajú tiež takéto databázy. V rámci uskutočnených konzultácií, bolo potvrdené napr. Francúzskom, že databázy predstavujú dôležitý nástroj pre zabezpečenie riadneho preverovania zahraničných investícií. </w:t>
      </w:r>
    </w:p>
    <w:p w14:paraId="234BE5D1" w14:textId="77777777" w:rsidR="003148DB" w:rsidRDefault="003148DB" w:rsidP="003148DB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0EBF70" w14:textId="2E0E93FD" w:rsidR="003148DB" w:rsidRPr="00477A48" w:rsidRDefault="003148DB" w:rsidP="003148D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ohľadom na plánované zapojenie sa v rámci projektu Európskej únie, p</w:t>
      </w:r>
      <w:r w:rsidRPr="00003D78">
        <w:rPr>
          <w:rFonts w:ascii="Times New Roman" w:hAnsi="Times New Roman" w:cs="Times New Roman"/>
          <w:sz w:val="24"/>
          <w:szCs w:val="24"/>
        </w:rPr>
        <w:t xml:space="preserve">redpokladáme </w:t>
      </w:r>
      <w:r>
        <w:rPr>
          <w:rFonts w:ascii="Times New Roman" w:hAnsi="Times New Roman" w:cs="Times New Roman"/>
          <w:sz w:val="24"/>
          <w:szCs w:val="24"/>
        </w:rPr>
        <w:t xml:space="preserve">aj v tomto prípade čiastočnú </w:t>
      </w:r>
      <w:r w:rsidRPr="00477A48">
        <w:rPr>
          <w:rFonts w:ascii="Times New Roman" w:hAnsi="Times New Roman" w:cs="Times New Roman"/>
          <w:sz w:val="24"/>
          <w:szCs w:val="24"/>
        </w:rPr>
        <w:t>refundáciu vyčíslených kapitálových výdavkov.</w:t>
      </w:r>
    </w:p>
    <w:p w14:paraId="005016E6" w14:textId="1B8B1BB2" w:rsidR="006C3B20" w:rsidRPr="00477A48" w:rsidRDefault="006C3B20" w:rsidP="003148D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5279D5" w14:textId="1D8EAA78" w:rsidR="006C3B20" w:rsidRDefault="006C3B20" w:rsidP="006C3B20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48">
        <w:rPr>
          <w:rFonts w:ascii="Times New Roman" w:hAnsi="Times New Roman" w:cs="Times New Roman"/>
          <w:sz w:val="24"/>
          <w:szCs w:val="24"/>
        </w:rPr>
        <w:t>Potvrdzujeme, že rozpočtovo nekryté negatívne vplyvy na rozpočet verejnej správy, ktoré boli pôvodne predpokladané (vyčíslené) v medzirezortnom pripomienkovom konaní boli dodatočne navýšené, a to v roku</w:t>
      </w:r>
      <w:r>
        <w:rPr>
          <w:rFonts w:ascii="Times New Roman" w:hAnsi="Times New Roman" w:cs="Times New Roman"/>
          <w:sz w:val="24"/>
          <w:szCs w:val="24"/>
        </w:rPr>
        <w:t xml:space="preserve"> 2023 zo sumy 220 240,- eur na 416 051,- eur a v roku 2024 (a nasledujúcich) zo sumy 220 240,- eur na </w:t>
      </w:r>
      <w:r w:rsidR="005674C0">
        <w:rPr>
          <w:rFonts w:ascii="Times New Roman" w:hAnsi="Times New Roman" w:cs="Times New Roman"/>
          <w:sz w:val="24"/>
          <w:szCs w:val="24"/>
        </w:rPr>
        <w:t>445 989</w:t>
      </w:r>
      <w:r>
        <w:rPr>
          <w:rFonts w:ascii="Times New Roman" w:hAnsi="Times New Roman" w:cs="Times New Roman"/>
          <w:sz w:val="24"/>
          <w:szCs w:val="24"/>
        </w:rPr>
        <w:t xml:space="preserve">,- eur. Rozdiel predstavujú zvýšené požiadavky Ministerstva hospodárstva Slovenskej republiky, </w:t>
      </w:r>
      <w:r w:rsidR="005674C0">
        <w:rPr>
          <w:rFonts w:ascii="Times New Roman" w:hAnsi="Times New Roman" w:cs="Times New Roman"/>
          <w:sz w:val="24"/>
          <w:szCs w:val="24"/>
        </w:rPr>
        <w:t xml:space="preserve">Ministerstva vnútra Slovenskej republiky, </w:t>
      </w:r>
      <w:r>
        <w:rPr>
          <w:rFonts w:ascii="Times New Roman" w:hAnsi="Times New Roman" w:cs="Times New Roman"/>
          <w:sz w:val="24"/>
          <w:szCs w:val="24"/>
        </w:rPr>
        <w:t>Slovenskej spravodajskej služby a Policajného zboru. Dôvodom sú skúsenosti nadobudnuté od spustenia medzirezortného pripomienkového konania (v júni 2021) už len v súvislosti so samostatnou implementáciou nariadenia (EÚ) 2019/452 v platnom znení bez vykonávania pôsobnosti podľa návrhu zákona, prijatím ktorého dôjde k značnému zvýšeniu požiadavky na ľudský kapitál (a prístup ku kvalitným databázam). Zároveň, navýšenie mzdových a kapitálových výdavkov v rámci dotknutej agendy bolo podporené aj praktickými skúsenosťami zdieľanými zo strany členských štátov Európskej únie, ktoré disponujú národnými mechanizmami preverovania zahraničných investícií.</w:t>
      </w:r>
    </w:p>
    <w:p w14:paraId="4818A1B7" w14:textId="77777777" w:rsidR="006C3B20" w:rsidRDefault="006C3B20" w:rsidP="006C3B20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0D24D" w14:textId="7FC44C3B" w:rsidR="006C3B20" w:rsidRDefault="006C3B20" w:rsidP="006C3B20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48">
        <w:rPr>
          <w:rFonts w:ascii="Times New Roman" w:hAnsi="Times New Roman" w:cs="Times New Roman"/>
          <w:sz w:val="24"/>
          <w:szCs w:val="24"/>
        </w:rPr>
        <w:lastRenderedPageBreak/>
        <w:t xml:space="preserve">Pre úplnosť uvádzame, že </w:t>
      </w:r>
      <w:proofErr w:type="spellStart"/>
      <w:r w:rsidRPr="00477A48"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 w:rsidRPr="00477A48">
        <w:rPr>
          <w:rFonts w:ascii="Times New Roman" w:hAnsi="Times New Roman" w:cs="Times New Roman"/>
          <w:sz w:val="24"/>
          <w:szCs w:val="24"/>
        </w:rPr>
        <w:t xml:space="preserve"> konanie k dotknutej pripomienke sa uskutočnilo na úrovni generálnych riaditeľov. </w:t>
      </w:r>
      <w:r w:rsidR="00FE5AF7" w:rsidRPr="00477A48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477A48">
        <w:rPr>
          <w:rFonts w:ascii="Times New Roman" w:hAnsi="Times New Roman" w:cs="Times New Roman"/>
          <w:sz w:val="24"/>
          <w:szCs w:val="24"/>
        </w:rPr>
        <w:t>rozporové</w:t>
      </w:r>
      <w:r w:rsidR="00FE5AF7" w:rsidRPr="00477A4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77A48">
        <w:rPr>
          <w:rFonts w:ascii="Times New Roman" w:hAnsi="Times New Roman" w:cs="Times New Roman"/>
          <w:sz w:val="24"/>
          <w:szCs w:val="24"/>
        </w:rPr>
        <w:t xml:space="preserve"> konani</w:t>
      </w:r>
      <w:r w:rsidR="00FE5AF7" w:rsidRPr="00477A48">
        <w:rPr>
          <w:rFonts w:ascii="Times New Roman" w:hAnsi="Times New Roman" w:cs="Times New Roman"/>
          <w:sz w:val="24"/>
          <w:szCs w:val="24"/>
        </w:rPr>
        <w:t>a</w:t>
      </w:r>
      <w:r w:rsidRPr="00477A48">
        <w:rPr>
          <w:rFonts w:ascii="Times New Roman" w:hAnsi="Times New Roman" w:cs="Times New Roman"/>
          <w:sz w:val="24"/>
          <w:szCs w:val="24"/>
        </w:rPr>
        <w:t xml:space="preserve"> na vyššej úrovni</w:t>
      </w:r>
      <w:r w:rsidR="00FE5AF7" w:rsidRPr="00477A48">
        <w:rPr>
          <w:rFonts w:ascii="Times New Roman" w:hAnsi="Times New Roman" w:cs="Times New Roman"/>
          <w:sz w:val="24"/>
          <w:szCs w:val="24"/>
        </w:rPr>
        <w:t xml:space="preserve"> bolo zo strany</w:t>
      </w:r>
      <w:r w:rsidRPr="00477A48">
        <w:rPr>
          <w:rFonts w:ascii="Times New Roman" w:hAnsi="Times New Roman" w:cs="Times New Roman"/>
          <w:sz w:val="24"/>
          <w:szCs w:val="24"/>
        </w:rPr>
        <w:t xml:space="preserve"> Ministerstv</w:t>
      </w:r>
      <w:r w:rsidR="00FE5AF7" w:rsidRPr="00477A48">
        <w:rPr>
          <w:rFonts w:ascii="Times New Roman" w:hAnsi="Times New Roman" w:cs="Times New Roman"/>
          <w:sz w:val="24"/>
          <w:szCs w:val="24"/>
        </w:rPr>
        <w:t>a</w:t>
      </w:r>
      <w:r w:rsidRPr="00477A48">
        <w:rPr>
          <w:rFonts w:ascii="Times New Roman" w:hAnsi="Times New Roman" w:cs="Times New Roman"/>
          <w:sz w:val="24"/>
          <w:szCs w:val="24"/>
        </w:rPr>
        <w:t xml:space="preserve"> hospodárstva</w:t>
      </w:r>
      <w:r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477A48">
        <w:rPr>
          <w:rFonts w:ascii="Times New Roman" w:hAnsi="Times New Roman" w:cs="Times New Roman"/>
          <w:sz w:val="24"/>
          <w:szCs w:val="24"/>
        </w:rPr>
        <w:t xml:space="preserve">z praktických dôvodov </w:t>
      </w:r>
      <w:r>
        <w:rPr>
          <w:rFonts w:ascii="Times New Roman" w:hAnsi="Times New Roman" w:cs="Times New Roman"/>
          <w:sz w:val="24"/>
          <w:szCs w:val="24"/>
        </w:rPr>
        <w:t>dodatočne upust</w:t>
      </w:r>
      <w:r w:rsidR="00FE5AF7">
        <w:rPr>
          <w:rFonts w:ascii="Times New Roman" w:hAnsi="Times New Roman" w:cs="Times New Roman"/>
          <w:sz w:val="24"/>
          <w:szCs w:val="24"/>
        </w:rPr>
        <w:t>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F54FB" w14:textId="77777777" w:rsidR="003148DB" w:rsidRPr="00ED5593" w:rsidRDefault="003148DB" w:rsidP="003148D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D3650A" w14:textId="4DFBCB3E" w:rsidR="00EB049F" w:rsidRDefault="00EB049F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Asociácia</w:t>
      </w:r>
      <w:r w:rsidRPr="00EB049F">
        <w:rPr>
          <w:rFonts w:ascii="Times New Roman" w:hAnsi="Times New Roman" w:cs="Times New Roman"/>
          <w:b/>
          <w:sz w:val="24"/>
          <w:szCs w:val="24"/>
        </w:rPr>
        <w:t xml:space="preserve"> priemyselných zväzov a dopravy</w:t>
      </w:r>
      <w:r w:rsidRPr="00EB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 w:rsidR="00B529E2">
        <w:rPr>
          <w:rFonts w:ascii="Times New Roman" w:hAnsi="Times New Roman" w:cs="Times New Roman"/>
          <w:sz w:val="24"/>
          <w:szCs w:val="24"/>
        </w:rPr>
        <w:t>latnila dve zásadné pripomienky.</w:t>
      </w:r>
    </w:p>
    <w:p w14:paraId="537B9398" w14:textId="5D38301D" w:rsidR="00EB049F" w:rsidRDefault="00EB049F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zásadná pripomienka bola uplatnená k § 12 návrhu zákon</w:t>
      </w:r>
      <w:r w:rsidR="00B529E2">
        <w:rPr>
          <w:rFonts w:ascii="Times New Roman" w:hAnsi="Times New Roman" w:cs="Times New Roman"/>
          <w:sz w:val="24"/>
          <w:szCs w:val="24"/>
        </w:rPr>
        <w:t>a v znení predloženom do</w:t>
      </w:r>
      <w:r w:rsidR="004D3891">
        <w:rPr>
          <w:rFonts w:ascii="Times New Roman" w:hAnsi="Times New Roman" w:cs="Times New Roman"/>
          <w:sz w:val="24"/>
          <w:szCs w:val="24"/>
        </w:rPr>
        <w:t> </w:t>
      </w:r>
      <w:r w:rsidR="00B529E2">
        <w:rPr>
          <w:rFonts w:ascii="Times New Roman" w:hAnsi="Times New Roman" w:cs="Times New Roman"/>
          <w:sz w:val="24"/>
          <w:szCs w:val="24"/>
        </w:rPr>
        <w:t>medzirezortného pripomienkového ko</w:t>
      </w:r>
      <w:r w:rsidR="00F856BC">
        <w:rPr>
          <w:rFonts w:ascii="Times New Roman" w:hAnsi="Times New Roman" w:cs="Times New Roman"/>
          <w:sz w:val="24"/>
          <w:szCs w:val="24"/>
        </w:rPr>
        <w:t>nania, a to v nasledovnom znení:</w:t>
      </w:r>
      <w:r w:rsidR="00B529E2">
        <w:rPr>
          <w:rFonts w:ascii="Times New Roman" w:hAnsi="Times New Roman" w:cs="Times New Roman"/>
          <w:sz w:val="24"/>
          <w:szCs w:val="24"/>
        </w:rPr>
        <w:t xml:space="preserve"> „</w:t>
      </w:r>
      <w:r w:rsidR="00B529E2" w:rsidRPr="00B529E2">
        <w:rPr>
          <w:rFonts w:ascii="Times New Roman" w:hAnsi="Times New Roman" w:cs="Times New Roman"/>
          <w:sz w:val="24"/>
          <w:szCs w:val="24"/>
        </w:rPr>
        <w:t>V rámci ustanovení upravujúcich Rozhodnutie o zákaze zahraničnej investície navrhujeme doplniť ustanovenie, v</w:t>
      </w:r>
      <w:r w:rsidR="004D3891">
        <w:rPr>
          <w:rFonts w:ascii="Times New Roman" w:hAnsi="Times New Roman" w:cs="Times New Roman"/>
          <w:sz w:val="24"/>
          <w:szCs w:val="24"/>
        </w:rPr>
        <w:t> </w:t>
      </w:r>
      <w:r w:rsidR="00B529E2" w:rsidRPr="00B529E2">
        <w:rPr>
          <w:rFonts w:ascii="Times New Roman" w:hAnsi="Times New Roman" w:cs="Times New Roman"/>
          <w:sz w:val="24"/>
          <w:szCs w:val="24"/>
        </w:rPr>
        <w:t>zmysle ktorého, v prípade, ak MH SR vydá rozhodnutie o zákaze zahraničnej investície, vznikne povinnosť štátu, v prípade ak cieľový subjekt o to prejaví záujem, prevziať na seba záväzok uskutočniť preverovanú zahraničnú investíciu. Odôvodnenie: Sme názoru, že predmetom úpravy návrhu zákona by mal byť aj postup určitého spôsobu „odškodnenia“ dotknutého podniku v prípade, ak MH SR vydá rozhodnutie o zákaze zahraničnej investície. V</w:t>
      </w:r>
      <w:r w:rsidR="004D3891">
        <w:rPr>
          <w:rFonts w:ascii="Times New Roman" w:hAnsi="Times New Roman" w:cs="Times New Roman"/>
          <w:sz w:val="24"/>
          <w:szCs w:val="24"/>
        </w:rPr>
        <w:t> </w:t>
      </w:r>
      <w:r w:rsidR="00B529E2" w:rsidRPr="00B529E2">
        <w:rPr>
          <w:rFonts w:ascii="Times New Roman" w:hAnsi="Times New Roman" w:cs="Times New Roman"/>
          <w:sz w:val="24"/>
          <w:szCs w:val="24"/>
        </w:rPr>
        <w:t>takomto prípade navrhujeme, že ak cieľový podnik o to prejaví záujem, investíciu, ktorú mal pôvodne vykonať/vykonal zahraničný investor prevezme na seba štát.</w:t>
      </w:r>
      <w:r w:rsidR="00B529E2">
        <w:rPr>
          <w:rFonts w:ascii="Times New Roman" w:hAnsi="Times New Roman" w:cs="Times New Roman"/>
          <w:sz w:val="24"/>
          <w:szCs w:val="24"/>
        </w:rPr>
        <w:t>“.</w:t>
      </w:r>
    </w:p>
    <w:p w14:paraId="145FFDCF" w14:textId="0A784BDB" w:rsidR="00B529E2" w:rsidRDefault="00F856BC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Uplatnenej pripomienke nie je možné vyhovieť.</w:t>
      </w:r>
      <w:r w:rsidRPr="00F8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prípade identifikácie ohrozenia alebo narušenia bezpečnosti alebo verejného poriadku bude </w:t>
      </w:r>
      <w:r w:rsidR="00E16412">
        <w:rPr>
          <w:rFonts w:ascii="Times New Roman" w:hAnsi="Times New Roman" w:cs="Times New Roman"/>
          <w:sz w:val="24"/>
          <w:szCs w:val="24"/>
        </w:rPr>
        <w:t xml:space="preserve">snahou povoliť </w:t>
      </w:r>
      <w:r w:rsidR="009F5C0D">
        <w:rPr>
          <w:rFonts w:ascii="Times New Roman" w:hAnsi="Times New Roman" w:cs="Times New Roman"/>
          <w:sz w:val="24"/>
          <w:szCs w:val="24"/>
        </w:rPr>
        <w:t>konkrétn</w:t>
      </w:r>
      <w:r w:rsidR="00E16412">
        <w:rPr>
          <w:rFonts w:ascii="Times New Roman" w:hAnsi="Times New Roman" w:cs="Times New Roman"/>
          <w:sz w:val="24"/>
          <w:szCs w:val="24"/>
        </w:rPr>
        <w:t>u</w:t>
      </w:r>
      <w:r w:rsidR="009F5C0D">
        <w:rPr>
          <w:rFonts w:ascii="Times New Roman" w:hAnsi="Times New Roman" w:cs="Times New Roman"/>
          <w:sz w:val="24"/>
          <w:szCs w:val="24"/>
        </w:rPr>
        <w:t xml:space="preserve"> preverovan</w:t>
      </w:r>
      <w:r w:rsidR="00E1641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zahraničn</w:t>
      </w:r>
      <w:r w:rsidR="00E1641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investíci</w:t>
      </w:r>
      <w:r w:rsidR="00E164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F5C0D">
        <w:rPr>
          <w:rFonts w:ascii="Times New Roman" w:hAnsi="Times New Roman" w:cs="Times New Roman"/>
          <w:sz w:val="24"/>
          <w:szCs w:val="24"/>
        </w:rPr>
        <w:t xml:space="preserve"> určitými tzv. </w:t>
      </w:r>
      <w:proofErr w:type="spellStart"/>
      <w:r w:rsidR="009F5C0D">
        <w:rPr>
          <w:rFonts w:ascii="Times New Roman" w:hAnsi="Times New Roman" w:cs="Times New Roman"/>
          <w:sz w:val="24"/>
          <w:szCs w:val="24"/>
        </w:rPr>
        <w:t>mitigačnými</w:t>
      </w:r>
      <w:proofErr w:type="spellEnd"/>
      <w:r w:rsidR="009F5C0D">
        <w:rPr>
          <w:rFonts w:ascii="Times New Roman" w:hAnsi="Times New Roman" w:cs="Times New Roman"/>
          <w:sz w:val="24"/>
          <w:szCs w:val="24"/>
        </w:rPr>
        <w:t xml:space="preserve"> </w:t>
      </w:r>
      <w:r w:rsidR="00E16412">
        <w:rPr>
          <w:rFonts w:ascii="Times New Roman" w:hAnsi="Times New Roman" w:cs="Times New Roman"/>
          <w:sz w:val="24"/>
          <w:szCs w:val="24"/>
        </w:rPr>
        <w:t>opatreniami</w:t>
      </w:r>
      <w:r w:rsidR="009F5C0D">
        <w:rPr>
          <w:rFonts w:ascii="Times New Roman" w:hAnsi="Times New Roman" w:cs="Times New Roman"/>
          <w:sz w:val="24"/>
          <w:szCs w:val="24"/>
        </w:rPr>
        <w:t xml:space="preserve">. Až v prípade, že identifikované ohrozenie </w:t>
      </w:r>
      <w:r w:rsidR="00E16412">
        <w:rPr>
          <w:rFonts w:ascii="Times New Roman" w:hAnsi="Times New Roman" w:cs="Times New Roman"/>
          <w:sz w:val="24"/>
          <w:szCs w:val="24"/>
        </w:rPr>
        <w:t xml:space="preserve">alebo narušenie </w:t>
      </w:r>
      <w:r w:rsidR="009F5C0D">
        <w:rPr>
          <w:rFonts w:ascii="Times New Roman" w:hAnsi="Times New Roman" w:cs="Times New Roman"/>
          <w:sz w:val="24"/>
          <w:szCs w:val="24"/>
        </w:rPr>
        <w:t xml:space="preserve">nie je možné </w:t>
      </w:r>
      <w:proofErr w:type="spellStart"/>
      <w:r w:rsidR="009F5C0D">
        <w:rPr>
          <w:rFonts w:ascii="Times New Roman" w:hAnsi="Times New Roman" w:cs="Times New Roman"/>
          <w:sz w:val="24"/>
          <w:szCs w:val="24"/>
        </w:rPr>
        <w:t>mitigovať</w:t>
      </w:r>
      <w:proofErr w:type="spellEnd"/>
      <w:r w:rsidR="009F5C0D">
        <w:rPr>
          <w:rFonts w:ascii="Times New Roman" w:hAnsi="Times New Roman" w:cs="Times New Roman"/>
          <w:sz w:val="24"/>
          <w:szCs w:val="24"/>
        </w:rPr>
        <w:t>, zahraničná investícia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C0D">
        <w:rPr>
          <w:rFonts w:ascii="Times New Roman" w:hAnsi="Times New Roman" w:cs="Times New Roman"/>
          <w:sz w:val="24"/>
          <w:szCs w:val="24"/>
        </w:rPr>
        <w:t>zakáže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C0D">
        <w:rPr>
          <w:rFonts w:ascii="Times New Roman" w:hAnsi="Times New Roman" w:cs="Times New Roman"/>
          <w:sz w:val="24"/>
          <w:szCs w:val="24"/>
        </w:rPr>
        <w:t>P</w:t>
      </w:r>
      <w:r w:rsidR="009F5C0D" w:rsidRPr="00F856BC">
        <w:rPr>
          <w:rFonts w:ascii="Times New Roman" w:hAnsi="Times New Roman" w:cs="Times New Roman"/>
          <w:sz w:val="24"/>
          <w:szCs w:val="24"/>
        </w:rPr>
        <w:t xml:space="preserve">rax </w:t>
      </w:r>
      <w:r w:rsidR="009F5C0D">
        <w:rPr>
          <w:rFonts w:ascii="Times New Roman" w:hAnsi="Times New Roman" w:cs="Times New Roman"/>
          <w:sz w:val="24"/>
          <w:szCs w:val="24"/>
        </w:rPr>
        <w:t xml:space="preserve">iných členských štátov Európskej únie, ako aj tretích krajín, ktoré disponujú mechanizmami preverovania zahraničných investícií už dlhšiu dobu, </w:t>
      </w:r>
      <w:r w:rsidR="009F5C0D" w:rsidRPr="00F856BC">
        <w:rPr>
          <w:rFonts w:ascii="Times New Roman" w:hAnsi="Times New Roman" w:cs="Times New Roman"/>
          <w:sz w:val="24"/>
          <w:szCs w:val="24"/>
        </w:rPr>
        <w:t xml:space="preserve">ukazuje, že k zákazu zahraničnej investície </w:t>
      </w:r>
      <w:r w:rsidR="009F5C0D">
        <w:rPr>
          <w:rFonts w:ascii="Times New Roman" w:hAnsi="Times New Roman" w:cs="Times New Roman"/>
          <w:sz w:val="24"/>
          <w:szCs w:val="24"/>
        </w:rPr>
        <w:t>dochádza len v minimálnom počte.</w:t>
      </w:r>
      <w:r w:rsidR="009F5C0D" w:rsidRPr="00F856BC">
        <w:rPr>
          <w:rFonts w:ascii="Times New Roman" w:hAnsi="Times New Roman" w:cs="Times New Roman"/>
          <w:sz w:val="24"/>
          <w:szCs w:val="24"/>
        </w:rPr>
        <w:t xml:space="preserve"> </w:t>
      </w:r>
      <w:r w:rsidR="009F5C0D">
        <w:rPr>
          <w:rFonts w:ascii="Times New Roman" w:hAnsi="Times New Roman" w:cs="Times New Roman"/>
          <w:sz w:val="24"/>
          <w:szCs w:val="24"/>
        </w:rPr>
        <w:t>Napriek tomu, návrh zákona</w:t>
      </w:r>
      <w:r>
        <w:rPr>
          <w:rFonts w:ascii="Times New Roman" w:hAnsi="Times New Roman" w:cs="Times New Roman"/>
          <w:sz w:val="24"/>
          <w:szCs w:val="24"/>
        </w:rPr>
        <w:t xml:space="preserve"> nemôže </w:t>
      </w:r>
      <w:r w:rsidR="009F5C0D">
        <w:rPr>
          <w:rFonts w:ascii="Times New Roman" w:hAnsi="Times New Roman" w:cs="Times New Roman"/>
          <w:sz w:val="24"/>
          <w:szCs w:val="24"/>
        </w:rPr>
        <w:t xml:space="preserve">Slovenskej republike uložiť </w:t>
      </w:r>
      <w:r>
        <w:rPr>
          <w:rFonts w:ascii="Times New Roman" w:hAnsi="Times New Roman" w:cs="Times New Roman"/>
          <w:sz w:val="24"/>
          <w:szCs w:val="24"/>
        </w:rPr>
        <w:t>povinnosť odkúpiť podiel v</w:t>
      </w:r>
      <w:r w:rsidR="009F5C0D">
        <w:rPr>
          <w:rFonts w:ascii="Times New Roman" w:hAnsi="Times New Roman" w:cs="Times New Roman"/>
          <w:sz w:val="24"/>
          <w:szCs w:val="24"/>
        </w:rPr>
        <w:t xml:space="preserve"> spoločnosti, </w:t>
      </w:r>
      <w:r>
        <w:rPr>
          <w:rFonts w:ascii="Times New Roman" w:hAnsi="Times New Roman" w:cs="Times New Roman"/>
          <w:sz w:val="24"/>
          <w:szCs w:val="24"/>
        </w:rPr>
        <w:t>celú spo</w:t>
      </w:r>
      <w:r w:rsidR="009F5C0D">
        <w:rPr>
          <w:rFonts w:ascii="Times New Roman" w:hAnsi="Times New Roman" w:cs="Times New Roman"/>
          <w:sz w:val="24"/>
          <w:szCs w:val="24"/>
        </w:rPr>
        <w:t>ločnosť, či určité aktíva</w:t>
      </w:r>
      <w:r>
        <w:rPr>
          <w:rFonts w:ascii="Times New Roman" w:hAnsi="Times New Roman" w:cs="Times New Roman"/>
          <w:sz w:val="24"/>
          <w:szCs w:val="24"/>
        </w:rPr>
        <w:t xml:space="preserve"> spoločnosti, ktorých predaj zakázal </w:t>
      </w:r>
      <w:r w:rsidR="009F5C0D">
        <w:rPr>
          <w:rFonts w:ascii="Times New Roman" w:hAnsi="Times New Roman" w:cs="Times New Roman"/>
          <w:sz w:val="24"/>
          <w:szCs w:val="24"/>
        </w:rPr>
        <w:t>z dôvodu ochrany bezpečnosti a verejného poriadku. V prvom rade, takýmto zákazom, ak je uložený v súlade so zákonom a v jeho medziach nemôže byť spôsobená</w:t>
      </w:r>
      <w:r w:rsidRPr="00F856BC">
        <w:rPr>
          <w:rFonts w:ascii="Times New Roman" w:hAnsi="Times New Roman" w:cs="Times New Roman"/>
          <w:sz w:val="24"/>
          <w:szCs w:val="24"/>
        </w:rPr>
        <w:t xml:space="preserve"> škoda</w:t>
      </w:r>
      <w:r w:rsidR="009F5C0D">
        <w:rPr>
          <w:rFonts w:ascii="Times New Roman" w:hAnsi="Times New Roman" w:cs="Times New Roman"/>
          <w:sz w:val="24"/>
          <w:szCs w:val="24"/>
        </w:rPr>
        <w:t xml:space="preserve">. </w:t>
      </w:r>
      <w:r w:rsidR="009B0404">
        <w:rPr>
          <w:rFonts w:ascii="Times New Roman" w:hAnsi="Times New Roman" w:cs="Times New Roman"/>
          <w:sz w:val="24"/>
          <w:szCs w:val="24"/>
        </w:rPr>
        <w:t>Po druhé,</w:t>
      </w:r>
      <w:r w:rsidR="003A2012">
        <w:rPr>
          <w:rFonts w:ascii="Times New Roman" w:hAnsi="Times New Roman" w:cs="Times New Roman"/>
          <w:sz w:val="24"/>
          <w:szCs w:val="24"/>
        </w:rPr>
        <w:t xml:space="preserve"> </w:t>
      </w:r>
      <w:r w:rsidR="009F5C0D">
        <w:rPr>
          <w:rFonts w:ascii="Times New Roman" w:hAnsi="Times New Roman" w:cs="Times New Roman"/>
          <w:sz w:val="24"/>
          <w:szCs w:val="24"/>
        </w:rPr>
        <w:t>p</w:t>
      </w:r>
      <w:r w:rsidRPr="00F856BC">
        <w:rPr>
          <w:rFonts w:ascii="Times New Roman" w:hAnsi="Times New Roman" w:cs="Times New Roman"/>
          <w:sz w:val="24"/>
          <w:szCs w:val="24"/>
        </w:rPr>
        <w:t xml:space="preserve">otenciálne dotknuté subjekty budú poznať existujúcu právnu úpravu, pričom táto </w:t>
      </w:r>
      <w:r w:rsidR="009F5C0D">
        <w:rPr>
          <w:rFonts w:ascii="Times New Roman" w:hAnsi="Times New Roman" w:cs="Times New Roman"/>
          <w:sz w:val="24"/>
          <w:szCs w:val="24"/>
        </w:rPr>
        <w:t xml:space="preserve">im </w:t>
      </w:r>
      <w:r w:rsidRPr="00F856BC">
        <w:rPr>
          <w:rFonts w:ascii="Times New Roman" w:hAnsi="Times New Roman" w:cs="Times New Roman"/>
          <w:sz w:val="24"/>
          <w:szCs w:val="24"/>
        </w:rPr>
        <w:t>ponúka priestor na to, aby sa vyhli situácii, kedy by im potenciálne mohol vzniknúť akýkoľvek problém v súvislosti so zákazom uskut</w:t>
      </w:r>
      <w:r w:rsidR="009F5C0D">
        <w:rPr>
          <w:rFonts w:ascii="Times New Roman" w:hAnsi="Times New Roman" w:cs="Times New Roman"/>
          <w:sz w:val="24"/>
          <w:szCs w:val="24"/>
        </w:rPr>
        <w:t>o</w:t>
      </w:r>
      <w:r w:rsidR="003A2012">
        <w:rPr>
          <w:rFonts w:ascii="Times New Roman" w:hAnsi="Times New Roman" w:cs="Times New Roman"/>
          <w:sz w:val="24"/>
          <w:szCs w:val="24"/>
        </w:rPr>
        <w:t xml:space="preserve">čnenej zahraničnej investície – v prípade tzv. nekritických zahraničných investícií má zahraničný investor možnosť a v prípade tzv. kritických zahraničných investícií má zahraničný investor dokonca povinnosť požiadať o preverenie zahraničnej investície pred jej uskutočnením. </w:t>
      </w:r>
      <w:r w:rsidR="009F5C0D">
        <w:rPr>
          <w:rFonts w:ascii="Times New Roman" w:hAnsi="Times New Roman" w:cs="Times New Roman"/>
          <w:sz w:val="24"/>
          <w:szCs w:val="24"/>
        </w:rPr>
        <w:t>P</w:t>
      </w:r>
      <w:r w:rsidRPr="00F856BC">
        <w:rPr>
          <w:rFonts w:ascii="Times New Roman" w:hAnsi="Times New Roman" w:cs="Times New Roman"/>
          <w:sz w:val="24"/>
          <w:szCs w:val="24"/>
        </w:rPr>
        <w:t xml:space="preserve">rax iných krajín, ktoré preverujú zahraničné investície potvrdzuje, že potenciálne dotknuté subjekty </w:t>
      </w:r>
      <w:r w:rsidR="003A2012">
        <w:rPr>
          <w:rFonts w:ascii="Times New Roman" w:hAnsi="Times New Roman" w:cs="Times New Roman"/>
          <w:sz w:val="24"/>
          <w:szCs w:val="24"/>
        </w:rPr>
        <w:t xml:space="preserve">príslušnú legislatívu </w:t>
      </w:r>
      <w:r w:rsidRPr="00F856BC">
        <w:rPr>
          <w:rFonts w:ascii="Times New Roman" w:hAnsi="Times New Roman" w:cs="Times New Roman"/>
          <w:sz w:val="24"/>
          <w:szCs w:val="24"/>
        </w:rPr>
        <w:t>poznajú</w:t>
      </w:r>
      <w:r w:rsidR="003A2012">
        <w:rPr>
          <w:rFonts w:ascii="Times New Roman" w:hAnsi="Times New Roman" w:cs="Times New Roman"/>
          <w:sz w:val="24"/>
          <w:szCs w:val="24"/>
        </w:rPr>
        <w:t xml:space="preserve">; </w:t>
      </w:r>
      <w:r w:rsidRPr="00F856BC">
        <w:rPr>
          <w:rFonts w:ascii="Times New Roman" w:hAnsi="Times New Roman" w:cs="Times New Roman"/>
          <w:sz w:val="24"/>
          <w:szCs w:val="24"/>
        </w:rPr>
        <w:t xml:space="preserve">pred uskutočnením zahraničnej </w:t>
      </w:r>
      <w:r w:rsidR="003A2012">
        <w:rPr>
          <w:rFonts w:ascii="Times New Roman" w:hAnsi="Times New Roman" w:cs="Times New Roman"/>
          <w:sz w:val="24"/>
          <w:szCs w:val="24"/>
        </w:rPr>
        <w:t xml:space="preserve">investície </w:t>
      </w:r>
      <w:r w:rsidRPr="00F856BC">
        <w:rPr>
          <w:rFonts w:ascii="Times New Roman" w:hAnsi="Times New Roman" w:cs="Times New Roman"/>
          <w:sz w:val="24"/>
          <w:szCs w:val="24"/>
        </w:rPr>
        <w:t xml:space="preserve">realizujú rozsiahle </w:t>
      </w:r>
      <w:proofErr w:type="spellStart"/>
      <w:r w:rsidRPr="00F856B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F85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6BC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 w:rsidRPr="00F856BC">
        <w:rPr>
          <w:rFonts w:ascii="Times New Roman" w:hAnsi="Times New Roman" w:cs="Times New Roman"/>
          <w:sz w:val="24"/>
          <w:szCs w:val="24"/>
        </w:rPr>
        <w:t xml:space="preserve"> za účelom zistenia všetkých povolení, ktoré potrebujú v</w:t>
      </w:r>
      <w:r w:rsidR="003A2012">
        <w:rPr>
          <w:rFonts w:ascii="Times New Roman" w:hAnsi="Times New Roman" w:cs="Times New Roman"/>
          <w:sz w:val="24"/>
          <w:szCs w:val="24"/>
        </w:rPr>
        <w:t> Európskej únii</w:t>
      </w:r>
      <w:r w:rsidRPr="00F856BC">
        <w:rPr>
          <w:rFonts w:ascii="Times New Roman" w:hAnsi="Times New Roman" w:cs="Times New Roman"/>
          <w:sz w:val="24"/>
          <w:szCs w:val="24"/>
        </w:rPr>
        <w:t xml:space="preserve"> (aj mimo </w:t>
      </w:r>
      <w:r w:rsidR="003A2012">
        <w:rPr>
          <w:rFonts w:ascii="Times New Roman" w:hAnsi="Times New Roman" w:cs="Times New Roman"/>
          <w:sz w:val="24"/>
          <w:szCs w:val="24"/>
        </w:rPr>
        <w:t xml:space="preserve">nej). </w:t>
      </w:r>
      <w:r w:rsidR="007C364C">
        <w:rPr>
          <w:rFonts w:ascii="Times New Roman" w:hAnsi="Times New Roman" w:cs="Times New Roman"/>
          <w:sz w:val="24"/>
          <w:szCs w:val="24"/>
        </w:rPr>
        <w:t xml:space="preserve">Zároveň, </w:t>
      </w:r>
      <w:r w:rsidR="005C600F">
        <w:rPr>
          <w:rFonts w:ascii="Times New Roman" w:hAnsi="Times New Roman" w:cs="Times New Roman"/>
          <w:sz w:val="24"/>
          <w:szCs w:val="24"/>
        </w:rPr>
        <w:t xml:space="preserve">prax ukazuje, že </w:t>
      </w:r>
      <w:r w:rsidR="007C364C">
        <w:rPr>
          <w:rFonts w:ascii="Times New Roman" w:hAnsi="Times New Roman" w:cs="Times New Roman"/>
          <w:sz w:val="24"/>
          <w:szCs w:val="24"/>
        </w:rPr>
        <w:t xml:space="preserve">pri plánovaní </w:t>
      </w:r>
      <w:r w:rsidR="005C600F">
        <w:rPr>
          <w:rFonts w:ascii="Times New Roman" w:hAnsi="Times New Roman" w:cs="Times New Roman"/>
          <w:sz w:val="24"/>
          <w:szCs w:val="24"/>
        </w:rPr>
        <w:t xml:space="preserve">prevažnej väčšiny </w:t>
      </w:r>
      <w:r w:rsidR="007C364C" w:rsidRPr="007C364C">
        <w:rPr>
          <w:rFonts w:ascii="Times New Roman" w:hAnsi="Times New Roman" w:cs="Times New Roman"/>
          <w:sz w:val="24"/>
          <w:szCs w:val="24"/>
        </w:rPr>
        <w:t>zahraničných investícií sa s</w:t>
      </w:r>
      <w:r w:rsidR="005C600F">
        <w:rPr>
          <w:rFonts w:ascii="Times New Roman" w:hAnsi="Times New Roman" w:cs="Times New Roman"/>
          <w:sz w:val="24"/>
          <w:szCs w:val="24"/>
        </w:rPr>
        <w:t xml:space="preserve"> uskutočnením investície (napr. prostredníctvom odloženia </w:t>
      </w:r>
      <w:r w:rsidR="007C364C" w:rsidRPr="007C364C">
        <w:rPr>
          <w:rFonts w:ascii="Times New Roman" w:hAnsi="Times New Roman" w:cs="Times New Roman"/>
          <w:sz w:val="24"/>
          <w:szCs w:val="24"/>
        </w:rPr>
        <w:t>účinnos</w:t>
      </w:r>
      <w:r w:rsidR="005C600F">
        <w:rPr>
          <w:rFonts w:ascii="Times New Roman" w:hAnsi="Times New Roman" w:cs="Times New Roman"/>
          <w:sz w:val="24"/>
          <w:szCs w:val="24"/>
        </w:rPr>
        <w:t>ti</w:t>
      </w:r>
      <w:r w:rsidR="007C364C" w:rsidRPr="007C364C">
        <w:rPr>
          <w:rFonts w:ascii="Times New Roman" w:hAnsi="Times New Roman" w:cs="Times New Roman"/>
          <w:sz w:val="24"/>
          <w:szCs w:val="24"/>
        </w:rPr>
        <w:t xml:space="preserve"> zmluvy</w:t>
      </w:r>
      <w:r w:rsidR="005C600F">
        <w:rPr>
          <w:rFonts w:ascii="Times New Roman" w:hAnsi="Times New Roman" w:cs="Times New Roman"/>
          <w:sz w:val="24"/>
          <w:szCs w:val="24"/>
        </w:rPr>
        <w:t>)</w:t>
      </w:r>
      <w:r w:rsidR="007C364C" w:rsidRPr="007C364C">
        <w:rPr>
          <w:rFonts w:ascii="Times New Roman" w:hAnsi="Times New Roman" w:cs="Times New Roman"/>
          <w:sz w:val="24"/>
          <w:szCs w:val="24"/>
        </w:rPr>
        <w:t xml:space="preserve"> čaká na vydanie povolenia, pričom o preverenie požiada investor dobrovoľne.</w:t>
      </w:r>
      <w:r w:rsidR="007C364C">
        <w:rPr>
          <w:rFonts w:ascii="Times New Roman" w:hAnsi="Times New Roman" w:cs="Times New Roman"/>
          <w:sz w:val="24"/>
          <w:szCs w:val="24"/>
        </w:rPr>
        <w:t xml:space="preserve"> </w:t>
      </w:r>
      <w:r w:rsidR="002F7B04">
        <w:rPr>
          <w:rFonts w:ascii="Times New Roman" w:hAnsi="Times New Roman" w:cs="Times New Roman"/>
          <w:sz w:val="24"/>
          <w:szCs w:val="24"/>
        </w:rPr>
        <w:t>Po tretie</w:t>
      </w:r>
      <w:r w:rsidR="003A2012">
        <w:rPr>
          <w:rFonts w:ascii="Times New Roman" w:hAnsi="Times New Roman" w:cs="Times New Roman"/>
          <w:sz w:val="24"/>
          <w:szCs w:val="24"/>
        </w:rPr>
        <w:t xml:space="preserve">, </w:t>
      </w:r>
      <w:r w:rsidRPr="00F856BC">
        <w:rPr>
          <w:rFonts w:ascii="Times New Roman" w:hAnsi="Times New Roman" w:cs="Times New Roman"/>
          <w:sz w:val="24"/>
          <w:szCs w:val="24"/>
        </w:rPr>
        <w:t xml:space="preserve">preverovanie </w:t>
      </w:r>
      <w:r w:rsidR="009B0404">
        <w:rPr>
          <w:rFonts w:ascii="Times New Roman" w:hAnsi="Times New Roman" w:cs="Times New Roman"/>
          <w:sz w:val="24"/>
          <w:szCs w:val="24"/>
        </w:rPr>
        <w:t xml:space="preserve">investícií ako také nie je </w:t>
      </w:r>
      <w:r w:rsidR="00DF25F2">
        <w:rPr>
          <w:rFonts w:ascii="Times New Roman" w:hAnsi="Times New Roman" w:cs="Times New Roman"/>
          <w:sz w:val="24"/>
          <w:szCs w:val="24"/>
        </w:rPr>
        <w:t>v Slovenskej republike</w:t>
      </w:r>
      <w:r w:rsidR="005C600F">
        <w:rPr>
          <w:rFonts w:ascii="Times New Roman" w:hAnsi="Times New Roman" w:cs="Times New Roman"/>
          <w:sz w:val="24"/>
          <w:szCs w:val="24"/>
        </w:rPr>
        <w:t xml:space="preserve"> novinkou</w:t>
      </w:r>
      <w:r w:rsidR="009B0404">
        <w:rPr>
          <w:rFonts w:ascii="Times New Roman" w:hAnsi="Times New Roman" w:cs="Times New Roman"/>
          <w:sz w:val="24"/>
          <w:szCs w:val="24"/>
        </w:rPr>
        <w:t>. Z</w:t>
      </w:r>
      <w:r w:rsidRPr="00F856BC">
        <w:rPr>
          <w:rFonts w:ascii="Times New Roman" w:hAnsi="Times New Roman" w:cs="Times New Roman"/>
          <w:sz w:val="24"/>
          <w:szCs w:val="24"/>
        </w:rPr>
        <w:t xml:space="preserve">a iným účelom preveruje napr. aj </w:t>
      </w:r>
      <w:r w:rsidR="009B0404">
        <w:rPr>
          <w:rFonts w:ascii="Times New Roman" w:hAnsi="Times New Roman" w:cs="Times New Roman"/>
          <w:sz w:val="24"/>
          <w:szCs w:val="24"/>
        </w:rPr>
        <w:t>Národná banka Slovenska</w:t>
      </w:r>
      <w:r w:rsidRPr="00F856BC">
        <w:rPr>
          <w:rFonts w:ascii="Times New Roman" w:hAnsi="Times New Roman" w:cs="Times New Roman"/>
          <w:sz w:val="24"/>
          <w:szCs w:val="24"/>
        </w:rPr>
        <w:t xml:space="preserve"> a</w:t>
      </w:r>
      <w:r w:rsidR="009B0404">
        <w:rPr>
          <w:rFonts w:ascii="Times New Roman" w:hAnsi="Times New Roman" w:cs="Times New Roman"/>
          <w:sz w:val="24"/>
          <w:szCs w:val="24"/>
        </w:rPr>
        <w:t> </w:t>
      </w:r>
      <w:r w:rsidRPr="00F856BC">
        <w:rPr>
          <w:rFonts w:ascii="Times New Roman" w:hAnsi="Times New Roman" w:cs="Times New Roman"/>
          <w:sz w:val="24"/>
          <w:szCs w:val="24"/>
        </w:rPr>
        <w:t>P</w:t>
      </w:r>
      <w:r w:rsidR="009B0404">
        <w:rPr>
          <w:rFonts w:ascii="Times New Roman" w:hAnsi="Times New Roman" w:cs="Times New Roman"/>
          <w:sz w:val="24"/>
          <w:szCs w:val="24"/>
        </w:rPr>
        <w:t>rotimonopolný úrad Slovenskej republiky</w:t>
      </w:r>
      <w:r w:rsidRPr="00F856BC">
        <w:rPr>
          <w:rFonts w:ascii="Times New Roman" w:hAnsi="Times New Roman" w:cs="Times New Roman"/>
          <w:sz w:val="24"/>
          <w:szCs w:val="24"/>
        </w:rPr>
        <w:t>,</w:t>
      </w:r>
      <w:r w:rsidR="009B0404">
        <w:rPr>
          <w:rFonts w:ascii="Times New Roman" w:hAnsi="Times New Roman" w:cs="Times New Roman"/>
          <w:sz w:val="24"/>
          <w:szCs w:val="24"/>
        </w:rPr>
        <w:t xml:space="preserve"> pričom v právnej úprave</w:t>
      </w:r>
      <w:r w:rsidR="00DF25F2">
        <w:rPr>
          <w:rFonts w:ascii="Times New Roman" w:hAnsi="Times New Roman" w:cs="Times New Roman"/>
          <w:sz w:val="24"/>
          <w:szCs w:val="24"/>
        </w:rPr>
        <w:t>,</w:t>
      </w:r>
      <w:r w:rsidR="009B0404">
        <w:rPr>
          <w:rFonts w:ascii="Times New Roman" w:hAnsi="Times New Roman" w:cs="Times New Roman"/>
          <w:sz w:val="24"/>
          <w:szCs w:val="24"/>
        </w:rPr>
        <w:t xml:space="preserve"> ktorou sú viazané</w:t>
      </w:r>
      <w:r w:rsidR="00DF25F2">
        <w:rPr>
          <w:rFonts w:ascii="Times New Roman" w:hAnsi="Times New Roman" w:cs="Times New Roman"/>
          <w:sz w:val="24"/>
          <w:szCs w:val="24"/>
        </w:rPr>
        <w:t>,</w:t>
      </w:r>
      <w:r w:rsidR="009B0404">
        <w:rPr>
          <w:rFonts w:ascii="Times New Roman" w:hAnsi="Times New Roman" w:cs="Times New Roman"/>
          <w:sz w:val="24"/>
          <w:szCs w:val="24"/>
        </w:rPr>
        <w:t xml:space="preserve"> nie je ustanovená povinnosť Slovenskej republiky vykonať kroky, ktoré by určitým spôsobom kompenzovali uplatnenie zákona. </w:t>
      </w:r>
      <w:r w:rsidR="00DF25F2">
        <w:rPr>
          <w:rFonts w:ascii="Times New Roman" w:hAnsi="Times New Roman" w:cs="Times New Roman"/>
          <w:sz w:val="24"/>
          <w:szCs w:val="24"/>
        </w:rPr>
        <w:t>V neposlednom rade</w:t>
      </w:r>
      <w:r w:rsidR="009B0404">
        <w:rPr>
          <w:rFonts w:ascii="Times New Roman" w:hAnsi="Times New Roman" w:cs="Times New Roman"/>
          <w:sz w:val="24"/>
          <w:szCs w:val="24"/>
        </w:rPr>
        <w:t xml:space="preserve">, akceptácia uplatnenej pripomienky by mohla viesť k vzniku určitých schém, ktorých cieľom by bolo zabezpečenie kúpy podielu, celého podniku alebo </w:t>
      </w:r>
      <w:r w:rsidR="002F7B04">
        <w:rPr>
          <w:rFonts w:ascii="Times New Roman" w:hAnsi="Times New Roman" w:cs="Times New Roman"/>
          <w:sz w:val="24"/>
          <w:szCs w:val="24"/>
        </w:rPr>
        <w:t>určitých</w:t>
      </w:r>
      <w:r w:rsidR="009B0404">
        <w:rPr>
          <w:rFonts w:ascii="Times New Roman" w:hAnsi="Times New Roman" w:cs="Times New Roman"/>
          <w:sz w:val="24"/>
          <w:szCs w:val="24"/>
        </w:rPr>
        <w:t xml:space="preserve"> aktív </w:t>
      </w:r>
      <w:r w:rsidR="002F7B04">
        <w:rPr>
          <w:rFonts w:ascii="Times New Roman" w:hAnsi="Times New Roman" w:cs="Times New Roman"/>
          <w:sz w:val="24"/>
          <w:szCs w:val="24"/>
        </w:rPr>
        <w:t>štátom</w:t>
      </w:r>
      <w:r w:rsidR="009B0404">
        <w:rPr>
          <w:rFonts w:ascii="Times New Roman" w:hAnsi="Times New Roman" w:cs="Times New Roman"/>
          <w:sz w:val="24"/>
          <w:szCs w:val="24"/>
        </w:rPr>
        <w:t xml:space="preserve">. Dodávame tiež, </w:t>
      </w:r>
      <w:r w:rsidR="002F7B04">
        <w:rPr>
          <w:rFonts w:ascii="Times New Roman" w:hAnsi="Times New Roman" w:cs="Times New Roman"/>
          <w:sz w:val="24"/>
          <w:szCs w:val="24"/>
        </w:rPr>
        <w:t>že akceptovanie uplatnenej pripomienky by v budúcnosti pravdepodobne viedlo k značným negatívnym vplyvom na rozpočet verejnej správy, a to nie len v súvislosti so samotným „odkúpení</w:t>
      </w:r>
      <w:r w:rsidR="00AB09E6">
        <w:rPr>
          <w:rFonts w:ascii="Times New Roman" w:hAnsi="Times New Roman" w:cs="Times New Roman"/>
          <w:sz w:val="24"/>
          <w:szCs w:val="24"/>
        </w:rPr>
        <w:t>m“ aktív</w:t>
      </w:r>
      <w:r w:rsidR="002F7B04">
        <w:rPr>
          <w:rFonts w:ascii="Times New Roman" w:hAnsi="Times New Roman" w:cs="Times New Roman"/>
          <w:sz w:val="24"/>
          <w:szCs w:val="24"/>
        </w:rPr>
        <w:t xml:space="preserve"> ale aj s </w:t>
      </w:r>
      <w:r w:rsidR="00AB09E6">
        <w:rPr>
          <w:rFonts w:ascii="Times New Roman" w:hAnsi="Times New Roman" w:cs="Times New Roman"/>
          <w:sz w:val="24"/>
          <w:szCs w:val="24"/>
        </w:rPr>
        <w:t>ich</w:t>
      </w:r>
      <w:r w:rsidR="002F7B04">
        <w:rPr>
          <w:rFonts w:ascii="Times New Roman" w:hAnsi="Times New Roman" w:cs="Times New Roman"/>
          <w:sz w:val="24"/>
          <w:szCs w:val="24"/>
        </w:rPr>
        <w:t xml:space="preserve"> následnou správou. </w:t>
      </w:r>
    </w:p>
    <w:p w14:paraId="297265FB" w14:textId="4C34DC8E" w:rsidR="00EB049F" w:rsidRDefault="00B529E2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zásadná pripomienka bola uplatnená k § 31 ods. 5 </w:t>
      </w:r>
      <w:r w:rsidR="00104108">
        <w:rPr>
          <w:rFonts w:ascii="Times New Roman" w:hAnsi="Times New Roman" w:cs="Times New Roman"/>
          <w:sz w:val="24"/>
          <w:szCs w:val="24"/>
        </w:rPr>
        <w:t xml:space="preserve">prvej vete </w:t>
      </w:r>
      <w:r>
        <w:rPr>
          <w:rFonts w:ascii="Times New Roman" w:hAnsi="Times New Roman" w:cs="Times New Roman"/>
          <w:sz w:val="24"/>
          <w:szCs w:val="24"/>
        </w:rPr>
        <w:t>návrhu zákona v znení predloženom do medzirezortného pripomienkového konania, a to v nasledovnom znení: „</w:t>
      </w:r>
      <w:r w:rsidRPr="00B529E2">
        <w:rPr>
          <w:rFonts w:ascii="Times New Roman" w:hAnsi="Times New Roman" w:cs="Times New Roman"/>
          <w:sz w:val="24"/>
          <w:szCs w:val="24"/>
        </w:rPr>
        <w:t xml:space="preserve">Navrhujeme predmetné ustanovenie preformulovať tak, aby voči rozhodnutiam ministerstva </w:t>
      </w:r>
      <w:r w:rsidRPr="00B529E2">
        <w:rPr>
          <w:rFonts w:ascii="Times New Roman" w:hAnsi="Times New Roman" w:cs="Times New Roman"/>
          <w:sz w:val="24"/>
          <w:szCs w:val="24"/>
        </w:rPr>
        <w:lastRenderedPageBreak/>
        <w:t>podľa § 10 až 12 bol prípustný rozklad do 15 dní odo dňa doručenia rozhodnutia. Odôvodnenie: Nesúhlasíme s predmetným ustanovením, v zmysle ktorého proti rozhodnutiam ministerstva podľa § 10 až 12 nie je prípustný rozklad, t. j. právoplatnými a vykonateľnými sa stávajú dňom doručenia. Vnímame, že v zmysle § 29 ods. 6 rozhodnutia vydané ministerstvom podľa tohto zákona sú preskúmateľné súdom prostredníctvom správnej žaloby, ktorú môže podať zahraničný investor alebo cieľový subjekt. Avšak vzhľadom na zdĺhavosť a nákladovosť súdnych konaní sme názoru, že voči rozhodnutiu ministerstva by mal byť prípustný riadny opravný prostriedok. Taktiež je potrebné uviesť, že kým rozklad ma suspenzívny účinok, v</w:t>
      </w:r>
      <w:r w:rsidR="007C364C">
        <w:rPr>
          <w:rFonts w:ascii="Times New Roman" w:hAnsi="Times New Roman" w:cs="Times New Roman"/>
          <w:sz w:val="24"/>
          <w:szCs w:val="24"/>
        </w:rPr>
        <w:t> </w:t>
      </w:r>
      <w:r w:rsidRPr="00B529E2">
        <w:rPr>
          <w:rFonts w:ascii="Times New Roman" w:hAnsi="Times New Roman" w:cs="Times New Roman"/>
          <w:sz w:val="24"/>
          <w:szCs w:val="24"/>
        </w:rPr>
        <w:t>prípade správnej žaloby tomu tak vo všeobecnosti nie je. Zá</w:t>
      </w:r>
      <w:r w:rsidR="007C364C">
        <w:rPr>
          <w:rFonts w:ascii="Times New Roman" w:hAnsi="Times New Roman" w:cs="Times New Roman"/>
          <w:sz w:val="24"/>
          <w:szCs w:val="24"/>
        </w:rPr>
        <w:t>roveň si dovoľujeme poukázať na </w:t>
      </w:r>
      <w:r w:rsidRPr="00B529E2">
        <w:rPr>
          <w:rFonts w:ascii="Times New Roman" w:hAnsi="Times New Roman" w:cs="Times New Roman"/>
          <w:sz w:val="24"/>
          <w:szCs w:val="24"/>
        </w:rPr>
        <w:t>Článok 3 ods. 5 nariadenia, v zmysle ktorého zahraniční investori a dotknuté podniky majú možnosť podať opravné prostriedky proti rozhodnutiam vnútroštátnych orgánov o preverení.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8FE2CC7" w14:textId="7935B646" w:rsidR="002D4324" w:rsidRDefault="002F7B04" w:rsidP="003B65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druhej uplatnenej zásadnej pripomienke nie je možné vyhovieť. P</w:t>
      </w:r>
      <w:r w:rsidRPr="002F7B04">
        <w:rPr>
          <w:rFonts w:ascii="Times New Roman" w:hAnsi="Times New Roman" w:cs="Times New Roman"/>
          <w:sz w:val="24"/>
          <w:szCs w:val="24"/>
        </w:rPr>
        <w:t>odanie rozkladu voči rozhodnutiu o povolení zahraničnej investície nie je účelné. Zahraničný investor by sa tak bránil voči rozhodnutiu, ktorým bo</w:t>
      </w:r>
      <w:r>
        <w:rPr>
          <w:rFonts w:ascii="Times New Roman" w:hAnsi="Times New Roman" w:cs="Times New Roman"/>
          <w:sz w:val="24"/>
          <w:szCs w:val="24"/>
        </w:rPr>
        <w:t>la jeho investícia povolená (</w:t>
      </w:r>
      <w:r w:rsidRPr="002F7B04">
        <w:rPr>
          <w:rFonts w:ascii="Times New Roman" w:hAnsi="Times New Roman" w:cs="Times New Roman"/>
          <w:sz w:val="24"/>
          <w:szCs w:val="24"/>
        </w:rPr>
        <w:t>v celom rozsahu odobrená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F7B04">
        <w:rPr>
          <w:rFonts w:ascii="Times New Roman" w:hAnsi="Times New Roman" w:cs="Times New Roman"/>
          <w:sz w:val="24"/>
          <w:szCs w:val="24"/>
        </w:rPr>
        <w:t>Prípadný rozklad by sa podával predovšetkým k rozhodnutiam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B04">
        <w:rPr>
          <w:rFonts w:ascii="Times New Roman" w:hAnsi="Times New Roman" w:cs="Times New Roman"/>
          <w:sz w:val="24"/>
          <w:szCs w:val="24"/>
        </w:rPr>
        <w:t>zákaze</w:t>
      </w:r>
      <w:r>
        <w:rPr>
          <w:rFonts w:ascii="Times New Roman" w:hAnsi="Times New Roman" w:cs="Times New Roman"/>
          <w:sz w:val="24"/>
          <w:szCs w:val="24"/>
        </w:rPr>
        <w:t xml:space="preserve"> zahraničnej investície</w:t>
      </w:r>
      <w:r w:rsidRPr="002F7B04">
        <w:rPr>
          <w:rFonts w:ascii="Times New Roman" w:hAnsi="Times New Roman" w:cs="Times New Roman"/>
          <w:sz w:val="24"/>
          <w:szCs w:val="24"/>
        </w:rPr>
        <w:t xml:space="preserve">, ku ktorým by </w:t>
      </w:r>
      <w:r>
        <w:rPr>
          <w:rFonts w:ascii="Times New Roman" w:hAnsi="Times New Roman" w:cs="Times New Roman"/>
          <w:sz w:val="24"/>
          <w:szCs w:val="24"/>
        </w:rPr>
        <w:t xml:space="preserve">však malo dôjsť ak tak zriedka – zákaz na základe návrhu zákona </w:t>
      </w:r>
      <w:r w:rsidR="000D73F5">
        <w:rPr>
          <w:rFonts w:ascii="Times New Roman" w:hAnsi="Times New Roman" w:cs="Times New Roman"/>
          <w:sz w:val="24"/>
          <w:szCs w:val="24"/>
        </w:rPr>
        <w:t>by mal predstavovať úplne</w:t>
      </w:r>
      <w:r>
        <w:rPr>
          <w:rFonts w:ascii="Times New Roman" w:hAnsi="Times New Roman" w:cs="Times New Roman"/>
          <w:sz w:val="24"/>
          <w:szCs w:val="24"/>
        </w:rPr>
        <w:t xml:space="preserve"> posl</w:t>
      </w:r>
      <w:r w:rsidR="000D73F5">
        <w:rPr>
          <w:rFonts w:ascii="Times New Roman" w:hAnsi="Times New Roman" w:cs="Times New Roman"/>
          <w:sz w:val="24"/>
          <w:szCs w:val="24"/>
        </w:rPr>
        <w:t>edný prípustný</w:t>
      </w:r>
      <w:r w:rsidRPr="002F7B04">
        <w:rPr>
          <w:rFonts w:ascii="Times New Roman" w:hAnsi="Times New Roman" w:cs="Times New Roman"/>
          <w:sz w:val="24"/>
          <w:szCs w:val="24"/>
        </w:rPr>
        <w:t xml:space="preserve"> </w:t>
      </w:r>
      <w:r w:rsidR="000D73F5">
        <w:rPr>
          <w:rFonts w:ascii="Times New Roman" w:hAnsi="Times New Roman" w:cs="Times New Roman"/>
          <w:sz w:val="24"/>
          <w:szCs w:val="24"/>
        </w:rPr>
        <w:t>prostriedok na ochranu</w:t>
      </w:r>
      <w:r>
        <w:rPr>
          <w:rFonts w:ascii="Times New Roman" w:hAnsi="Times New Roman" w:cs="Times New Roman"/>
          <w:sz w:val="24"/>
          <w:szCs w:val="24"/>
        </w:rPr>
        <w:t xml:space="preserve"> bezpečnosti a verejného poriadk</w:t>
      </w:r>
      <w:r w:rsidR="000D73F5">
        <w:rPr>
          <w:rFonts w:ascii="Times New Roman" w:hAnsi="Times New Roman" w:cs="Times New Roman"/>
          <w:sz w:val="24"/>
          <w:szCs w:val="24"/>
        </w:rPr>
        <w:t>u, nakoľko primárne sa uplatnia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F5">
        <w:rPr>
          <w:rFonts w:ascii="Times New Roman" w:hAnsi="Times New Roman" w:cs="Times New Roman"/>
          <w:sz w:val="24"/>
          <w:szCs w:val="24"/>
        </w:rPr>
        <w:t xml:space="preserve">sektorové </w:t>
      </w:r>
      <w:r>
        <w:rPr>
          <w:rFonts w:ascii="Times New Roman" w:hAnsi="Times New Roman" w:cs="Times New Roman"/>
          <w:sz w:val="24"/>
          <w:szCs w:val="24"/>
        </w:rPr>
        <w:t xml:space="preserve">opatrenia </w:t>
      </w:r>
      <w:r w:rsidR="000D73F5">
        <w:rPr>
          <w:rFonts w:ascii="Times New Roman" w:hAnsi="Times New Roman" w:cs="Times New Roman"/>
          <w:sz w:val="24"/>
          <w:szCs w:val="24"/>
        </w:rPr>
        <w:t>upravené v sektorových predpisoch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D73F5">
        <w:rPr>
          <w:rFonts w:ascii="Times New Roman" w:hAnsi="Times New Roman" w:cs="Times New Roman"/>
          <w:sz w:val="24"/>
          <w:szCs w:val="24"/>
        </w:rPr>
        <w:t> ak tieto nie sú postačujúce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73F5">
        <w:rPr>
          <w:rFonts w:ascii="Times New Roman" w:hAnsi="Times New Roman" w:cs="Times New Roman"/>
          <w:sz w:val="24"/>
          <w:szCs w:val="24"/>
        </w:rPr>
        <w:t>vznikne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F5">
        <w:rPr>
          <w:rFonts w:ascii="Times New Roman" w:hAnsi="Times New Roman" w:cs="Times New Roman"/>
          <w:sz w:val="24"/>
          <w:szCs w:val="24"/>
        </w:rPr>
        <w:t>potreba</w:t>
      </w:r>
      <w:r>
        <w:rPr>
          <w:rFonts w:ascii="Times New Roman" w:hAnsi="Times New Roman" w:cs="Times New Roman"/>
          <w:sz w:val="24"/>
          <w:szCs w:val="24"/>
        </w:rPr>
        <w:t xml:space="preserve"> adresovania bezpečnostného rizika na základe návrhu zákona</w:t>
      </w:r>
      <w:r w:rsidR="000D7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prednostne </w:t>
      </w:r>
      <w:r w:rsidR="000D73F5">
        <w:rPr>
          <w:rFonts w:ascii="Times New Roman" w:hAnsi="Times New Roman" w:cs="Times New Roman"/>
          <w:sz w:val="24"/>
          <w:szCs w:val="24"/>
        </w:rPr>
        <w:t>by sa malo uplatniť</w:t>
      </w:r>
      <w:r>
        <w:rPr>
          <w:rFonts w:ascii="Times New Roman" w:hAnsi="Times New Roman" w:cs="Times New Roman"/>
          <w:sz w:val="24"/>
          <w:szCs w:val="24"/>
        </w:rPr>
        <w:t xml:space="preserve"> podmienečné povolenie zahranične</w:t>
      </w:r>
      <w:r w:rsidR="000D73F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investície</w:t>
      </w:r>
      <w:r w:rsidR="000D73F5">
        <w:rPr>
          <w:rFonts w:ascii="Times New Roman" w:hAnsi="Times New Roman" w:cs="Times New Roman"/>
          <w:sz w:val="24"/>
          <w:szCs w:val="24"/>
        </w:rPr>
        <w:t xml:space="preserve"> (ak riziko, resp. ohrozenie možno účinne </w:t>
      </w:r>
      <w:proofErr w:type="spellStart"/>
      <w:r w:rsidR="000D73F5">
        <w:rPr>
          <w:rFonts w:ascii="Times New Roman" w:hAnsi="Times New Roman" w:cs="Times New Roman"/>
          <w:sz w:val="24"/>
          <w:szCs w:val="24"/>
        </w:rPr>
        <w:t>mitigovať</w:t>
      </w:r>
      <w:proofErr w:type="spellEnd"/>
      <w:r w:rsidRPr="002F7B04">
        <w:rPr>
          <w:rFonts w:ascii="Times New Roman" w:hAnsi="Times New Roman" w:cs="Times New Roman"/>
          <w:sz w:val="24"/>
          <w:szCs w:val="24"/>
        </w:rPr>
        <w:t>)</w:t>
      </w:r>
      <w:r w:rsidR="007C364C">
        <w:rPr>
          <w:rFonts w:ascii="Times New Roman" w:hAnsi="Times New Roman" w:cs="Times New Roman"/>
          <w:sz w:val="24"/>
          <w:szCs w:val="24"/>
        </w:rPr>
        <w:t>, v prípade ktorého</w:t>
      </w:r>
      <w:r w:rsidR="007C364C" w:rsidRPr="007C364C">
        <w:rPr>
          <w:rFonts w:ascii="Times New Roman" w:hAnsi="Times New Roman" w:cs="Times New Roman"/>
          <w:sz w:val="24"/>
          <w:szCs w:val="24"/>
        </w:rPr>
        <w:t xml:space="preserve"> zahraničný investor </w:t>
      </w:r>
      <w:proofErr w:type="spellStart"/>
      <w:r w:rsidR="007C364C" w:rsidRPr="007C364C">
        <w:rPr>
          <w:rFonts w:ascii="Times New Roman" w:hAnsi="Times New Roman" w:cs="Times New Roman"/>
          <w:sz w:val="24"/>
          <w:szCs w:val="24"/>
        </w:rPr>
        <w:t>nerozporuje</w:t>
      </w:r>
      <w:proofErr w:type="spellEnd"/>
      <w:r w:rsidR="007C364C" w:rsidRPr="007C364C">
        <w:rPr>
          <w:rFonts w:ascii="Times New Roman" w:hAnsi="Times New Roman" w:cs="Times New Roman"/>
          <w:sz w:val="24"/>
          <w:szCs w:val="24"/>
        </w:rPr>
        <w:t xml:space="preserve"> navrhované opatrenia a s tým súvisiace povinnosti, ktoré vedú k</w:t>
      </w:r>
      <w:r w:rsidR="00AB09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C364C" w:rsidRPr="007C364C">
        <w:rPr>
          <w:rFonts w:ascii="Times New Roman" w:hAnsi="Times New Roman" w:cs="Times New Roman"/>
          <w:sz w:val="24"/>
          <w:szCs w:val="24"/>
        </w:rPr>
        <w:t>mitigovaniu</w:t>
      </w:r>
      <w:proofErr w:type="spellEnd"/>
      <w:r w:rsidR="007C364C" w:rsidRPr="007C364C">
        <w:rPr>
          <w:rFonts w:ascii="Times New Roman" w:hAnsi="Times New Roman" w:cs="Times New Roman"/>
          <w:sz w:val="24"/>
          <w:szCs w:val="24"/>
        </w:rPr>
        <w:t xml:space="preserve"> </w:t>
      </w:r>
      <w:r w:rsidR="00AB09E6">
        <w:rPr>
          <w:rFonts w:ascii="Times New Roman" w:hAnsi="Times New Roman" w:cs="Times New Roman"/>
          <w:sz w:val="24"/>
          <w:szCs w:val="24"/>
        </w:rPr>
        <w:t xml:space="preserve">identifikovaného </w:t>
      </w:r>
      <w:r w:rsidR="007C364C" w:rsidRPr="007C364C">
        <w:rPr>
          <w:rFonts w:ascii="Times New Roman" w:hAnsi="Times New Roman" w:cs="Times New Roman"/>
          <w:sz w:val="24"/>
          <w:szCs w:val="24"/>
        </w:rPr>
        <w:t>rizika. V opačnom prípade b</w:t>
      </w:r>
      <w:r w:rsidR="00AB09E6">
        <w:rPr>
          <w:rFonts w:ascii="Times New Roman" w:hAnsi="Times New Roman" w:cs="Times New Roman"/>
          <w:sz w:val="24"/>
          <w:szCs w:val="24"/>
        </w:rPr>
        <w:t>y došlo k vydaniu rozhodnutia o </w:t>
      </w:r>
      <w:r w:rsidR="007C364C" w:rsidRPr="007C364C">
        <w:rPr>
          <w:rFonts w:ascii="Times New Roman" w:hAnsi="Times New Roman" w:cs="Times New Roman"/>
          <w:sz w:val="24"/>
          <w:szCs w:val="24"/>
        </w:rPr>
        <w:t>zákaze zahraničnej investície</w:t>
      </w:r>
      <w:r w:rsidRPr="002F7B04">
        <w:rPr>
          <w:rFonts w:ascii="Times New Roman" w:hAnsi="Times New Roman" w:cs="Times New Roman"/>
          <w:sz w:val="24"/>
          <w:szCs w:val="24"/>
        </w:rPr>
        <w:t xml:space="preserve">. </w:t>
      </w:r>
      <w:r w:rsidR="000D73F5">
        <w:rPr>
          <w:rFonts w:ascii="Times New Roman" w:hAnsi="Times New Roman" w:cs="Times New Roman"/>
          <w:sz w:val="24"/>
          <w:szCs w:val="24"/>
        </w:rPr>
        <w:t>Keďže v prípade rozkladu voči rozhodnutiu o zákaze zahraničnej investície by v zásade išlo</w:t>
      </w:r>
      <w:r w:rsidRPr="002F7B04">
        <w:rPr>
          <w:rFonts w:ascii="Times New Roman" w:hAnsi="Times New Roman" w:cs="Times New Roman"/>
          <w:sz w:val="24"/>
          <w:szCs w:val="24"/>
        </w:rPr>
        <w:t xml:space="preserve"> o konanie na tom istom orgáne (</w:t>
      </w:r>
      <w:r w:rsidR="000D73F5">
        <w:rPr>
          <w:rFonts w:ascii="Times New Roman" w:hAnsi="Times New Roman" w:cs="Times New Roman"/>
          <w:sz w:val="24"/>
          <w:szCs w:val="24"/>
        </w:rPr>
        <w:t>Ministerstvo hospodárstva Slovenskej republiky</w:t>
      </w:r>
      <w:r w:rsidR="00710CAF">
        <w:rPr>
          <w:rFonts w:ascii="Times New Roman" w:hAnsi="Times New Roman" w:cs="Times New Roman"/>
          <w:sz w:val="24"/>
          <w:szCs w:val="24"/>
        </w:rPr>
        <w:t>), pričom</w:t>
      </w:r>
      <w:r w:rsidRPr="002F7B04">
        <w:rPr>
          <w:rFonts w:ascii="Times New Roman" w:hAnsi="Times New Roman" w:cs="Times New Roman"/>
          <w:sz w:val="24"/>
          <w:szCs w:val="24"/>
        </w:rPr>
        <w:t xml:space="preserve"> nie všetky informácie </w:t>
      </w:r>
      <w:r w:rsidR="00710CAF">
        <w:rPr>
          <w:rFonts w:ascii="Times New Roman" w:hAnsi="Times New Roman" w:cs="Times New Roman"/>
          <w:sz w:val="24"/>
          <w:szCs w:val="24"/>
        </w:rPr>
        <w:t xml:space="preserve">zo spisu </w:t>
      </w:r>
      <w:r w:rsidRPr="002F7B04">
        <w:rPr>
          <w:rFonts w:ascii="Times New Roman" w:hAnsi="Times New Roman" w:cs="Times New Roman"/>
          <w:sz w:val="24"/>
          <w:szCs w:val="24"/>
        </w:rPr>
        <w:t xml:space="preserve">môžu byť </w:t>
      </w:r>
      <w:r w:rsidR="000D73F5">
        <w:rPr>
          <w:rFonts w:ascii="Times New Roman" w:hAnsi="Times New Roman" w:cs="Times New Roman"/>
          <w:sz w:val="24"/>
          <w:szCs w:val="24"/>
        </w:rPr>
        <w:t xml:space="preserve">zahraničnému investorovi </w:t>
      </w:r>
      <w:r w:rsidRPr="002F7B04">
        <w:rPr>
          <w:rFonts w:ascii="Times New Roman" w:hAnsi="Times New Roman" w:cs="Times New Roman"/>
          <w:sz w:val="24"/>
          <w:szCs w:val="24"/>
        </w:rPr>
        <w:t>sprístupnené (z</w:t>
      </w:r>
      <w:r w:rsidR="007C364C">
        <w:rPr>
          <w:rFonts w:ascii="Times New Roman" w:hAnsi="Times New Roman" w:cs="Times New Roman"/>
          <w:sz w:val="24"/>
          <w:szCs w:val="24"/>
        </w:rPr>
        <w:t> </w:t>
      </w:r>
      <w:r w:rsidRPr="002F7B04">
        <w:rPr>
          <w:rFonts w:ascii="Times New Roman" w:hAnsi="Times New Roman" w:cs="Times New Roman"/>
          <w:sz w:val="24"/>
          <w:szCs w:val="24"/>
        </w:rPr>
        <w:t xml:space="preserve">dôvodu utajeného režimu), </w:t>
      </w:r>
      <w:r w:rsidR="000D73F5" w:rsidRPr="002F7B04">
        <w:rPr>
          <w:rFonts w:ascii="Times New Roman" w:hAnsi="Times New Roman" w:cs="Times New Roman"/>
          <w:sz w:val="24"/>
          <w:szCs w:val="24"/>
        </w:rPr>
        <w:t xml:space="preserve">zahraničný investor </w:t>
      </w:r>
      <w:r w:rsidR="00710CAF" w:rsidRPr="002F7B04">
        <w:rPr>
          <w:rFonts w:ascii="Times New Roman" w:hAnsi="Times New Roman" w:cs="Times New Roman"/>
          <w:sz w:val="24"/>
          <w:szCs w:val="24"/>
        </w:rPr>
        <w:t xml:space="preserve">bude mať </w:t>
      </w:r>
      <w:r w:rsidRPr="002F7B04">
        <w:rPr>
          <w:rFonts w:ascii="Times New Roman" w:hAnsi="Times New Roman" w:cs="Times New Roman"/>
          <w:sz w:val="24"/>
          <w:szCs w:val="24"/>
        </w:rPr>
        <w:t>väčšiu dôveru v rozhodnutie súdu. Je veľký predpoklad</w:t>
      </w:r>
      <w:r w:rsidR="000D73F5">
        <w:rPr>
          <w:rFonts w:ascii="Times New Roman" w:hAnsi="Times New Roman" w:cs="Times New Roman"/>
          <w:sz w:val="24"/>
          <w:szCs w:val="24"/>
        </w:rPr>
        <w:t>, najmä pri </w:t>
      </w:r>
      <w:r w:rsidRPr="002F7B04">
        <w:rPr>
          <w:rFonts w:ascii="Times New Roman" w:hAnsi="Times New Roman" w:cs="Times New Roman"/>
          <w:sz w:val="24"/>
          <w:szCs w:val="24"/>
        </w:rPr>
        <w:t>zákaze</w:t>
      </w:r>
      <w:r w:rsidR="000D73F5">
        <w:rPr>
          <w:rFonts w:ascii="Times New Roman" w:hAnsi="Times New Roman" w:cs="Times New Roman"/>
          <w:sz w:val="24"/>
          <w:szCs w:val="24"/>
        </w:rPr>
        <w:t xml:space="preserve"> zahraničnej investície</w:t>
      </w:r>
      <w:r w:rsidRPr="002F7B04">
        <w:rPr>
          <w:rFonts w:ascii="Times New Roman" w:hAnsi="Times New Roman" w:cs="Times New Roman"/>
          <w:sz w:val="24"/>
          <w:szCs w:val="24"/>
        </w:rPr>
        <w:t xml:space="preserve">, že </w:t>
      </w:r>
      <w:r w:rsidR="000D73F5" w:rsidRPr="002F7B04">
        <w:rPr>
          <w:rFonts w:ascii="Times New Roman" w:hAnsi="Times New Roman" w:cs="Times New Roman"/>
          <w:sz w:val="24"/>
          <w:szCs w:val="24"/>
        </w:rPr>
        <w:t>informácie</w:t>
      </w:r>
      <w:r w:rsidRPr="002F7B04">
        <w:rPr>
          <w:rFonts w:ascii="Times New Roman" w:hAnsi="Times New Roman" w:cs="Times New Roman"/>
          <w:sz w:val="24"/>
          <w:szCs w:val="24"/>
        </w:rPr>
        <w:t>, na základe ktorý</w:t>
      </w:r>
      <w:r w:rsidR="000D73F5">
        <w:rPr>
          <w:rFonts w:ascii="Times New Roman" w:hAnsi="Times New Roman" w:cs="Times New Roman"/>
          <w:sz w:val="24"/>
          <w:szCs w:val="24"/>
        </w:rPr>
        <w:t>ch sa dospelo k rozhodnutiu o</w:t>
      </w:r>
      <w:r w:rsidR="003B65C6">
        <w:rPr>
          <w:rFonts w:ascii="Times New Roman" w:hAnsi="Times New Roman" w:cs="Times New Roman"/>
          <w:sz w:val="24"/>
          <w:szCs w:val="24"/>
        </w:rPr>
        <w:t> </w:t>
      </w:r>
      <w:r w:rsidR="000D73F5">
        <w:rPr>
          <w:rFonts w:ascii="Times New Roman" w:hAnsi="Times New Roman" w:cs="Times New Roman"/>
          <w:sz w:val="24"/>
          <w:szCs w:val="24"/>
        </w:rPr>
        <w:t>z</w:t>
      </w:r>
      <w:r w:rsidRPr="002F7B04">
        <w:rPr>
          <w:rFonts w:ascii="Times New Roman" w:hAnsi="Times New Roman" w:cs="Times New Roman"/>
          <w:sz w:val="24"/>
          <w:szCs w:val="24"/>
        </w:rPr>
        <w:t>ákaze</w:t>
      </w:r>
      <w:r w:rsidR="003B65C6">
        <w:rPr>
          <w:rFonts w:ascii="Times New Roman" w:hAnsi="Times New Roman" w:cs="Times New Roman"/>
          <w:sz w:val="24"/>
          <w:szCs w:val="24"/>
        </w:rPr>
        <w:t>,</w:t>
      </w:r>
      <w:r w:rsidRPr="002F7B04">
        <w:rPr>
          <w:rFonts w:ascii="Times New Roman" w:hAnsi="Times New Roman" w:cs="Times New Roman"/>
          <w:sz w:val="24"/>
          <w:szCs w:val="24"/>
        </w:rPr>
        <w:t xml:space="preserve"> budú utajovanými skutočnosťami, s ktorými sa zahraničný investor nebude môcť oboznámiť a tým pádom sa nebude vedieť účinne brániť podaním rozkladu. Brániť sa bude vedieť na súde, kde sudca bude mať právo oboznámiť sa s utajovanými skutočnosťami a</w:t>
      </w:r>
      <w:r w:rsidR="004C46EA">
        <w:rPr>
          <w:rFonts w:ascii="Times New Roman" w:hAnsi="Times New Roman" w:cs="Times New Roman"/>
          <w:sz w:val="24"/>
          <w:szCs w:val="24"/>
        </w:rPr>
        <w:t xml:space="preserve"> komplexne </w:t>
      </w:r>
      <w:r w:rsidRPr="002F7B04">
        <w:rPr>
          <w:rFonts w:ascii="Times New Roman" w:hAnsi="Times New Roman" w:cs="Times New Roman"/>
          <w:sz w:val="24"/>
          <w:szCs w:val="24"/>
        </w:rPr>
        <w:t xml:space="preserve">posúdiť správnosť </w:t>
      </w:r>
      <w:r w:rsidR="000D73F5">
        <w:rPr>
          <w:rFonts w:ascii="Times New Roman" w:hAnsi="Times New Roman" w:cs="Times New Roman"/>
          <w:sz w:val="24"/>
          <w:szCs w:val="24"/>
        </w:rPr>
        <w:t>a zákonnosť postupu a samotného</w:t>
      </w:r>
      <w:r w:rsidRPr="002F7B04">
        <w:rPr>
          <w:rFonts w:ascii="Times New Roman" w:hAnsi="Times New Roman" w:cs="Times New Roman"/>
          <w:sz w:val="24"/>
          <w:szCs w:val="24"/>
        </w:rPr>
        <w:t xml:space="preserve"> rozhodnutia v</w:t>
      </w:r>
      <w:r w:rsidR="000D73F5">
        <w:rPr>
          <w:rFonts w:ascii="Times New Roman" w:hAnsi="Times New Roman" w:cs="Times New Roman"/>
          <w:sz w:val="24"/>
          <w:szCs w:val="24"/>
        </w:rPr>
        <w:t>ydaného</w:t>
      </w:r>
      <w:r w:rsidRPr="002F7B04">
        <w:rPr>
          <w:rFonts w:ascii="Times New Roman" w:hAnsi="Times New Roman" w:cs="Times New Roman"/>
          <w:sz w:val="24"/>
          <w:szCs w:val="24"/>
        </w:rPr>
        <w:t xml:space="preserve"> </w:t>
      </w:r>
      <w:r w:rsidR="003B65C6">
        <w:rPr>
          <w:rFonts w:ascii="Times New Roman" w:hAnsi="Times New Roman" w:cs="Times New Roman"/>
          <w:sz w:val="24"/>
          <w:szCs w:val="24"/>
        </w:rPr>
        <w:t xml:space="preserve">v </w:t>
      </w:r>
      <w:r w:rsidRPr="002F7B04">
        <w:rPr>
          <w:rFonts w:ascii="Times New Roman" w:hAnsi="Times New Roman" w:cs="Times New Roman"/>
          <w:sz w:val="24"/>
          <w:szCs w:val="24"/>
        </w:rPr>
        <w:t>konaní o preverovaní zahraničnej investície.</w:t>
      </w:r>
      <w:r w:rsidR="000D73F5">
        <w:rPr>
          <w:rFonts w:ascii="Times New Roman" w:hAnsi="Times New Roman" w:cs="Times New Roman"/>
          <w:sz w:val="24"/>
          <w:szCs w:val="24"/>
        </w:rPr>
        <w:t xml:space="preserve"> </w:t>
      </w:r>
      <w:r w:rsidR="004C46EA">
        <w:rPr>
          <w:rFonts w:ascii="Times New Roman" w:hAnsi="Times New Roman" w:cs="Times New Roman"/>
          <w:sz w:val="24"/>
          <w:szCs w:val="24"/>
        </w:rPr>
        <w:t>Pokiaľ ide o o</w:t>
      </w:r>
      <w:r w:rsidR="000D73F5">
        <w:rPr>
          <w:rFonts w:ascii="Times New Roman" w:hAnsi="Times New Roman" w:cs="Times New Roman"/>
          <w:sz w:val="24"/>
          <w:szCs w:val="24"/>
        </w:rPr>
        <w:t>dkaz na nariadenie</w:t>
      </w:r>
      <w:r w:rsidRPr="002F7B04">
        <w:rPr>
          <w:rFonts w:ascii="Times New Roman" w:hAnsi="Times New Roman" w:cs="Times New Roman"/>
          <w:sz w:val="24"/>
          <w:szCs w:val="24"/>
        </w:rPr>
        <w:t xml:space="preserve"> (EÚ) 2019/452 </w:t>
      </w:r>
      <w:r w:rsidR="000D73F5">
        <w:rPr>
          <w:rFonts w:ascii="Times New Roman" w:hAnsi="Times New Roman" w:cs="Times New Roman"/>
          <w:sz w:val="24"/>
          <w:szCs w:val="24"/>
        </w:rPr>
        <w:t xml:space="preserve">v platnom </w:t>
      </w:r>
      <w:r w:rsidR="004C46EA">
        <w:rPr>
          <w:rFonts w:ascii="Times New Roman" w:hAnsi="Times New Roman" w:cs="Times New Roman"/>
          <w:sz w:val="24"/>
          <w:szCs w:val="24"/>
        </w:rPr>
        <w:t xml:space="preserve">znení, upresňujeme, že </w:t>
      </w:r>
      <w:r w:rsidRPr="002F7B04">
        <w:rPr>
          <w:rFonts w:ascii="Times New Roman" w:hAnsi="Times New Roman" w:cs="Times New Roman"/>
          <w:sz w:val="24"/>
          <w:szCs w:val="24"/>
        </w:rPr>
        <w:t>opravný</w:t>
      </w:r>
      <w:r w:rsidR="000D73F5">
        <w:rPr>
          <w:rFonts w:ascii="Times New Roman" w:hAnsi="Times New Roman" w:cs="Times New Roman"/>
          <w:sz w:val="24"/>
          <w:szCs w:val="24"/>
        </w:rPr>
        <w:t xml:space="preserve"> prostriedok</w:t>
      </w:r>
      <w:r w:rsidRPr="002F7B04">
        <w:rPr>
          <w:rFonts w:ascii="Times New Roman" w:hAnsi="Times New Roman" w:cs="Times New Roman"/>
          <w:sz w:val="24"/>
          <w:szCs w:val="24"/>
        </w:rPr>
        <w:t xml:space="preserve"> v </w:t>
      </w:r>
      <w:r w:rsidR="000D73F5">
        <w:rPr>
          <w:rFonts w:ascii="Times New Roman" w:hAnsi="Times New Roman" w:cs="Times New Roman"/>
          <w:sz w:val="24"/>
          <w:szCs w:val="24"/>
        </w:rPr>
        <w:t>slovenskej</w:t>
      </w:r>
      <w:r w:rsidRPr="002F7B04">
        <w:rPr>
          <w:rFonts w:ascii="Times New Roman" w:hAnsi="Times New Roman" w:cs="Times New Roman"/>
          <w:sz w:val="24"/>
          <w:szCs w:val="24"/>
        </w:rPr>
        <w:t xml:space="preserve"> jazykovej verzii nariadenia vychádza z</w:t>
      </w:r>
      <w:r w:rsidR="003B65C6">
        <w:rPr>
          <w:rFonts w:ascii="Times New Roman" w:hAnsi="Times New Roman" w:cs="Times New Roman"/>
          <w:sz w:val="24"/>
          <w:szCs w:val="24"/>
        </w:rPr>
        <w:t> </w:t>
      </w:r>
      <w:r w:rsidRPr="002F7B04">
        <w:rPr>
          <w:rFonts w:ascii="Times New Roman" w:hAnsi="Times New Roman" w:cs="Times New Roman"/>
          <w:sz w:val="24"/>
          <w:szCs w:val="24"/>
        </w:rPr>
        <w:t>anglického "</w:t>
      </w:r>
      <w:proofErr w:type="spellStart"/>
      <w:r w:rsidRPr="002F7B04">
        <w:rPr>
          <w:rFonts w:ascii="Times New Roman" w:hAnsi="Times New Roman" w:cs="Times New Roman"/>
          <w:sz w:val="24"/>
          <w:szCs w:val="24"/>
        </w:rPr>
        <w:t>recourse</w:t>
      </w:r>
      <w:proofErr w:type="spellEnd"/>
      <w:r w:rsidRPr="002F7B04">
        <w:rPr>
          <w:rFonts w:ascii="Times New Roman" w:hAnsi="Times New Roman" w:cs="Times New Roman"/>
          <w:sz w:val="24"/>
          <w:szCs w:val="24"/>
        </w:rPr>
        <w:t xml:space="preserve">", pričom cieľom tohto ustanovenia a požiadavkou </w:t>
      </w:r>
      <w:r w:rsidR="000D73F5">
        <w:rPr>
          <w:rFonts w:ascii="Times New Roman" w:hAnsi="Times New Roman" w:cs="Times New Roman"/>
          <w:sz w:val="24"/>
          <w:szCs w:val="24"/>
        </w:rPr>
        <w:t xml:space="preserve">členských štátov Európskej únie pri </w:t>
      </w:r>
      <w:r w:rsidR="004C46EA">
        <w:rPr>
          <w:rFonts w:ascii="Times New Roman" w:hAnsi="Times New Roman" w:cs="Times New Roman"/>
          <w:sz w:val="24"/>
          <w:szCs w:val="24"/>
        </w:rPr>
        <w:t xml:space="preserve">jeho </w:t>
      </w:r>
      <w:r w:rsidR="000D73F5">
        <w:rPr>
          <w:rFonts w:ascii="Times New Roman" w:hAnsi="Times New Roman" w:cs="Times New Roman"/>
          <w:sz w:val="24"/>
          <w:szCs w:val="24"/>
        </w:rPr>
        <w:t xml:space="preserve">príprave </w:t>
      </w:r>
      <w:r w:rsidRPr="002F7B04">
        <w:rPr>
          <w:rFonts w:ascii="Times New Roman" w:hAnsi="Times New Roman" w:cs="Times New Roman"/>
          <w:sz w:val="24"/>
          <w:szCs w:val="24"/>
        </w:rPr>
        <w:t xml:space="preserve">bolo širšie pomenovanie "možnosti brániť sa" voči rozhodnutiu o preverení, nie ustanovenie, že ide o </w:t>
      </w:r>
      <w:r w:rsidR="000D73F5">
        <w:rPr>
          <w:rFonts w:ascii="Times New Roman" w:hAnsi="Times New Roman" w:cs="Times New Roman"/>
          <w:sz w:val="24"/>
          <w:szCs w:val="24"/>
        </w:rPr>
        <w:t xml:space="preserve">odvolanie/rozklad alebo žalobu. Typ/druh opravného prostriedku si určia členské štáty Európskej únie </w:t>
      </w:r>
      <w:r w:rsidRPr="002F7B04">
        <w:rPr>
          <w:rFonts w:ascii="Times New Roman" w:hAnsi="Times New Roman" w:cs="Times New Roman"/>
          <w:sz w:val="24"/>
          <w:szCs w:val="24"/>
        </w:rPr>
        <w:t>v rámci svoj</w:t>
      </w:r>
      <w:r w:rsidR="000D73F5">
        <w:rPr>
          <w:rFonts w:ascii="Times New Roman" w:hAnsi="Times New Roman" w:cs="Times New Roman"/>
          <w:sz w:val="24"/>
          <w:szCs w:val="24"/>
        </w:rPr>
        <w:t>ej vnútroštátnej legislatívy.</w:t>
      </w:r>
    </w:p>
    <w:p w14:paraId="116872BC" w14:textId="77777777" w:rsidR="00EB049F" w:rsidRPr="00EB049F" w:rsidRDefault="00EB049F" w:rsidP="00F35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049F" w:rsidRPr="00EB049F" w:rsidSect="0029429C">
      <w:footerReference w:type="default" r:id="rId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3753" w14:textId="77777777" w:rsidR="0029429C" w:rsidRDefault="0029429C" w:rsidP="0029429C">
      <w:pPr>
        <w:spacing w:after="0" w:line="240" w:lineRule="auto"/>
      </w:pPr>
      <w:r>
        <w:separator/>
      </w:r>
    </w:p>
  </w:endnote>
  <w:endnote w:type="continuationSeparator" w:id="0">
    <w:p w14:paraId="558D448B" w14:textId="77777777" w:rsidR="0029429C" w:rsidRDefault="0029429C" w:rsidP="002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F43A" w14:textId="5B97FF80" w:rsidR="0029429C" w:rsidRPr="0029429C" w:rsidRDefault="0029429C">
    <w:pPr>
      <w:pStyle w:val="Pta"/>
      <w:jc w:val="center"/>
      <w:rPr>
        <w:rFonts w:ascii="Times New Roman" w:hAnsi="Times New Roman" w:cs="Times New Roman"/>
      </w:rPr>
    </w:pPr>
  </w:p>
  <w:p w14:paraId="43673E33" w14:textId="77777777" w:rsidR="0029429C" w:rsidRDefault="002942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E588" w14:textId="77777777" w:rsidR="0029429C" w:rsidRDefault="0029429C" w:rsidP="0029429C">
      <w:pPr>
        <w:spacing w:after="0" w:line="240" w:lineRule="auto"/>
      </w:pPr>
      <w:r>
        <w:separator/>
      </w:r>
    </w:p>
  </w:footnote>
  <w:footnote w:type="continuationSeparator" w:id="0">
    <w:p w14:paraId="5755C6F6" w14:textId="77777777" w:rsidR="0029429C" w:rsidRDefault="0029429C" w:rsidP="002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A"/>
    <w:rsid w:val="000A0C00"/>
    <w:rsid w:val="000D73F5"/>
    <w:rsid w:val="000F4566"/>
    <w:rsid w:val="00104108"/>
    <w:rsid w:val="002133C3"/>
    <w:rsid w:val="0029429C"/>
    <w:rsid w:val="002B7D81"/>
    <w:rsid w:val="002C0CF5"/>
    <w:rsid w:val="002D4324"/>
    <w:rsid w:val="002F7B04"/>
    <w:rsid w:val="003148DB"/>
    <w:rsid w:val="00343244"/>
    <w:rsid w:val="003A2012"/>
    <w:rsid w:val="003B65C6"/>
    <w:rsid w:val="00477A48"/>
    <w:rsid w:val="004C46EA"/>
    <w:rsid w:val="004D3891"/>
    <w:rsid w:val="004F1BE3"/>
    <w:rsid w:val="005674C0"/>
    <w:rsid w:val="005C600F"/>
    <w:rsid w:val="006B7138"/>
    <w:rsid w:val="006C3B20"/>
    <w:rsid w:val="00710CAF"/>
    <w:rsid w:val="007A262C"/>
    <w:rsid w:val="007A331A"/>
    <w:rsid w:val="007B22CA"/>
    <w:rsid w:val="007C364C"/>
    <w:rsid w:val="00864E98"/>
    <w:rsid w:val="008C75B3"/>
    <w:rsid w:val="009B0404"/>
    <w:rsid w:val="009C71C8"/>
    <w:rsid w:val="009F5C0D"/>
    <w:rsid w:val="00AB09E6"/>
    <w:rsid w:val="00B529E2"/>
    <w:rsid w:val="00B67F12"/>
    <w:rsid w:val="00B923FA"/>
    <w:rsid w:val="00C1342A"/>
    <w:rsid w:val="00DF25F2"/>
    <w:rsid w:val="00E16412"/>
    <w:rsid w:val="00E3439D"/>
    <w:rsid w:val="00EB049F"/>
    <w:rsid w:val="00ED5593"/>
    <w:rsid w:val="00F35207"/>
    <w:rsid w:val="00F856BC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146B9"/>
  <w15:chartTrackingRefBased/>
  <w15:docId w15:val="{D2EAACC6-F9CE-46B1-9BD1-D8D0C7DA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2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22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2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2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2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22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2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48DB"/>
    <w:pPr>
      <w:ind w:left="720"/>
      <w:contextualSpacing/>
    </w:pPr>
  </w:style>
  <w:style w:type="character" w:customStyle="1" w:styleId="no-parag">
    <w:name w:val="no-parag"/>
    <w:basedOn w:val="Predvolenpsmoodseku"/>
    <w:rsid w:val="005C600F"/>
  </w:style>
  <w:style w:type="paragraph" w:styleId="Hlavika">
    <w:name w:val="header"/>
    <w:basedOn w:val="Normlny"/>
    <w:link w:val="Hlavik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29C"/>
  </w:style>
  <w:style w:type="paragraph" w:styleId="Pta">
    <w:name w:val="footer"/>
    <w:basedOn w:val="Normlny"/>
    <w:link w:val="Pt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2022-05-04T10:54:00Z</cp:lastPrinted>
  <dcterms:created xsi:type="dcterms:W3CDTF">2022-05-04T10:56:00Z</dcterms:created>
  <dcterms:modified xsi:type="dcterms:W3CDTF">2022-05-04T12:10:00Z</dcterms:modified>
</cp:coreProperties>
</file>