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CF" w:rsidRDefault="00624CCF" w:rsidP="00624C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Sociálne vplyvy -  vplyvy na hospodárenie obyvateľstva, sociálnu exklúziu, rovnosť príležitostí a rodovú rovnosť  a na zamestnanosť</w:t>
      </w:r>
    </w:p>
    <w:p w:rsidR="00624CCF" w:rsidRDefault="00624CCF" w:rsidP="00624CCF">
      <w:pPr>
        <w:rPr>
          <w:b/>
          <w:bCs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/>
      </w:tblPr>
      <w:tblGrid>
        <w:gridCol w:w="4225"/>
        <w:gridCol w:w="4790"/>
      </w:tblGrid>
      <w:tr w:rsidR="00275D4F" w:rsidRPr="00495317" w:rsidTr="00873FC1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275D4F" w:rsidRPr="00495317" w:rsidRDefault="00275D4F" w:rsidP="00873FC1">
            <w:pPr>
              <w:jc w:val="center"/>
              <w:rPr>
                <w:b/>
                <w:bCs/>
                <w:color w:val="FFFFFF"/>
              </w:rPr>
            </w:pPr>
            <w:r w:rsidRPr="00495317">
              <w:rPr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 w:rsidR="00275D4F" w:rsidRPr="00495317" w:rsidTr="00FE1481">
        <w:trPr>
          <w:trHeight w:val="4309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F" w:rsidRPr="00495317" w:rsidRDefault="00275D4F" w:rsidP="00A87A38">
            <w:r w:rsidRPr="00495317">
              <w:rPr>
                <w:b/>
              </w:rPr>
              <w:t>4.1.</w:t>
            </w:r>
            <w:r w:rsidRPr="00495317"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481" w:rsidRDefault="00FE1481" w:rsidP="00275D4F">
            <w:pPr>
              <w:jc w:val="both"/>
            </w:pPr>
            <w:r>
              <w:t>Návrh zákona bude mať negatívny vplyv na nižšie uvedené skupiny domácností resp. jednotlivcov:</w:t>
            </w:r>
          </w:p>
          <w:p w:rsidR="00FE1481" w:rsidRDefault="00FE1481" w:rsidP="00275D4F">
            <w:pPr>
              <w:jc w:val="both"/>
            </w:pPr>
          </w:p>
          <w:p w:rsidR="00FE1481" w:rsidRDefault="00FE1481" w:rsidP="00856437">
            <w:pPr>
              <w:numPr>
                <w:ilvl w:val="0"/>
                <w:numId w:val="24"/>
              </w:numPr>
              <w:jc w:val="both"/>
            </w:pPr>
            <w:r>
              <w:t xml:space="preserve">Osoby uplatňujúce paušálne výdavky pri príjmoch z podnikania a inej SZČO, ktorých </w:t>
            </w:r>
            <w:r w:rsidR="0049774D">
              <w:t>ročné príjmy presiahli 12 600 eur (hranica pri ktorej paušálne výdavky zodpovedajú práve maximálnej úrovni paušálnych výdavkov od 1.1.2013).</w:t>
            </w:r>
            <w:r>
              <w:t xml:space="preserve"> </w:t>
            </w:r>
          </w:p>
          <w:p w:rsidR="00FE1481" w:rsidRDefault="00FE1481" w:rsidP="00856437">
            <w:pPr>
              <w:numPr>
                <w:ilvl w:val="0"/>
                <w:numId w:val="24"/>
              </w:numPr>
              <w:jc w:val="both"/>
            </w:pPr>
            <w:r>
              <w:t>Osoby uplatňujúce paušálne výdavky pri príjmoch z prenájmu.</w:t>
            </w:r>
          </w:p>
          <w:p w:rsidR="0049774D" w:rsidRDefault="0049774D" w:rsidP="00856437">
            <w:pPr>
              <w:numPr>
                <w:ilvl w:val="0"/>
                <w:numId w:val="24"/>
              </w:numPr>
              <w:jc w:val="both"/>
            </w:pPr>
            <w:r>
              <w:t>Poberatelia výsluhových dôchodkov podľa zákona o sociálnom zabezpečení vojakov a policajtov.</w:t>
            </w:r>
          </w:p>
          <w:p w:rsidR="0049774D" w:rsidRPr="00F84F09" w:rsidRDefault="0049774D" w:rsidP="00856437">
            <w:pPr>
              <w:numPr>
                <w:ilvl w:val="0"/>
                <w:numId w:val="24"/>
              </w:numPr>
              <w:jc w:val="both"/>
              <w:rPr>
                <w:highlight w:val="cyan"/>
              </w:rPr>
            </w:pPr>
            <w:r w:rsidRPr="00F84F09">
              <w:rPr>
                <w:highlight w:val="cyan"/>
              </w:rPr>
              <w:t>Osoby u</w:t>
            </w:r>
            <w:r w:rsidR="000E3BC6">
              <w:rPr>
                <w:highlight w:val="cyan"/>
              </w:rPr>
              <w:t>platňujúce daňový bonus na deti</w:t>
            </w:r>
            <w:r w:rsidR="00856437" w:rsidRPr="00F84F09">
              <w:rPr>
                <w:highlight w:val="cyan"/>
              </w:rPr>
              <w:t xml:space="preserve"> </w:t>
            </w:r>
            <w:r w:rsidR="000E3BC6">
              <w:rPr>
                <w:highlight w:val="cyan"/>
              </w:rPr>
              <w:t>staršie ako 19 rokov</w:t>
            </w:r>
            <w:r w:rsidR="00856437" w:rsidRPr="00F84F09">
              <w:rPr>
                <w:highlight w:val="cyan"/>
              </w:rPr>
              <w:t xml:space="preserve"> </w:t>
            </w:r>
            <w:r w:rsidRPr="00F84F09">
              <w:rPr>
                <w:highlight w:val="cyan"/>
              </w:rPr>
              <w:t>a osoby s tzv. pasívnymi príjmami, ktoré uplatňujú daňový bonus.</w:t>
            </w:r>
          </w:p>
          <w:p w:rsidR="00945391" w:rsidRDefault="009609F2" w:rsidP="00856437">
            <w:pPr>
              <w:numPr>
                <w:ilvl w:val="0"/>
                <w:numId w:val="24"/>
              </w:numPr>
              <w:jc w:val="both"/>
            </w:pPr>
            <w:r w:rsidRPr="00495317">
              <w:t>Osoby</w:t>
            </w:r>
            <w:r w:rsidR="00945391">
              <w:t xml:space="preserve"> uplatňujúce nezdaniteľnú časť základu dane na manžel</w:t>
            </w:r>
            <w:r w:rsidR="0049774D">
              <w:t>a/</w:t>
            </w:r>
            <w:r w:rsidR="00945391">
              <w:t>ku</w:t>
            </w:r>
            <w:r w:rsidR="0049774D">
              <w:t>, ktoré sa nestarajú o dieťa do 3 resp. 6 rokov, nepoberajú príspevok na opatrovanie resp. nie sú evidované na úrade práce.</w:t>
            </w:r>
          </w:p>
          <w:p w:rsidR="00945391" w:rsidRDefault="00945391" w:rsidP="00856437">
            <w:pPr>
              <w:numPr>
                <w:ilvl w:val="0"/>
                <w:numId w:val="24"/>
              </w:numPr>
              <w:jc w:val="both"/>
            </w:pPr>
            <w:r>
              <w:t>Vybraní ústavn</w:t>
            </w:r>
            <w:r w:rsidR="000438AF">
              <w:t>í</w:t>
            </w:r>
            <w:r>
              <w:t xml:space="preserve"> činitelia</w:t>
            </w:r>
            <w:r w:rsidR="0085200E">
              <w:t>.</w:t>
            </w:r>
            <w:r>
              <w:t xml:space="preserve"> </w:t>
            </w:r>
          </w:p>
          <w:p w:rsidR="0030081F" w:rsidRDefault="00945391" w:rsidP="00856437">
            <w:pPr>
              <w:numPr>
                <w:ilvl w:val="0"/>
                <w:numId w:val="24"/>
              </w:numPr>
              <w:jc w:val="both"/>
            </w:pPr>
            <w:r>
              <w:t>FO s nadštandardnými príjmami</w:t>
            </w:r>
            <w:r w:rsidR="0049774D">
              <w:t xml:space="preserve"> cez zavedenie druhej sadzby dane</w:t>
            </w:r>
            <w:r w:rsidR="0085200E">
              <w:t>.</w:t>
            </w:r>
          </w:p>
          <w:p w:rsidR="00D04A94" w:rsidRDefault="00D04A94" w:rsidP="00D04A94">
            <w:pPr>
              <w:jc w:val="both"/>
            </w:pPr>
            <w:r>
              <w:t>Návrh zákona bude mať pozitívny vplyv na nižšie uvedené skupiny domácností resp. jednotlivcov:</w:t>
            </w:r>
          </w:p>
          <w:p w:rsidR="00D04A94" w:rsidRDefault="00D04A94" w:rsidP="00D04A94">
            <w:pPr>
              <w:numPr>
                <w:ilvl w:val="0"/>
                <w:numId w:val="26"/>
              </w:numPr>
              <w:jc w:val="both"/>
            </w:pPr>
            <w:r>
              <w:t xml:space="preserve">FO, ktorým plynú deputátne plnenia na základe zákona č. 181/2011 Z. z. </w:t>
            </w:r>
            <w:r w:rsidR="00B428CB">
              <w:t xml:space="preserve"> o poskytovaní dotácii MH SR</w:t>
            </w:r>
          </w:p>
          <w:p w:rsidR="000E3BC6" w:rsidRDefault="00D04A94" w:rsidP="00D04A94">
            <w:pPr>
              <w:numPr>
                <w:ilvl w:val="0"/>
                <w:numId w:val="26"/>
              </w:numPr>
              <w:jc w:val="both"/>
            </w:pPr>
            <w:r>
              <w:t xml:space="preserve">FO, ktoré majú príležitostný príjem plynúci z výkonu člena volebnej komisie, člena okrskovej volebnej komisie, </w:t>
            </w:r>
            <w:r w:rsidR="000E3BC6">
              <w:t>zapisovateľa volebnej a okrskovej volebnej komisie, sčítacieho komisára a pod.</w:t>
            </w:r>
          </w:p>
          <w:p w:rsidR="00D04A94" w:rsidRDefault="000E3BC6" w:rsidP="00D04A94">
            <w:pPr>
              <w:numPr>
                <w:ilvl w:val="0"/>
                <w:numId w:val="26"/>
              </w:numPr>
              <w:jc w:val="both"/>
            </w:pPr>
            <w:r>
              <w:t xml:space="preserve">FO v dôchodkovom veku s príležitostným príjmom, ktorý im plynie po skončení výkonu funkcie  </w:t>
            </w:r>
            <w:r w:rsidR="00D04A94">
              <w:t xml:space="preserve"> </w:t>
            </w:r>
          </w:p>
          <w:p w:rsidR="00D04A94" w:rsidRPr="00495317" w:rsidRDefault="00D04A94" w:rsidP="00D04A94">
            <w:pPr>
              <w:jc w:val="both"/>
            </w:pPr>
          </w:p>
        </w:tc>
      </w:tr>
      <w:tr w:rsidR="0049774D" w:rsidRPr="00495317" w:rsidTr="00FE1481">
        <w:trPr>
          <w:trHeight w:val="4309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D" w:rsidRDefault="0049774D" w:rsidP="0049774D">
            <w:pPr>
              <w:rPr>
                <w:i/>
              </w:rPr>
            </w:pPr>
            <w:r w:rsidRPr="00495317">
              <w:rPr>
                <w:i/>
              </w:rPr>
              <w:lastRenderedPageBreak/>
              <w:t xml:space="preserve">Kvantifikujte: </w:t>
            </w:r>
          </w:p>
          <w:p w:rsidR="0049774D" w:rsidRDefault="0049774D" w:rsidP="0049774D">
            <w:pPr>
              <w:numPr>
                <w:ilvl w:val="0"/>
                <w:numId w:val="8"/>
              </w:numPr>
              <w:tabs>
                <w:tab w:val="left" w:pos="328"/>
              </w:tabs>
              <w:ind w:left="328"/>
              <w:rPr>
                <w:i/>
              </w:rPr>
            </w:pPr>
            <w:r w:rsidRPr="00FE1481">
              <w:rPr>
                <w:i/>
              </w:rPr>
              <w:t>Rast alebo pokles príjmov/výdavkov            na priemerného obyvateľa</w:t>
            </w:r>
          </w:p>
          <w:p w:rsidR="0049774D" w:rsidRPr="00495317" w:rsidRDefault="0049774D" w:rsidP="0049774D">
            <w:pPr>
              <w:numPr>
                <w:ilvl w:val="0"/>
                <w:numId w:val="8"/>
              </w:numPr>
              <w:tabs>
                <w:tab w:val="left" w:pos="328"/>
              </w:tabs>
              <w:ind w:left="328"/>
              <w:rPr>
                <w:i/>
              </w:rPr>
            </w:pPr>
            <w:r w:rsidRPr="00495317">
              <w:rPr>
                <w:i/>
              </w:rPr>
              <w:t>Rast alebo pokles príjmov/výdavkov                  za jednotlivé ovplyvnené  skupiny domácností</w:t>
            </w:r>
          </w:p>
          <w:p w:rsidR="0049774D" w:rsidRPr="00495317" w:rsidRDefault="0049774D" w:rsidP="0049774D">
            <w:pPr>
              <w:rPr>
                <w:b/>
              </w:rPr>
            </w:pPr>
            <w:r w:rsidRPr="00495317">
              <w:rPr>
                <w:i/>
              </w:rPr>
              <w:t>Celkový počet obyvateľstva/domácností ovplyvnených predkladaným materiálom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5A" w:rsidRDefault="00193E5A" w:rsidP="00193E5A">
            <w:pPr>
              <w:jc w:val="both"/>
            </w:pPr>
            <w:r w:rsidRPr="000E3BC6">
              <w:rPr>
                <w:b/>
              </w:rPr>
              <w:t>Osoby uplatňujúce paušálne výdavky pri príjmoch z podnikania a inej SZČO</w:t>
            </w:r>
            <w:r w:rsidRPr="000E3BC6">
              <w:t xml:space="preserve"> zavedenie maximálnej hranice pre uplatňovanie paušálnych výdavkov na úrovni 5 040 eur/rok – sa </w:t>
            </w:r>
            <w:r w:rsidR="0054470E" w:rsidRPr="000E3BC6">
              <w:t xml:space="preserve">negatívne </w:t>
            </w:r>
            <w:r w:rsidRPr="000E3BC6">
              <w:t xml:space="preserve">dotkne </w:t>
            </w:r>
            <w:r w:rsidR="0054470E" w:rsidRPr="000E3BC6">
              <w:t>daňovníkov</w:t>
            </w:r>
            <w:r w:rsidRPr="000E3BC6">
              <w:t>, ktorých ročné príjmy</w:t>
            </w:r>
            <w:r w:rsidR="00125977" w:rsidRPr="000E3BC6">
              <w:t xml:space="preserve"> (obrat)</w:t>
            </w:r>
            <w:r w:rsidRPr="000E3BC6">
              <w:t xml:space="preserve"> presiahli 12 600 eur (hranica pri ktorej paušálne výdavky zodpovedajú práve maximálnej úrovni paušálnych výdavkov</w:t>
            </w:r>
            <w:r w:rsidR="0054470E" w:rsidRPr="000E3BC6">
              <w:t>).</w:t>
            </w:r>
            <w:r w:rsidR="002F591C" w:rsidRPr="000E3BC6">
              <w:t xml:space="preserve"> Podľa údajov z individuálnych daňových priznaní typu B si v roku 2009 uplatnilo paušálne výdavky k svojim príjmom z podnikania a inej SZČO cca 32% všetkých daňovníkov (čo je cca 130 000 daňovníkov). MF SR pri kvantifikácii vplyvov na rok 2013 vychádzalo z rovnakého podielu  daňovníkov uplatňujúcich paušálne výdavky, pričom predpokladá, že zavedenie max. stropu spôsobí, že 10% dotknutých SZČO s paušálnymi výdavkami prejde na účtovanie o svojich výdavkoch. Na základe týchto predpokladov by sa zavedenie maximálneho stropu malo negatívne dotknúť cca 22 tis. SZČO uplatňujúcich paušálne výdavky, čo predstavuje cca 17% zo všetkých daňovníkov s paušálnymi výdavkami. Priemerný vplyv na daňovníka z titulu tejto zmeny </w:t>
            </w:r>
            <w:r w:rsidR="000E3BC6">
              <w:t>predstavuje</w:t>
            </w:r>
            <w:r w:rsidR="002F591C" w:rsidRPr="000E3BC6">
              <w:t xml:space="preserve"> 415 Eur/rok.</w:t>
            </w:r>
          </w:p>
          <w:p w:rsidR="00193E5A" w:rsidRDefault="00193E5A" w:rsidP="0049774D">
            <w:pPr>
              <w:jc w:val="both"/>
              <w:rPr>
                <w:b/>
              </w:rPr>
            </w:pPr>
          </w:p>
          <w:p w:rsidR="00A22546" w:rsidRDefault="00A22546" w:rsidP="0049774D">
            <w:pPr>
              <w:jc w:val="both"/>
            </w:pPr>
            <w:r w:rsidRPr="000E3BC6">
              <w:rPr>
                <w:b/>
              </w:rPr>
              <w:t xml:space="preserve">Osoby uplatňujúce paušálne výdavky pri príjmoch z prenájmu – </w:t>
            </w:r>
            <w:r w:rsidRPr="000E3BC6">
              <w:t xml:space="preserve">kvantifikácia zrušenia uplatňovania paušálnych výdavkov pri príjmoch z prenájmu  vychádza z individuálnych daňových priznaní typu </w:t>
            </w:r>
            <w:r w:rsidR="00856437" w:rsidRPr="000E3BC6">
              <w:t xml:space="preserve">B </w:t>
            </w:r>
            <w:r w:rsidRPr="000E3BC6">
              <w:t xml:space="preserve">z roku 2009, kedy si </w:t>
            </w:r>
            <w:r w:rsidR="004D79B9" w:rsidRPr="000E3BC6">
              <w:t>68% daňovníkov s príjmom</w:t>
            </w:r>
            <w:r w:rsidRPr="000E3BC6">
              <w:t xml:space="preserve"> z prenájmu </w:t>
            </w:r>
            <w:r w:rsidR="004D79B9" w:rsidRPr="000E3BC6">
              <w:t>(celkový počet cca 45 000 daňovníkov)</w:t>
            </w:r>
            <w:r w:rsidR="00D35C37" w:rsidRPr="000E3BC6">
              <w:t xml:space="preserve"> </w:t>
            </w:r>
            <w:r w:rsidRPr="000E3BC6">
              <w:t>uplatnilo paušálne výdavky k týmto príjmom</w:t>
            </w:r>
            <w:r w:rsidR="00D35C37" w:rsidRPr="000E3BC6">
              <w:t>.</w:t>
            </w:r>
            <w:r w:rsidRPr="000E3BC6">
              <w:t xml:space="preserve"> Priemerné uplatnené výdavky daňovníkov s príjmami z prenájmu, ktorí viedli účtovníctvo o týchto </w:t>
            </w:r>
            <w:r w:rsidR="00D35C37" w:rsidRPr="000E3BC6">
              <w:t>výdavkoch</w:t>
            </w:r>
            <w:r w:rsidRPr="000E3BC6">
              <w:t xml:space="preserve"> predstavovali 42</w:t>
            </w:r>
            <w:r w:rsidR="004D79B9" w:rsidRPr="000E3BC6">
              <w:t>,8</w:t>
            </w:r>
            <w:r w:rsidRPr="000E3BC6">
              <w:t>%</w:t>
            </w:r>
            <w:r w:rsidR="004D79B9" w:rsidRPr="000E3BC6">
              <w:t xml:space="preserve"> z ich príjmov (</w:t>
            </w:r>
            <w:r w:rsidR="000E3BC6" w:rsidRPr="000E3BC6">
              <w:t>predpokladáme, že ich výška súvisí s rozsiahlejšími investíciami</w:t>
            </w:r>
            <w:r w:rsidR="004D79B9" w:rsidRPr="000E3BC6">
              <w:t xml:space="preserve"> do prenajímaných nehnuteľností</w:t>
            </w:r>
            <w:r w:rsidR="000E3BC6" w:rsidRPr="000E3BC6">
              <w:t xml:space="preserve"> a  z tohto dôvodu o týchto výdavkoch aj účtovali).</w:t>
            </w:r>
            <w:r w:rsidRPr="000E3BC6">
              <w:t xml:space="preserve"> </w:t>
            </w:r>
            <w:r w:rsidR="00D35C37" w:rsidRPr="000E3BC6">
              <w:t xml:space="preserve">Priemerný vplyv na daňovníka bude závisieť od priemerne uplatnených výdavkov z prenájmu u daňovníkov, </w:t>
            </w:r>
            <w:r w:rsidR="004D79B9" w:rsidRPr="000E3BC6">
              <w:t>ktorý doteraz využívali paušálne výdavky, pričom sa nepredpokladá, že všetci začnú výraznejšie investovať do svojich nehnuteľností. Z uvedeného dôvodu</w:t>
            </w:r>
            <w:r w:rsidR="00D35C37" w:rsidRPr="000E3BC6">
              <w:t xml:space="preserve"> MF SR predpokladá</w:t>
            </w:r>
            <w:r w:rsidR="004D79B9" w:rsidRPr="000E3BC6">
              <w:t xml:space="preserve">, že priemerne uplatnené účtovné výdavky týchto daňovníkov budú </w:t>
            </w:r>
            <w:r w:rsidR="00D35C37" w:rsidRPr="000E3BC6">
              <w:t xml:space="preserve">v rozmedzí </w:t>
            </w:r>
            <w:r w:rsidR="00D35C37" w:rsidRPr="000E3BC6">
              <w:lastRenderedPageBreak/>
              <w:t>od 15-20%</w:t>
            </w:r>
            <w:r w:rsidR="008E1908" w:rsidRPr="000E3BC6">
              <w:t xml:space="preserve"> (čo </w:t>
            </w:r>
            <w:r w:rsidR="00D35C37" w:rsidRPr="000E3BC6">
              <w:t xml:space="preserve">pri tomto predpoklade </w:t>
            </w:r>
            <w:r w:rsidR="008E1908" w:rsidRPr="000E3BC6">
              <w:t>zodpovedá</w:t>
            </w:r>
            <w:r w:rsidR="00D35C37" w:rsidRPr="000E3BC6">
              <w:t xml:space="preserve"> </w:t>
            </w:r>
            <w:r w:rsidR="008E1908" w:rsidRPr="000E3BC6">
              <w:t>priemernému</w:t>
            </w:r>
            <w:r w:rsidR="00D35C37" w:rsidRPr="000E3BC6">
              <w:t xml:space="preserve"> vplyv</w:t>
            </w:r>
            <w:r w:rsidR="008E1908" w:rsidRPr="000E3BC6">
              <w:t>u na úrovni -</w:t>
            </w:r>
            <w:r w:rsidR="004D79B9" w:rsidRPr="000E3BC6">
              <w:t>200-</w:t>
            </w:r>
            <w:r w:rsidR="008E1908" w:rsidRPr="000E3BC6">
              <w:t>250</w:t>
            </w:r>
            <w:r w:rsidR="00125977" w:rsidRPr="000E3BC6">
              <w:t xml:space="preserve"> </w:t>
            </w:r>
            <w:r w:rsidR="008E1908" w:rsidRPr="000E3BC6">
              <w:t>eur/rok</w:t>
            </w:r>
            <w:r w:rsidR="004D79B9" w:rsidRPr="000E3BC6">
              <w:t xml:space="preserve"> na daňovníka, pričom platí, že vplyv na takmer polovicu daňovníkov nebude väčší ako 100 eur/rok</w:t>
            </w:r>
            <w:r w:rsidR="008E1908" w:rsidRPr="000E3BC6">
              <w:t>)</w:t>
            </w:r>
            <w:r w:rsidR="00D35C37" w:rsidRPr="000E3BC6">
              <w:t>.</w:t>
            </w:r>
            <w:r w:rsidR="00D35C37">
              <w:t xml:space="preserve"> </w:t>
            </w:r>
            <w:r>
              <w:t xml:space="preserve"> </w:t>
            </w:r>
          </w:p>
          <w:p w:rsidR="00856437" w:rsidRDefault="00856437" w:rsidP="0049774D">
            <w:pPr>
              <w:jc w:val="both"/>
            </w:pPr>
          </w:p>
          <w:p w:rsidR="00856437" w:rsidRDefault="00856437" w:rsidP="00856437">
            <w:pPr>
              <w:jc w:val="both"/>
            </w:pPr>
            <w:r w:rsidRPr="000E3BC6">
              <w:rPr>
                <w:b/>
              </w:rPr>
              <w:t>Poberatelia výsluhových dôchodkov podľa zákona o sociálnom zabezpečení vojakov a policajtov</w:t>
            </w:r>
            <w:r w:rsidRPr="000E3BC6">
              <w:t xml:space="preserve"> – zdanenie výsluhových dôchodkov do doby dosiahnutia dôchodkového veku poberateľa sa negatívne dotkne približne 20 tis. výsluhových dôchodcov, pri očakávanom priemernom negatívnom vplyve na 1 daňovníka vo výške </w:t>
            </w:r>
            <w:r w:rsidR="001F735D" w:rsidRPr="000E3BC6">
              <w:t>130</w:t>
            </w:r>
            <w:r w:rsidRPr="000E3BC6">
              <w:t xml:space="preserve"> eur</w:t>
            </w:r>
            <w:r w:rsidR="001F735D" w:rsidRPr="000E3BC6">
              <w:t>/</w:t>
            </w:r>
            <w:r w:rsidRPr="000E3BC6">
              <w:t>mesiac.</w:t>
            </w:r>
          </w:p>
          <w:p w:rsidR="00856437" w:rsidRDefault="00856437" w:rsidP="0049774D">
            <w:pPr>
              <w:jc w:val="both"/>
              <w:rPr>
                <w:b/>
              </w:rPr>
            </w:pPr>
          </w:p>
          <w:p w:rsidR="0049774D" w:rsidRDefault="0049774D" w:rsidP="0049774D">
            <w:pPr>
              <w:jc w:val="both"/>
            </w:pPr>
            <w:r w:rsidRPr="00F84F09">
              <w:rPr>
                <w:b/>
                <w:highlight w:val="cyan"/>
              </w:rPr>
              <w:t>Osoby uplatňujúce daňový bonus na deti</w:t>
            </w:r>
            <w:r w:rsidR="00856437" w:rsidRPr="00F84F09">
              <w:rPr>
                <w:b/>
                <w:highlight w:val="cyan"/>
              </w:rPr>
              <w:t xml:space="preserve"> </w:t>
            </w:r>
            <w:r w:rsidR="000E3BC6">
              <w:rPr>
                <w:b/>
                <w:highlight w:val="cyan"/>
              </w:rPr>
              <w:t>staršie ako 19 rokov</w:t>
            </w:r>
            <w:r w:rsidRPr="00F84F09">
              <w:rPr>
                <w:b/>
                <w:highlight w:val="cyan"/>
              </w:rPr>
              <w:t xml:space="preserve"> a osoby s tzv. pasívnymi príjmami, ktoré uplatňujú daňový bonus</w:t>
            </w:r>
            <w:r>
              <w:rPr>
                <w:b/>
              </w:rPr>
              <w:t xml:space="preserve"> – </w:t>
            </w:r>
            <w:r w:rsidRPr="00ED5EC4">
              <w:t>obmedzenie podmienok pre poberanie daňového bonusu na nezaopatrené dieťa sa negatívne dotkne približne 100 tis. denných študentov vysokých škôl, na ktorých sa nebude môcť poberať daňový bonus.</w:t>
            </w:r>
            <w:r w:rsidR="00856437">
              <w:t xml:space="preserve"> Pri odhadovanej priemernej mesačnej výške daňového bonusu na rok 2013 na úrovni </w:t>
            </w:r>
            <w:r w:rsidR="009347D0">
              <w:t>21,31 eur ročný negatívny vplyv na rodinu s jedným vysokoškolákom v roku 2013 tak činí -255,72 eur. Zároveň sa súčasne pripravuje zmena legislatívy v oblasti priznávania a výšky sociálnych štipendií, ktorá by mala v plnej miere kompenzovať stratu nároku na daňový bonus o sociálne najslabších skupín.</w:t>
            </w:r>
          </w:p>
          <w:p w:rsidR="00856437" w:rsidRDefault="00856437" w:rsidP="0049774D">
            <w:pPr>
              <w:jc w:val="both"/>
            </w:pPr>
          </w:p>
          <w:p w:rsidR="0049774D" w:rsidRDefault="0049774D" w:rsidP="0049774D">
            <w:pPr>
              <w:jc w:val="both"/>
            </w:pPr>
            <w:r w:rsidRPr="009C01AF">
              <w:rPr>
                <w:b/>
              </w:rPr>
              <w:t xml:space="preserve">Vybraní ústavní činitelia (prezident, poslanci, členovia vlády a predseda a podpredseda NKÚ) </w:t>
            </w:r>
            <w:r w:rsidRPr="009C01AF">
              <w:t>– zavedenie osobitného odvodu, nad rámec zdanenia</w:t>
            </w:r>
            <w:r w:rsidR="009C01AF" w:rsidRPr="009C01AF">
              <w:t xml:space="preserve"> druhou</w:t>
            </w:r>
            <w:r w:rsidR="00E477FF" w:rsidRPr="009C01AF">
              <w:t xml:space="preserve"> sadzbou DPFO</w:t>
            </w:r>
            <w:r w:rsidRPr="009C01AF">
              <w:t>, ktoré sa bude týkať všetkých FO bude mať negatívny vplyv na 168 ústavných činiteľov.  Za predpokladu, že v roku 2013 dôjde k naplneniu súčasn</w:t>
            </w:r>
            <w:r w:rsidR="009C01AF" w:rsidRPr="009C01AF">
              <w:t>ého</w:t>
            </w:r>
            <w:r w:rsidRPr="009C01AF">
              <w:t xml:space="preserve"> </w:t>
            </w:r>
            <w:r w:rsidR="009C01AF" w:rsidRPr="009C01AF">
              <w:t>znenia</w:t>
            </w:r>
            <w:r w:rsidRPr="009C01AF">
              <w:t xml:space="preserve"> zákona č. 120/1993 Z. z. o platových pomeroch ústavných činiteľov zavedenie </w:t>
            </w:r>
            <w:r w:rsidR="00E477FF" w:rsidRPr="009C01AF">
              <w:t xml:space="preserve">druhej </w:t>
            </w:r>
            <w:r w:rsidRPr="009C01AF">
              <w:t xml:space="preserve">sadzby dane </w:t>
            </w:r>
            <w:r w:rsidR="00F84F09" w:rsidRPr="009C01AF">
              <w:t xml:space="preserve">(vrátane zjednotenia maximálnych vymeriavacích základov) </w:t>
            </w:r>
            <w:r w:rsidRPr="009C01AF">
              <w:t xml:space="preserve">v roku 2013 by malo negatívny vplyv na plat poslanca vo výške 13 eur/mesiac, od ktorého sa odvíjajú aj platové pomery ostatných ústavných činiteľov. Zavedenie osobitnej sadzby dane vo výške 5 % bude mať ďalší negatívny vplyv na mesačný plat poslanca vo </w:t>
            </w:r>
            <w:r w:rsidRPr="009C01AF">
              <w:lastRenderedPageBreak/>
              <w:t>výške približne 109 eur/mesiac, čo v príslušnej miere ovplyvní aj platy ostatných ústavných činiteľov.</w:t>
            </w:r>
          </w:p>
          <w:p w:rsidR="009347D0" w:rsidRDefault="009347D0" w:rsidP="0049774D">
            <w:pPr>
              <w:jc w:val="both"/>
            </w:pPr>
          </w:p>
          <w:p w:rsidR="0049774D" w:rsidRDefault="0049774D" w:rsidP="00090E2A">
            <w:pPr>
              <w:jc w:val="both"/>
            </w:pPr>
            <w:r w:rsidRPr="009C01AF">
              <w:rPr>
                <w:b/>
              </w:rPr>
              <w:t>FO s nadštandardnými príjmami</w:t>
            </w:r>
            <w:r w:rsidRPr="009C01AF">
              <w:t xml:space="preserve"> – zavedenie druhej sadzby dane sa v roku 2013 bude uplatňovať od ročného základu dane vo výške 176,8-násobku ŽM, teda od hranice, pri ktorej daňovník stratí nárok na nezdaniteľnú časť základu dane. Na mesačnej báze to znamená, že zdaneniu </w:t>
            </w:r>
            <w:r w:rsidR="009C01AF" w:rsidRPr="009C01AF">
              <w:t>druhou</w:t>
            </w:r>
            <w:r w:rsidR="00E477FF" w:rsidRPr="009C01AF">
              <w:t xml:space="preserve"> sadzbou </w:t>
            </w:r>
            <w:r w:rsidRPr="009C01AF">
              <w:t>bude podliehať fyzická osoba so zák</w:t>
            </w:r>
            <w:r w:rsidR="00E477FF" w:rsidRPr="009C01AF">
              <w:t>ladom dane vyšším ako   2</w:t>
            </w:r>
            <w:r w:rsidR="009C01AF" w:rsidRPr="009C01AF">
              <w:t> </w:t>
            </w:r>
            <w:r w:rsidRPr="009C01AF">
              <w:t>867 eur</w:t>
            </w:r>
            <w:r w:rsidR="0046481A" w:rsidRPr="009C01AF">
              <w:t xml:space="preserve"> (berie v úvahu aj zjednotenie maximálnych vymeriavacích základov)</w:t>
            </w:r>
            <w:r w:rsidRPr="009C01AF">
              <w:t xml:space="preserve">, čo v prípade zamestnanca zodpovedá hrubému príjmu 3 311 eur v roku 2013. Uvedená zmena sa podľa údajov mzdovej distribúcie dotkne len 1,2 % zamestnancov. </w:t>
            </w:r>
            <w:r w:rsidR="0046481A" w:rsidRPr="009C01AF">
              <w:t>Priemerný vplyv z dôvodu zavedenia druhej sadzby na da</w:t>
            </w:r>
            <w:r w:rsidR="00090E2A" w:rsidRPr="009C01AF">
              <w:t>ňovníka je 199 Eur/mesiac</w:t>
            </w:r>
            <w:r w:rsidR="0046481A" w:rsidRPr="009C01AF">
              <w:t xml:space="preserve"> (</w:t>
            </w:r>
            <w:r w:rsidR="00090E2A" w:rsidRPr="009C01AF">
              <w:t>bez vplyvu zjednotenia maximálnych vymeriavacích základov).</w:t>
            </w:r>
            <w:r>
              <w:t xml:space="preserve"> </w:t>
            </w:r>
          </w:p>
          <w:p w:rsidR="009F682C" w:rsidRDefault="009F682C" w:rsidP="00090E2A">
            <w:pPr>
              <w:jc w:val="both"/>
            </w:pPr>
          </w:p>
        </w:tc>
      </w:tr>
      <w:tr w:rsidR="0049774D" w:rsidRPr="00495317" w:rsidTr="00FE1481">
        <w:trPr>
          <w:trHeight w:val="4309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D" w:rsidRPr="00495317" w:rsidRDefault="0049774D" w:rsidP="00F11DB8">
            <w:r w:rsidRPr="00495317">
              <w:rPr>
                <w:b/>
              </w:rPr>
              <w:lastRenderedPageBreak/>
              <w:t>4.2.</w:t>
            </w:r>
            <w:r w:rsidRPr="00495317"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74D" w:rsidRPr="0049774D" w:rsidRDefault="0049774D" w:rsidP="0049774D">
            <w:pPr>
              <w:jc w:val="both"/>
            </w:pPr>
            <w:r w:rsidRPr="0049774D">
              <w:t xml:space="preserve">Nepredpokladá sa vplyv na prístup k zdrojom, právam, tovarom a službám. </w:t>
            </w:r>
          </w:p>
        </w:tc>
      </w:tr>
      <w:tr w:rsidR="0049774D" w:rsidRPr="00495317" w:rsidTr="00C36DD8">
        <w:trPr>
          <w:trHeight w:val="66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D" w:rsidRPr="00495317" w:rsidRDefault="0049774D" w:rsidP="00A87A38">
            <w:r w:rsidRPr="00495317">
              <w:rPr>
                <w:b/>
              </w:rPr>
              <w:t>4.3.</w:t>
            </w:r>
            <w:r w:rsidRPr="00495317">
              <w:rPr>
                <w:sz w:val="22"/>
                <w:szCs w:val="22"/>
              </w:rPr>
              <w:t xml:space="preserve">  </w:t>
            </w:r>
            <w:r w:rsidRPr="00495317">
              <w:t>Zhodnoťte vplyv na rovnosť príležitostí:</w:t>
            </w:r>
          </w:p>
          <w:p w:rsidR="0049774D" w:rsidRPr="00495317" w:rsidRDefault="0049774D" w:rsidP="00A87A38"/>
          <w:p w:rsidR="0049774D" w:rsidRPr="00495317" w:rsidRDefault="0049774D" w:rsidP="00A87A38">
            <w:r w:rsidRPr="00495317">
              <w:t>Zhodnoťte vplyv na rodovú rovnosť.</w:t>
            </w:r>
          </w:p>
          <w:p w:rsidR="0049774D" w:rsidRPr="00495317" w:rsidRDefault="0049774D" w:rsidP="00A87A38"/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74D" w:rsidRPr="00495317" w:rsidRDefault="0049774D" w:rsidP="0049774D">
            <w:pPr>
              <w:jc w:val="both"/>
            </w:pPr>
            <w:r w:rsidRPr="00495317">
              <w:t>Nepredpokladá sa vplyv na rodovú rovnosť.</w:t>
            </w:r>
          </w:p>
          <w:p w:rsidR="0049774D" w:rsidRPr="00495317" w:rsidRDefault="0049774D" w:rsidP="0030081F">
            <w:pPr>
              <w:ind w:left="355"/>
              <w:jc w:val="both"/>
            </w:pPr>
          </w:p>
        </w:tc>
      </w:tr>
      <w:tr w:rsidR="0049774D" w:rsidRPr="00495317" w:rsidTr="00C36DD8">
        <w:trPr>
          <w:trHeight w:val="2252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D" w:rsidRPr="00495317" w:rsidRDefault="0049774D" w:rsidP="00A87A38">
            <w:r w:rsidRPr="00495317">
              <w:rPr>
                <w:b/>
              </w:rPr>
              <w:lastRenderedPageBreak/>
              <w:t xml:space="preserve">4.4. </w:t>
            </w:r>
            <w:r w:rsidRPr="00495317">
              <w:t>Zhodnoťte vplyvy na zamestnanosť.</w:t>
            </w:r>
          </w:p>
          <w:p w:rsidR="0049774D" w:rsidRPr="00495317" w:rsidRDefault="0049774D" w:rsidP="00A87A38">
            <w:pPr>
              <w:rPr>
                <w:b/>
              </w:rPr>
            </w:pPr>
          </w:p>
          <w:p w:rsidR="0049774D" w:rsidRPr="00495317" w:rsidRDefault="0049774D" w:rsidP="00A87A38">
            <w:pPr>
              <w:rPr>
                <w:bCs/>
              </w:rPr>
            </w:pPr>
            <w:r w:rsidRPr="00495317">
              <w:rPr>
                <w:bCs/>
              </w:rPr>
              <w:t>Aké sú  vplyvy na zamestnanosť ?</w:t>
            </w:r>
          </w:p>
          <w:p w:rsidR="0049774D" w:rsidRPr="00495317" w:rsidRDefault="0049774D" w:rsidP="00A87A38">
            <w:r w:rsidRPr="00495317">
              <w:rPr>
                <w:bCs/>
              </w:rPr>
              <w:t>Ktoré skupiny zamestnancov budú ohrozené schválením predkladaného materiálu ?</w:t>
            </w:r>
          </w:p>
          <w:p w:rsidR="0049774D" w:rsidRPr="00495317" w:rsidRDefault="0049774D" w:rsidP="00A87A38">
            <w:pPr>
              <w:rPr>
                <w:bCs/>
              </w:rPr>
            </w:pPr>
            <w:r w:rsidRPr="00495317">
              <w:rPr>
                <w:bCs/>
              </w:rPr>
              <w:t>Hrozí v prípade schválenia predkladaného materiálu hromadné prepúšťanie ?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D" w:rsidRPr="00495317" w:rsidRDefault="0049774D" w:rsidP="00275D4F">
            <w:pPr>
              <w:jc w:val="both"/>
            </w:pPr>
            <w:r w:rsidRPr="00495317">
              <w:t> Nepredpokladá sa vplyv na zamestnanosť.</w:t>
            </w:r>
          </w:p>
          <w:p w:rsidR="0049774D" w:rsidRPr="00495317" w:rsidRDefault="0049774D" w:rsidP="00275D4F">
            <w:pPr>
              <w:jc w:val="both"/>
            </w:pPr>
          </w:p>
          <w:p w:rsidR="0049774D" w:rsidRPr="00495317" w:rsidRDefault="0049774D" w:rsidP="00275D4F">
            <w:pPr>
              <w:jc w:val="both"/>
            </w:pPr>
          </w:p>
          <w:p w:rsidR="0049774D" w:rsidRPr="00495317" w:rsidRDefault="0049774D" w:rsidP="00275D4F">
            <w:pPr>
              <w:jc w:val="both"/>
            </w:pPr>
          </w:p>
          <w:p w:rsidR="0049774D" w:rsidRPr="00495317" w:rsidRDefault="0049774D" w:rsidP="00275D4F">
            <w:pPr>
              <w:jc w:val="both"/>
            </w:pPr>
          </w:p>
        </w:tc>
      </w:tr>
    </w:tbl>
    <w:p w:rsidR="006A0A0F" w:rsidRDefault="006A0A0F" w:rsidP="006A0A0F">
      <w:pPr>
        <w:jc w:val="both"/>
        <w:rPr>
          <w:b/>
        </w:rPr>
      </w:pPr>
    </w:p>
    <w:p w:rsidR="00D61EF2" w:rsidRDefault="00D61EF2" w:rsidP="00397870">
      <w:pPr>
        <w:autoSpaceDE w:val="0"/>
        <w:autoSpaceDN w:val="0"/>
        <w:adjustRightInd w:val="0"/>
        <w:spacing w:line="300" w:lineRule="atLeast"/>
        <w:jc w:val="both"/>
        <w:rPr>
          <w:color w:val="000000"/>
        </w:rPr>
      </w:pPr>
    </w:p>
    <w:sectPr w:rsidR="00D61EF2" w:rsidSect="00B95CB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38" w:rsidRDefault="00A42B38">
      <w:r>
        <w:separator/>
      </w:r>
    </w:p>
  </w:endnote>
  <w:endnote w:type="continuationSeparator" w:id="0">
    <w:p w:rsidR="00A42B38" w:rsidRDefault="00A4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C4" w:rsidRDefault="00B95CBA" w:rsidP="00E5540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D5EC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D5EC4" w:rsidRDefault="00ED5EC4" w:rsidP="00C57DB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C4" w:rsidRDefault="00B95CBA" w:rsidP="00E5540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D5EC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428CB">
      <w:rPr>
        <w:rStyle w:val="slostrany"/>
        <w:noProof/>
      </w:rPr>
      <w:t>1</w:t>
    </w:r>
    <w:r>
      <w:rPr>
        <w:rStyle w:val="slostrany"/>
      </w:rPr>
      <w:fldChar w:fldCharType="end"/>
    </w:r>
  </w:p>
  <w:p w:rsidR="00ED5EC4" w:rsidRDefault="00ED5EC4" w:rsidP="00C57DBE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38" w:rsidRDefault="00A42B38">
      <w:r>
        <w:separator/>
      </w:r>
    </w:p>
  </w:footnote>
  <w:footnote w:type="continuationSeparator" w:id="0">
    <w:p w:rsidR="00A42B38" w:rsidRDefault="00A42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C4" w:rsidRDefault="00ED5EC4">
    <w:pPr>
      <w:pStyle w:val="Hlavika"/>
    </w:pPr>
    <w:r>
      <w:t xml:space="preserve">                                                                                                                               Príloha č.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16"/>
    <w:multiLevelType w:val="hybridMultilevel"/>
    <w:tmpl w:val="F184DAFC"/>
    <w:lvl w:ilvl="0" w:tplc="041B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34C3406"/>
    <w:multiLevelType w:val="multilevel"/>
    <w:tmpl w:val="A0567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2539"/>
    <w:multiLevelType w:val="hybridMultilevel"/>
    <w:tmpl w:val="47E6B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476F"/>
    <w:multiLevelType w:val="hybridMultilevel"/>
    <w:tmpl w:val="08504D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E2AB6"/>
    <w:multiLevelType w:val="hybridMultilevel"/>
    <w:tmpl w:val="4FC6E1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A47897"/>
    <w:multiLevelType w:val="hybridMultilevel"/>
    <w:tmpl w:val="E278BF6E"/>
    <w:lvl w:ilvl="0" w:tplc="F56A7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61BD3"/>
    <w:multiLevelType w:val="hybridMultilevel"/>
    <w:tmpl w:val="5888E456"/>
    <w:lvl w:ilvl="0" w:tplc="7848D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7B7CC1"/>
    <w:multiLevelType w:val="hybridMultilevel"/>
    <w:tmpl w:val="9DE84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961C3F"/>
    <w:multiLevelType w:val="hybridMultilevel"/>
    <w:tmpl w:val="A056762A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3C47CE4"/>
    <w:multiLevelType w:val="hybridMultilevel"/>
    <w:tmpl w:val="FB50BC44"/>
    <w:lvl w:ilvl="0" w:tplc="DCB23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196664"/>
    <w:multiLevelType w:val="hybridMultilevel"/>
    <w:tmpl w:val="B63A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B52C5"/>
    <w:multiLevelType w:val="hybridMultilevel"/>
    <w:tmpl w:val="19A061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B0264"/>
    <w:multiLevelType w:val="hybridMultilevel"/>
    <w:tmpl w:val="EBE2DA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76D7F"/>
    <w:multiLevelType w:val="hybridMultilevel"/>
    <w:tmpl w:val="01AEA7E4"/>
    <w:lvl w:ilvl="0" w:tplc="6BE6E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63587D9C"/>
    <w:multiLevelType w:val="hybridMultilevel"/>
    <w:tmpl w:val="E278BF6E"/>
    <w:lvl w:ilvl="0" w:tplc="F56A7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03452AE"/>
    <w:multiLevelType w:val="hybridMultilevel"/>
    <w:tmpl w:val="E1D6945A"/>
    <w:lvl w:ilvl="0" w:tplc="8CF0674A">
      <w:numFmt w:val="bullet"/>
      <w:lvlText w:val="-"/>
      <w:lvlJc w:val="left"/>
      <w:pPr>
        <w:ind w:left="405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724B6953"/>
    <w:multiLevelType w:val="hybridMultilevel"/>
    <w:tmpl w:val="B2829F0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F911FB"/>
    <w:multiLevelType w:val="hybridMultilevel"/>
    <w:tmpl w:val="E278BF6E"/>
    <w:lvl w:ilvl="0" w:tplc="F56A7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E315A"/>
    <w:multiLevelType w:val="hybridMultilevel"/>
    <w:tmpl w:val="8CE6FD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15"/>
  </w:num>
  <w:num w:numId="13">
    <w:abstractNumId w:val="4"/>
  </w:num>
  <w:num w:numId="14">
    <w:abstractNumId w:val="6"/>
  </w:num>
  <w:num w:numId="15">
    <w:abstractNumId w:val="17"/>
  </w:num>
  <w:num w:numId="16">
    <w:abstractNumId w:val="13"/>
  </w:num>
  <w:num w:numId="17">
    <w:abstractNumId w:val="14"/>
  </w:num>
  <w:num w:numId="18">
    <w:abstractNumId w:val="22"/>
  </w:num>
  <w:num w:numId="19">
    <w:abstractNumId w:val="3"/>
  </w:num>
  <w:num w:numId="20">
    <w:abstractNumId w:val="24"/>
  </w:num>
  <w:num w:numId="21">
    <w:abstractNumId w:val="21"/>
  </w:num>
  <w:num w:numId="22">
    <w:abstractNumId w:val="16"/>
  </w:num>
  <w:num w:numId="23">
    <w:abstractNumId w:val="1"/>
  </w:num>
  <w:num w:numId="24">
    <w:abstractNumId w:val="19"/>
  </w:num>
  <w:num w:numId="25">
    <w:abstractNumId w:val="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CCF"/>
    <w:rsid w:val="00001877"/>
    <w:rsid w:val="000065A9"/>
    <w:rsid w:val="00007944"/>
    <w:rsid w:val="00012287"/>
    <w:rsid w:val="00021860"/>
    <w:rsid w:val="00031343"/>
    <w:rsid w:val="00032327"/>
    <w:rsid w:val="000329D5"/>
    <w:rsid w:val="00037C3F"/>
    <w:rsid w:val="00041DE9"/>
    <w:rsid w:val="00042608"/>
    <w:rsid w:val="00042787"/>
    <w:rsid w:val="000438AF"/>
    <w:rsid w:val="000457DA"/>
    <w:rsid w:val="00050CD7"/>
    <w:rsid w:val="00052109"/>
    <w:rsid w:val="0005425E"/>
    <w:rsid w:val="00062B7D"/>
    <w:rsid w:val="00065A30"/>
    <w:rsid w:val="000665C2"/>
    <w:rsid w:val="00071BF8"/>
    <w:rsid w:val="0007385D"/>
    <w:rsid w:val="0008045D"/>
    <w:rsid w:val="00082018"/>
    <w:rsid w:val="0008212B"/>
    <w:rsid w:val="000831A5"/>
    <w:rsid w:val="000853E4"/>
    <w:rsid w:val="000854F8"/>
    <w:rsid w:val="00087647"/>
    <w:rsid w:val="000901BA"/>
    <w:rsid w:val="00090E2A"/>
    <w:rsid w:val="00093BE2"/>
    <w:rsid w:val="0009419E"/>
    <w:rsid w:val="00094BB4"/>
    <w:rsid w:val="000958FA"/>
    <w:rsid w:val="00095D1A"/>
    <w:rsid w:val="00097170"/>
    <w:rsid w:val="000B0731"/>
    <w:rsid w:val="000B0953"/>
    <w:rsid w:val="000B130C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3BC6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44A6"/>
    <w:rsid w:val="00125977"/>
    <w:rsid w:val="00134324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1A10"/>
    <w:rsid w:val="0017502B"/>
    <w:rsid w:val="00175442"/>
    <w:rsid w:val="001773C6"/>
    <w:rsid w:val="0018252F"/>
    <w:rsid w:val="00184C4F"/>
    <w:rsid w:val="00186DEA"/>
    <w:rsid w:val="0018773C"/>
    <w:rsid w:val="00193E5A"/>
    <w:rsid w:val="001A1180"/>
    <w:rsid w:val="001A1BBF"/>
    <w:rsid w:val="001A284A"/>
    <w:rsid w:val="001A2E20"/>
    <w:rsid w:val="001B0F66"/>
    <w:rsid w:val="001B1812"/>
    <w:rsid w:val="001B57EC"/>
    <w:rsid w:val="001B7D0E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1F735D"/>
    <w:rsid w:val="002021FE"/>
    <w:rsid w:val="00203DD9"/>
    <w:rsid w:val="0020462E"/>
    <w:rsid w:val="00205E23"/>
    <w:rsid w:val="00210D4C"/>
    <w:rsid w:val="00211B26"/>
    <w:rsid w:val="0021684F"/>
    <w:rsid w:val="00217E9E"/>
    <w:rsid w:val="002218E7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716EE"/>
    <w:rsid w:val="00275D4F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977C9"/>
    <w:rsid w:val="002A2D5E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1557"/>
    <w:rsid w:val="002D646B"/>
    <w:rsid w:val="002E40FB"/>
    <w:rsid w:val="002E4D4B"/>
    <w:rsid w:val="002E5846"/>
    <w:rsid w:val="002E6125"/>
    <w:rsid w:val="002E6729"/>
    <w:rsid w:val="002F0B28"/>
    <w:rsid w:val="002F434C"/>
    <w:rsid w:val="002F591C"/>
    <w:rsid w:val="002F5EC0"/>
    <w:rsid w:val="002F6FAF"/>
    <w:rsid w:val="002F78DF"/>
    <w:rsid w:val="0030081F"/>
    <w:rsid w:val="00300EB5"/>
    <w:rsid w:val="00300FC3"/>
    <w:rsid w:val="00305474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4D94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342"/>
    <w:rsid w:val="00395954"/>
    <w:rsid w:val="00396925"/>
    <w:rsid w:val="00396E19"/>
    <w:rsid w:val="00397131"/>
    <w:rsid w:val="00397870"/>
    <w:rsid w:val="003A0138"/>
    <w:rsid w:val="003A05AA"/>
    <w:rsid w:val="003A061B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0F23"/>
    <w:rsid w:val="003E2667"/>
    <w:rsid w:val="003E3BC1"/>
    <w:rsid w:val="003E45C4"/>
    <w:rsid w:val="003E497C"/>
    <w:rsid w:val="003E7896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2A8"/>
    <w:rsid w:val="00413805"/>
    <w:rsid w:val="00414253"/>
    <w:rsid w:val="004164DC"/>
    <w:rsid w:val="004208EC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481A"/>
    <w:rsid w:val="00465B09"/>
    <w:rsid w:val="00466AB0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317"/>
    <w:rsid w:val="00495572"/>
    <w:rsid w:val="00496F8B"/>
    <w:rsid w:val="0049774D"/>
    <w:rsid w:val="004A03E9"/>
    <w:rsid w:val="004A0BC1"/>
    <w:rsid w:val="004A3564"/>
    <w:rsid w:val="004A3CB2"/>
    <w:rsid w:val="004A4217"/>
    <w:rsid w:val="004A6DD3"/>
    <w:rsid w:val="004A7438"/>
    <w:rsid w:val="004A74DB"/>
    <w:rsid w:val="004B0910"/>
    <w:rsid w:val="004B2AED"/>
    <w:rsid w:val="004B47CC"/>
    <w:rsid w:val="004B6378"/>
    <w:rsid w:val="004B67D0"/>
    <w:rsid w:val="004B748E"/>
    <w:rsid w:val="004C0DDE"/>
    <w:rsid w:val="004C139B"/>
    <w:rsid w:val="004C303D"/>
    <w:rsid w:val="004C453D"/>
    <w:rsid w:val="004C789B"/>
    <w:rsid w:val="004D1916"/>
    <w:rsid w:val="004D5A7E"/>
    <w:rsid w:val="004D79B9"/>
    <w:rsid w:val="004E05FA"/>
    <w:rsid w:val="004E43CC"/>
    <w:rsid w:val="004F7808"/>
    <w:rsid w:val="005000B4"/>
    <w:rsid w:val="00500C00"/>
    <w:rsid w:val="00501139"/>
    <w:rsid w:val="005038E8"/>
    <w:rsid w:val="005061D4"/>
    <w:rsid w:val="0050640D"/>
    <w:rsid w:val="00506849"/>
    <w:rsid w:val="00511ED1"/>
    <w:rsid w:val="00512358"/>
    <w:rsid w:val="0051538F"/>
    <w:rsid w:val="00516966"/>
    <w:rsid w:val="00521E7E"/>
    <w:rsid w:val="00523E6E"/>
    <w:rsid w:val="005241FE"/>
    <w:rsid w:val="00524565"/>
    <w:rsid w:val="0052486E"/>
    <w:rsid w:val="0052539E"/>
    <w:rsid w:val="00530691"/>
    <w:rsid w:val="00531FE4"/>
    <w:rsid w:val="00533D74"/>
    <w:rsid w:val="0053410A"/>
    <w:rsid w:val="005353B9"/>
    <w:rsid w:val="00535A79"/>
    <w:rsid w:val="00535BD1"/>
    <w:rsid w:val="00536881"/>
    <w:rsid w:val="005375AC"/>
    <w:rsid w:val="00537925"/>
    <w:rsid w:val="00540576"/>
    <w:rsid w:val="005414EA"/>
    <w:rsid w:val="0054470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332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2617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B68C7"/>
    <w:rsid w:val="005C0018"/>
    <w:rsid w:val="005C4C36"/>
    <w:rsid w:val="005C5A15"/>
    <w:rsid w:val="005C6855"/>
    <w:rsid w:val="005D0441"/>
    <w:rsid w:val="005D170A"/>
    <w:rsid w:val="005D1DD7"/>
    <w:rsid w:val="005D3593"/>
    <w:rsid w:val="005D4640"/>
    <w:rsid w:val="005D6D27"/>
    <w:rsid w:val="005D6F85"/>
    <w:rsid w:val="005E20EA"/>
    <w:rsid w:val="005E3070"/>
    <w:rsid w:val="005E5741"/>
    <w:rsid w:val="005E6925"/>
    <w:rsid w:val="005E6BC2"/>
    <w:rsid w:val="005E7189"/>
    <w:rsid w:val="005E7269"/>
    <w:rsid w:val="005F1A92"/>
    <w:rsid w:val="005F3DF8"/>
    <w:rsid w:val="005F664A"/>
    <w:rsid w:val="006031C2"/>
    <w:rsid w:val="00605C59"/>
    <w:rsid w:val="006220BB"/>
    <w:rsid w:val="006228E8"/>
    <w:rsid w:val="00623418"/>
    <w:rsid w:val="00624CCF"/>
    <w:rsid w:val="00625F21"/>
    <w:rsid w:val="00626827"/>
    <w:rsid w:val="00627B86"/>
    <w:rsid w:val="006314A5"/>
    <w:rsid w:val="006330CB"/>
    <w:rsid w:val="006346F5"/>
    <w:rsid w:val="00634FE5"/>
    <w:rsid w:val="006411E7"/>
    <w:rsid w:val="00644B1D"/>
    <w:rsid w:val="006512E3"/>
    <w:rsid w:val="006516F7"/>
    <w:rsid w:val="00656031"/>
    <w:rsid w:val="0065631C"/>
    <w:rsid w:val="00664475"/>
    <w:rsid w:val="00664B75"/>
    <w:rsid w:val="00665BFA"/>
    <w:rsid w:val="00672384"/>
    <w:rsid w:val="006735BF"/>
    <w:rsid w:val="00675DAD"/>
    <w:rsid w:val="00680B4D"/>
    <w:rsid w:val="00685D81"/>
    <w:rsid w:val="00691AFB"/>
    <w:rsid w:val="00695E67"/>
    <w:rsid w:val="006964CA"/>
    <w:rsid w:val="006A0A0F"/>
    <w:rsid w:val="006A1ECF"/>
    <w:rsid w:val="006A2626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206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326F0"/>
    <w:rsid w:val="0075242C"/>
    <w:rsid w:val="007524C4"/>
    <w:rsid w:val="007542D5"/>
    <w:rsid w:val="007567B5"/>
    <w:rsid w:val="0075734D"/>
    <w:rsid w:val="0076023A"/>
    <w:rsid w:val="00760C82"/>
    <w:rsid w:val="007618DE"/>
    <w:rsid w:val="00762121"/>
    <w:rsid w:val="007626AC"/>
    <w:rsid w:val="00762DE1"/>
    <w:rsid w:val="0076767E"/>
    <w:rsid w:val="00772057"/>
    <w:rsid w:val="007722FA"/>
    <w:rsid w:val="00774741"/>
    <w:rsid w:val="00775F98"/>
    <w:rsid w:val="0077671B"/>
    <w:rsid w:val="0077799E"/>
    <w:rsid w:val="007814FA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5F7"/>
    <w:rsid w:val="007B4920"/>
    <w:rsid w:val="007B4A7D"/>
    <w:rsid w:val="007C17DA"/>
    <w:rsid w:val="007C1A7B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3EF1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1993"/>
    <w:rsid w:val="00813F86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59F9"/>
    <w:rsid w:val="00845DBE"/>
    <w:rsid w:val="0084740D"/>
    <w:rsid w:val="008500C7"/>
    <w:rsid w:val="00850A55"/>
    <w:rsid w:val="00851B98"/>
    <w:rsid w:val="0085200E"/>
    <w:rsid w:val="008557C5"/>
    <w:rsid w:val="00856437"/>
    <w:rsid w:val="0086170F"/>
    <w:rsid w:val="008706B1"/>
    <w:rsid w:val="00872071"/>
    <w:rsid w:val="00872B40"/>
    <w:rsid w:val="00873FC1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00B"/>
    <w:rsid w:val="00896163"/>
    <w:rsid w:val="00896653"/>
    <w:rsid w:val="00897197"/>
    <w:rsid w:val="008975F1"/>
    <w:rsid w:val="008A1C3B"/>
    <w:rsid w:val="008A25EE"/>
    <w:rsid w:val="008A6049"/>
    <w:rsid w:val="008A604E"/>
    <w:rsid w:val="008B10E3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1908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7D0"/>
    <w:rsid w:val="00934C9D"/>
    <w:rsid w:val="009357B7"/>
    <w:rsid w:val="00936F4F"/>
    <w:rsid w:val="00937C91"/>
    <w:rsid w:val="00940A59"/>
    <w:rsid w:val="00940D0C"/>
    <w:rsid w:val="009415AB"/>
    <w:rsid w:val="00943CA7"/>
    <w:rsid w:val="009449FE"/>
    <w:rsid w:val="00944C45"/>
    <w:rsid w:val="00945391"/>
    <w:rsid w:val="00946F53"/>
    <w:rsid w:val="00951630"/>
    <w:rsid w:val="00952ACD"/>
    <w:rsid w:val="009609F2"/>
    <w:rsid w:val="00961731"/>
    <w:rsid w:val="0096184D"/>
    <w:rsid w:val="009654C6"/>
    <w:rsid w:val="00965970"/>
    <w:rsid w:val="0096653D"/>
    <w:rsid w:val="009668BE"/>
    <w:rsid w:val="00970054"/>
    <w:rsid w:val="00973374"/>
    <w:rsid w:val="009813A1"/>
    <w:rsid w:val="00984DA0"/>
    <w:rsid w:val="0099012E"/>
    <w:rsid w:val="00990F4E"/>
    <w:rsid w:val="0099179B"/>
    <w:rsid w:val="009940EE"/>
    <w:rsid w:val="00994EB9"/>
    <w:rsid w:val="00994EDA"/>
    <w:rsid w:val="00995404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1AF"/>
    <w:rsid w:val="009C0655"/>
    <w:rsid w:val="009C28D4"/>
    <w:rsid w:val="009C591A"/>
    <w:rsid w:val="009D0434"/>
    <w:rsid w:val="009D0E1B"/>
    <w:rsid w:val="009D53DB"/>
    <w:rsid w:val="009D6AE1"/>
    <w:rsid w:val="009E50C9"/>
    <w:rsid w:val="009E5A06"/>
    <w:rsid w:val="009E5E68"/>
    <w:rsid w:val="009E71D7"/>
    <w:rsid w:val="009F1786"/>
    <w:rsid w:val="009F682C"/>
    <w:rsid w:val="00A05788"/>
    <w:rsid w:val="00A06AE8"/>
    <w:rsid w:val="00A12688"/>
    <w:rsid w:val="00A127B2"/>
    <w:rsid w:val="00A14BBE"/>
    <w:rsid w:val="00A15E45"/>
    <w:rsid w:val="00A22546"/>
    <w:rsid w:val="00A24E99"/>
    <w:rsid w:val="00A259AB"/>
    <w:rsid w:val="00A25E3A"/>
    <w:rsid w:val="00A300E9"/>
    <w:rsid w:val="00A32A59"/>
    <w:rsid w:val="00A3584B"/>
    <w:rsid w:val="00A410B8"/>
    <w:rsid w:val="00A415E9"/>
    <w:rsid w:val="00A42B38"/>
    <w:rsid w:val="00A4397D"/>
    <w:rsid w:val="00A43B44"/>
    <w:rsid w:val="00A43C14"/>
    <w:rsid w:val="00A4435C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87A38"/>
    <w:rsid w:val="00A9220C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09D8"/>
    <w:rsid w:val="00AB18CD"/>
    <w:rsid w:val="00AB2B4E"/>
    <w:rsid w:val="00AB3936"/>
    <w:rsid w:val="00AB63D0"/>
    <w:rsid w:val="00AB6B73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6B74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5F19"/>
    <w:rsid w:val="00B077DE"/>
    <w:rsid w:val="00B101F0"/>
    <w:rsid w:val="00B1052E"/>
    <w:rsid w:val="00B1100D"/>
    <w:rsid w:val="00B12DFA"/>
    <w:rsid w:val="00B144CE"/>
    <w:rsid w:val="00B144FB"/>
    <w:rsid w:val="00B14588"/>
    <w:rsid w:val="00B14EAC"/>
    <w:rsid w:val="00B15780"/>
    <w:rsid w:val="00B1589E"/>
    <w:rsid w:val="00B16D98"/>
    <w:rsid w:val="00B17F7D"/>
    <w:rsid w:val="00B2216E"/>
    <w:rsid w:val="00B227BC"/>
    <w:rsid w:val="00B2427B"/>
    <w:rsid w:val="00B30A55"/>
    <w:rsid w:val="00B33194"/>
    <w:rsid w:val="00B344BF"/>
    <w:rsid w:val="00B34C8F"/>
    <w:rsid w:val="00B40AC5"/>
    <w:rsid w:val="00B428CB"/>
    <w:rsid w:val="00B46137"/>
    <w:rsid w:val="00B501B8"/>
    <w:rsid w:val="00B514FA"/>
    <w:rsid w:val="00B53972"/>
    <w:rsid w:val="00B55A3C"/>
    <w:rsid w:val="00B56678"/>
    <w:rsid w:val="00B60BB8"/>
    <w:rsid w:val="00B63193"/>
    <w:rsid w:val="00B6374E"/>
    <w:rsid w:val="00B63E64"/>
    <w:rsid w:val="00B67293"/>
    <w:rsid w:val="00B70094"/>
    <w:rsid w:val="00B70E69"/>
    <w:rsid w:val="00B70FFD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5CBA"/>
    <w:rsid w:val="00B971A8"/>
    <w:rsid w:val="00B97824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0E0C"/>
    <w:rsid w:val="00BD7A52"/>
    <w:rsid w:val="00BE20C1"/>
    <w:rsid w:val="00BE79E3"/>
    <w:rsid w:val="00BF2483"/>
    <w:rsid w:val="00BF311D"/>
    <w:rsid w:val="00BF3ADC"/>
    <w:rsid w:val="00BF5440"/>
    <w:rsid w:val="00C01643"/>
    <w:rsid w:val="00C02377"/>
    <w:rsid w:val="00C03AA5"/>
    <w:rsid w:val="00C03AE7"/>
    <w:rsid w:val="00C05EE0"/>
    <w:rsid w:val="00C06B53"/>
    <w:rsid w:val="00C071D0"/>
    <w:rsid w:val="00C1046D"/>
    <w:rsid w:val="00C10487"/>
    <w:rsid w:val="00C113C0"/>
    <w:rsid w:val="00C15928"/>
    <w:rsid w:val="00C16EE9"/>
    <w:rsid w:val="00C17701"/>
    <w:rsid w:val="00C20228"/>
    <w:rsid w:val="00C252AB"/>
    <w:rsid w:val="00C27626"/>
    <w:rsid w:val="00C31859"/>
    <w:rsid w:val="00C31AEF"/>
    <w:rsid w:val="00C32040"/>
    <w:rsid w:val="00C33ECC"/>
    <w:rsid w:val="00C34F5A"/>
    <w:rsid w:val="00C35095"/>
    <w:rsid w:val="00C36DD8"/>
    <w:rsid w:val="00C40052"/>
    <w:rsid w:val="00C40190"/>
    <w:rsid w:val="00C43675"/>
    <w:rsid w:val="00C438BC"/>
    <w:rsid w:val="00C45ED6"/>
    <w:rsid w:val="00C47C59"/>
    <w:rsid w:val="00C50909"/>
    <w:rsid w:val="00C515E5"/>
    <w:rsid w:val="00C557B3"/>
    <w:rsid w:val="00C55AC4"/>
    <w:rsid w:val="00C565A0"/>
    <w:rsid w:val="00C57DBE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01F4"/>
    <w:rsid w:val="00CD3ED1"/>
    <w:rsid w:val="00CD7368"/>
    <w:rsid w:val="00CE07E4"/>
    <w:rsid w:val="00CE212E"/>
    <w:rsid w:val="00CE5E05"/>
    <w:rsid w:val="00CF0B61"/>
    <w:rsid w:val="00CF18ED"/>
    <w:rsid w:val="00CF43C8"/>
    <w:rsid w:val="00D0094D"/>
    <w:rsid w:val="00D0245F"/>
    <w:rsid w:val="00D03F32"/>
    <w:rsid w:val="00D04A1B"/>
    <w:rsid w:val="00D04A94"/>
    <w:rsid w:val="00D04DAD"/>
    <w:rsid w:val="00D05495"/>
    <w:rsid w:val="00D11E95"/>
    <w:rsid w:val="00D14F2A"/>
    <w:rsid w:val="00D27C91"/>
    <w:rsid w:val="00D27F78"/>
    <w:rsid w:val="00D30292"/>
    <w:rsid w:val="00D34D5D"/>
    <w:rsid w:val="00D35C37"/>
    <w:rsid w:val="00D3627D"/>
    <w:rsid w:val="00D40AE4"/>
    <w:rsid w:val="00D42915"/>
    <w:rsid w:val="00D47339"/>
    <w:rsid w:val="00D526CC"/>
    <w:rsid w:val="00D540F7"/>
    <w:rsid w:val="00D54F98"/>
    <w:rsid w:val="00D573C9"/>
    <w:rsid w:val="00D61EF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315"/>
    <w:rsid w:val="00D929D1"/>
    <w:rsid w:val="00D938DD"/>
    <w:rsid w:val="00D93ADF"/>
    <w:rsid w:val="00D9497D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2BEC"/>
    <w:rsid w:val="00E04068"/>
    <w:rsid w:val="00E0622F"/>
    <w:rsid w:val="00E13930"/>
    <w:rsid w:val="00E15121"/>
    <w:rsid w:val="00E15C10"/>
    <w:rsid w:val="00E16B52"/>
    <w:rsid w:val="00E23D0E"/>
    <w:rsid w:val="00E240A1"/>
    <w:rsid w:val="00E26472"/>
    <w:rsid w:val="00E31FD8"/>
    <w:rsid w:val="00E3631E"/>
    <w:rsid w:val="00E363AC"/>
    <w:rsid w:val="00E36A11"/>
    <w:rsid w:val="00E370C7"/>
    <w:rsid w:val="00E40EB6"/>
    <w:rsid w:val="00E42B82"/>
    <w:rsid w:val="00E42E94"/>
    <w:rsid w:val="00E477FF"/>
    <w:rsid w:val="00E50907"/>
    <w:rsid w:val="00E54694"/>
    <w:rsid w:val="00E5540C"/>
    <w:rsid w:val="00E579E7"/>
    <w:rsid w:val="00E64414"/>
    <w:rsid w:val="00E83979"/>
    <w:rsid w:val="00E87224"/>
    <w:rsid w:val="00E87F9B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97D4E"/>
    <w:rsid w:val="00EB089E"/>
    <w:rsid w:val="00EB25D8"/>
    <w:rsid w:val="00EB5E55"/>
    <w:rsid w:val="00EB7541"/>
    <w:rsid w:val="00EC026F"/>
    <w:rsid w:val="00EC3A1D"/>
    <w:rsid w:val="00EC4518"/>
    <w:rsid w:val="00EC4E61"/>
    <w:rsid w:val="00EC7638"/>
    <w:rsid w:val="00ED5EC4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1DB8"/>
    <w:rsid w:val="00F12BFD"/>
    <w:rsid w:val="00F13A83"/>
    <w:rsid w:val="00F15F30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C6D"/>
    <w:rsid w:val="00F43E15"/>
    <w:rsid w:val="00F46C4E"/>
    <w:rsid w:val="00F507D7"/>
    <w:rsid w:val="00F51EA7"/>
    <w:rsid w:val="00F5213E"/>
    <w:rsid w:val="00F530E4"/>
    <w:rsid w:val="00F559F5"/>
    <w:rsid w:val="00F57467"/>
    <w:rsid w:val="00F66819"/>
    <w:rsid w:val="00F704C6"/>
    <w:rsid w:val="00F75283"/>
    <w:rsid w:val="00F75FF1"/>
    <w:rsid w:val="00F76A45"/>
    <w:rsid w:val="00F80786"/>
    <w:rsid w:val="00F81974"/>
    <w:rsid w:val="00F83322"/>
    <w:rsid w:val="00F8478F"/>
    <w:rsid w:val="00F84F09"/>
    <w:rsid w:val="00F86430"/>
    <w:rsid w:val="00F86AF9"/>
    <w:rsid w:val="00F94280"/>
    <w:rsid w:val="00F94B75"/>
    <w:rsid w:val="00F95AEC"/>
    <w:rsid w:val="00F95BAB"/>
    <w:rsid w:val="00F9755D"/>
    <w:rsid w:val="00FA0463"/>
    <w:rsid w:val="00FA1DD2"/>
    <w:rsid w:val="00FA25CA"/>
    <w:rsid w:val="00FA43E4"/>
    <w:rsid w:val="00FA786E"/>
    <w:rsid w:val="00FB1660"/>
    <w:rsid w:val="00FB2644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1481"/>
    <w:rsid w:val="00FE2869"/>
    <w:rsid w:val="00FE2CC5"/>
    <w:rsid w:val="00FE2D30"/>
    <w:rsid w:val="00FE4F26"/>
    <w:rsid w:val="00FE5728"/>
    <w:rsid w:val="00FE591D"/>
    <w:rsid w:val="00FF3820"/>
    <w:rsid w:val="00FF3F95"/>
    <w:rsid w:val="00FF4DFF"/>
    <w:rsid w:val="00FF5674"/>
    <w:rsid w:val="00FF5E57"/>
    <w:rsid w:val="00FF62B2"/>
    <w:rsid w:val="00FF6B8F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CC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24CCF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24CCF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sid w:val="00B95CBA"/>
    <w:rPr>
      <w:sz w:val="24"/>
    </w:rPr>
  </w:style>
  <w:style w:type="paragraph" w:styleId="Normlnywebov">
    <w:name w:val="Normal (Web)"/>
    <w:aliases w:val="webb"/>
    <w:basedOn w:val="Normlny"/>
    <w:uiPriority w:val="99"/>
    <w:semiHidden/>
    <w:rsid w:val="00624CCF"/>
    <w:rPr>
      <w:rFonts w:ascii="Tahoma" w:hAnsi="Tahoma" w:cs="Tahoma"/>
      <w:sz w:val="16"/>
      <w:szCs w:val="16"/>
      <w:lang w:val="en-US"/>
    </w:rPr>
  </w:style>
  <w:style w:type="paragraph" w:styleId="Textpoznmkypodiarou">
    <w:name w:val="footnote text"/>
    <w:aliases w:val="single space,fn,Footnote Text Char1,Footnote Text Char Char,Footnote,Voetnoottekst Char,Voetnoottekst Char1,Voetnoottekst Char2 Char Char,Voetnoottekst Char Char1 Char Char,Voetnoottekst Char1 Char Char Char Char"/>
    <w:basedOn w:val="Normlny"/>
    <w:link w:val="TextpoznmkypodiarouChar"/>
    <w:uiPriority w:val="99"/>
    <w:semiHidden/>
    <w:rsid w:val="00624CCF"/>
    <w:rPr>
      <w:sz w:val="20"/>
      <w:szCs w:val="20"/>
    </w:rPr>
  </w:style>
  <w:style w:type="character" w:customStyle="1" w:styleId="TextpoznmkypodiarouChar">
    <w:name w:val="Text poznámky pod čiarou Char"/>
    <w:aliases w:val="single space Char,fn Char,Footnote Text Char1 Char,Footnote Text Char Char Char,Footnote Char,Voetnoottekst Char Char,Voetnoottekst Char1 Char,Voetnoottekst Char2 Char Char Char,Voetnoottekst Char Char1 Char Char Char"/>
    <w:link w:val="Textpoznmkypodiarou"/>
    <w:uiPriority w:val="99"/>
    <w:semiHidden/>
    <w:locked/>
    <w:rsid w:val="00B95CBA"/>
    <w:rPr>
      <w:sz w:val="20"/>
    </w:rPr>
  </w:style>
  <w:style w:type="character" w:styleId="Odkaznapoznmkupodiarou">
    <w:name w:val="footnote reference"/>
    <w:aliases w:val="Footnote symbol,Footnote reference number"/>
    <w:uiPriority w:val="99"/>
    <w:semiHidden/>
    <w:rsid w:val="00624CCF"/>
    <w:rPr>
      <w:vertAlign w:val="superscript"/>
    </w:rPr>
  </w:style>
  <w:style w:type="paragraph" w:styleId="Hlavika">
    <w:name w:val="header"/>
    <w:basedOn w:val="Normlny"/>
    <w:link w:val="HlavikaChar"/>
    <w:uiPriority w:val="99"/>
    <w:rsid w:val="00300E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B95CBA"/>
    <w:rPr>
      <w:sz w:val="24"/>
    </w:rPr>
  </w:style>
  <w:style w:type="paragraph" w:styleId="Pta">
    <w:name w:val="footer"/>
    <w:basedOn w:val="Normlny"/>
    <w:link w:val="PtaChar"/>
    <w:uiPriority w:val="99"/>
    <w:rsid w:val="00300E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95CBA"/>
    <w:rPr>
      <w:sz w:val="24"/>
    </w:rPr>
  </w:style>
  <w:style w:type="character" w:styleId="slostrany">
    <w:name w:val="page number"/>
    <w:basedOn w:val="Predvolenpsmoodseku"/>
    <w:uiPriority w:val="99"/>
    <w:rsid w:val="00C57DBE"/>
  </w:style>
  <w:style w:type="paragraph" w:styleId="Textbubliny">
    <w:name w:val="Balloon Text"/>
    <w:basedOn w:val="Normlny"/>
    <w:link w:val="TextbublinyChar"/>
    <w:uiPriority w:val="99"/>
    <w:semiHidden/>
    <w:rsid w:val="00C57DB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5CBA"/>
    <w:rPr>
      <w:rFonts w:ascii="Tahoma" w:hAnsi="Tahoma"/>
      <w:sz w:val="16"/>
    </w:rPr>
  </w:style>
  <w:style w:type="paragraph" w:styleId="Odsekzoznamu">
    <w:name w:val="List Paragraph"/>
    <w:basedOn w:val="Normlny"/>
    <w:uiPriority w:val="99"/>
    <w:qFormat/>
    <w:rsid w:val="003978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Sociálne vplyvy -  vplyvy na hospodárenie obyvateľstva, sociálnu exklúziu, rovnosť príležitostí a rodovú rovnosť  a na zamestnanosť</vt:lpstr>
      <vt:lpstr>Sociálne vplyvy -  vplyvy na hospodárenie obyvateľstva, sociálnu exklúziu, rovnosť príležitostí a rodovú rovnosť  a na zamestnanosť</vt:lpstr>
    </vt:vector>
  </TitlesOfParts>
  <Company>UVSR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 vplyvy na hospodárenie obyvateľstva, sociálnu exklúziu, rovnosť príležitostí a rodovú rovnosť  a na zamestnanosť</dc:title>
  <dc:subject/>
  <dc:creator>grosjarova</dc:creator>
  <cp:keywords/>
  <cp:lastModifiedBy>jremeta</cp:lastModifiedBy>
  <cp:revision>5</cp:revision>
  <cp:lastPrinted>2012-08-24T09:45:00Z</cp:lastPrinted>
  <dcterms:created xsi:type="dcterms:W3CDTF">2012-09-13T13:09:00Z</dcterms:created>
  <dcterms:modified xsi:type="dcterms:W3CDTF">2012-09-13T13:48:00Z</dcterms:modified>
</cp:coreProperties>
</file>