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A6" w:rsidRPr="00E12EB3" w:rsidRDefault="007912A6" w:rsidP="007912A6">
      <w:pPr>
        <w:spacing w:after="0" w:line="240" w:lineRule="auto"/>
        <w:jc w:val="both"/>
        <w:outlineLvl w:val="0"/>
        <w:rPr>
          <w:rFonts w:eastAsia="Arial Unicode MS"/>
          <w:spacing w:val="0"/>
          <w:lang w:eastAsia="sk-SK"/>
        </w:rPr>
      </w:pPr>
      <w:r w:rsidRPr="00E12EB3">
        <w:rPr>
          <w:rFonts w:eastAsia="Arial Unicode MS"/>
          <w:spacing w:val="0"/>
          <w:lang w:eastAsia="sk-SK"/>
        </w:rPr>
        <w:t>MINISTERSTVO HOSPODÁRSTVA</w:t>
      </w:r>
    </w:p>
    <w:p w:rsidR="007912A6" w:rsidRPr="00E12EB3" w:rsidRDefault="007912A6" w:rsidP="007912A6">
      <w:pPr>
        <w:spacing w:after="0" w:line="240" w:lineRule="auto"/>
        <w:jc w:val="both"/>
        <w:outlineLvl w:val="0"/>
        <w:rPr>
          <w:rFonts w:eastAsia="Arial Unicode MS"/>
          <w:spacing w:val="0"/>
          <w:u w:val="single"/>
          <w:lang w:eastAsia="sk-SK"/>
        </w:rPr>
      </w:pPr>
      <w:r w:rsidRPr="00E12EB3">
        <w:rPr>
          <w:rFonts w:eastAsia="Arial Unicode MS"/>
          <w:spacing w:val="0"/>
          <w:u w:val="single"/>
          <w:lang w:eastAsia="sk-SK"/>
        </w:rPr>
        <w:t>SLOVENSKEJ REPUBLIKY_______</w:t>
      </w:r>
    </w:p>
    <w:p w:rsidR="007912A6" w:rsidRPr="00E12EB3" w:rsidRDefault="007912A6" w:rsidP="007912A6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>Číslo: 1828</w:t>
      </w:r>
      <w:r w:rsidRPr="00E12EB3">
        <w:rPr>
          <w:rFonts w:eastAsia="Arial Unicode MS"/>
          <w:b w:val="0"/>
          <w:bCs w:val="0"/>
          <w:spacing w:val="0"/>
          <w:lang w:eastAsia="sk-SK"/>
        </w:rPr>
        <w:t>/2012-1000</w:t>
      </w: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Default="007912A6" w:rsidP="007912A6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Materiál na </w:t>
      </w:r>
      <w:r>
        <w:rPr>
          <w:rFonts w:eastAsia="Arial Unicode MS"/>
          <w:b w:val="0"/>
          <w:bCs w:val="0"/>
          <w:spacing w:val="0"/>
          <w:lang w:eastAsia="sk-SK"/>
        </w:rPr>
        <w:t>rokovanie Legislatívnej</w:t>
      </w:r>
    </w:p>
    <w:p w:rsidR="007912A6" w:rsidRPr="00E12EB3" w:rsidRDefault="007912A6" w:rsidP="007912A6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>rady vlády Slovenskej republiky</w:t>
      </w: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D67F35" w:rsidRPr="00E12EB3" w:rsidRDefault="00D67F35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  <w:r w:rsidRPr="00E12EB3">
        <w:rPr>
          <w:rFonts w:eastAsia="Times New Roman"/>
          <w:b w:val="0"/>
          <w:spacing w:val="0"/>
          <w:lang w:eastAsia="sk-SK"/>
        </w:rPr>
        <w:t>Návrh</w:t>
      </w:r>
    </w:p>
    <w:p w:rsidR="007912A6" w:rsidRPr="00E12EB3" w:rsidRDefault="007912A6" w:rsidP="007912A6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  <w:r w:rsidRPr="00E12EB3">
        <w:rPr>
          <w:rFonts w:eastAsia="Times New Roman"/>
          <w:spacing w:val="0"/>
          <w:lang w:eastAsia="sk-SK"/>
        </w:rPr>
        <w:t>Zákon</w:t>
      </w:r>
    </w:p>
    <w:p w:rsidR="007912A6" w:rsidRPr="00E12EB3" w:rsidRDefault="007912A6" w:rsidP="007912A6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</w:p>
    <w:p w:rsidR="007912A6" w:rsidRDefault="007912A6" w:rsidP="007912A6">
      <w:pPr>
        <w:spacing w:after="12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  <w:r>
        <w:rPr>
          <w:rFonts w:eastAsia="Times New Roman"/>
          <w:b w:val="0"/>
          <w:spacing w:val="0"/>
          <w:lang w:eastAsia="sk-SK"/>
        </w:rPr>
        <w:t>z ............. 2012</w:t>
      </w:r>
    </w:p>
    <w:p w:rsidR="007912A6" w:rsidRPr="00E12EB3" w:rsidRDefault="007912A6" w:rsidP="007912A6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</w:p>
    <w:p w:rsidR="00984B22" w:rsidRDefault="007912A6" w:rsidP="007912A6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  <w:r w:rsidRPr="007912A6">
        <w:rPr>
          <w:rFonts w:eastAsia="Times New Roman"/>
          <w:spacing w:val="0"/>
          <w:lang w:eastAsia="sk-SK"/>
        </w:rPr>
        <w:t>o</w:t>
      </w:r>
      <w:r w:rsidR="00984B22">
        <w:rPr>
          <w:rFonts w:eastAsia="Times New Roman"/>
          <w:spacing w:val="0"/>
          <w:lang w:eastAsia="sk-SK"/>
        </w:rPr>
        <w:t> kontrole obchodovania</w:t>
      </w:r>
      <w:r w:rsidRPr="007912A6">
        <w:rPr>
          <w:rFonts w:eastAsia="Times New Roman"/>
          <w:spacing w:val="0"/>
          <w:lang w:eastAsia="sk-SK"/>
        </w:rPr>
        <w:t xml:space="preserve"> s určenými výrobkami, ktorých držba sa obmedzuje </w:t>
      </w:r>
    </w:p>
    <w:p w:rsidR="007912A6" w:rsidRPr="007912A6" w:rsidRDefault="007912A6" w:rsidP="007912A6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  <w:r w:rsidRPr="007912A6">
        <w:rPr>
          <w:rFonts w:eastAsia="Times New Roman"/>
          <w:spacing w:val="0"/>
          <w:lang w:eastAsia="sk-SK"/>
        </w:rPr>
        <w:t>z bezpečnostných dôvodov a</w:t>
      </w:r>
      <w:r w:rsidR="00E66E01">
        <w:rPr>
          <w:rFonts w:eastAsia="Times New Roman"/>
          <w:spacing w:val="0"/>
          <w:lang w:eastAsia="sk-SK"/>
        </w:rPr>
        <w:t> ktorým sa mení zákon</w:t>
      </w:r>
      <w:r w:rsidRPr="007912A6">
        <w:rPr>
          <w:rFonts w:eastAsia="Times New Roman"/>
          <w:spacing w:val="0"/>
          <w:lang w:eastAsia="sk-SK"/>
        </w:rPr>
        <w:t xml:space="preserve"> Národnej rady Slovenskej republiky č. 145/1995 Z. z. </w:t>
      </w:r>
      <w:bookmarkStart w:id="0" w:name="_GoBack"/>
      <w:bookmarkEnd w:id="0"/>
      <w:r w:rsidRPr="007912A6">
        <w:rPr>
          <w:rFonts w:eastAsia="Times New Roman"/>
          <w:spacing w:val="0"/>
          <w:lang w:eastAsia="sk-SK"/>
        </w:rPr>
        <w:t>o správnych poplatko</w:t>
      </w:r>
      <w:r>
        <w:rPr>
          <w:rFonts w:eastAsia="Times New Roman"/>
          <w:spacing w:val="0"/>
          <w:lang w:eastAsia="sk-SK"/>
        </w:rPr>
        <w:t>ch v znení neskorších predpisov</w:t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912A6" w:rsidRPr="00E12EB3" w:rsidTr="00D3220F">
        <w:trPr>
          <w:trHeight w:val="100"/>
        </w:trPr>
        <w:tc>
          <w:tcPr>
            <w:tcW w:w="8820" w:type="dxa"/>
          </w:tcPr>
          <w:p w:rsidR="007912A6" w:rsidRPr="00E12EB3" w:rsidRDefault="007912A6" w:rsidP="00D3220F">
            <w:pPr>
              <w:spacing w:after="0" w:line="240" w:lineRule="auto"/>
              <w:ind w:firstLine="540"/>
              <w:jc w:val="both"/>
              <w:rPr>
                <w:rFonts w:eastAsia="Arial Unicode MS"/>
                <w:spacing w:val="0"/>
                <w:lang w:eastAsia="sk-SK"/>
              </w:rPr>
            </w:pPr>
          </w:p>
        </w:tc>
      </w:tr>
    </w:tbl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spacing w:val="0"/>
          <w:lang w:eastAsia="sk-SK"/>
        </w:rPr>
      </w:pPr>
    </w:p>
    <w:p w:rsidR="007912A6" w:rsidRPr="00E12EB3" w:rsidRDefault="007912A6" w:rsidP="00366E2B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u w:val="single"/>
          <w:lang w:eastAsia="sk-SK"/>
        </w:rPr>
      </w:pPr>
      <w:r w:rsidRPr="00E12EB3">
        <w:rPr>
          <w:rFonts w:eastAsia="Arial Unicode MS"/>
          <w:b w:val="0"/>
          <w:bCs w:val="0"/>
          <w:spacing w:val="0"/>
          <w:u w:val="single"/>
          <w:lang w:eastAsia="sk-SK"/>
        </w:rPr>
        <w:t>Podnet:</w:t>
      </w: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u w:val="single"/>
          <w:lang w:eastAsia="sk-SK"/>
        </w:rPr>
        <w:t>Obsah materiálu:</w:t>
      </w: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Plán legislatívnych úloh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1. Návrh uznesenia</w:t>
      </w:r>
      <w:r w:rsidR="00D802DF">
        <w:rPr>
          <w:rFonts w:eastAsia="Arial Unicode MS"/>
          <w:b w:val="0"/>
          <w:bCs w:val="0"/>
          <w:spacing w:val="0"/>
          <w:lang w:eastAsia="sk-SK"/>
        </w:rPr>
        <w:t xml:space="preserve"> vlády</w:t>
      </w: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vlády SR na 2. polrok 2012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2. Predkladacia správa</w:t>
      </w: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sz w:val="22"/>
          <w:szCs w:val="22"/>
          <w:lang w:eastAsia="sk-SK"/>
        </w:rPr>
        <w:t xml:space="preserve">                                   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 xml:space="preserve">                      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3. Návrh zákona ......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>
        <w:rPr>
          <w:rFonts w:eastAsia="Arial Unicode MS"/>
          <w:b w:val="0"/>
          <w:bCs w:val="0"/>
          <w:spacing w:val="0"/>
          <w:lang w:eastAsia="sk-SK"/>
        </w:rPr>
        <w:t xml:space="preserve">                                                                       </w:t>
      </w:r>
      <w:r w:rsidRPr="00E12EB3">
        <w:rPr>
          <w:rFonts w:eastAsia="Arial Unicode MS"/>
          <w:b w:val="0"/>
          <w:bCs w:val="0"/>
          <w:spacing w:val="0"/>
          <w:lang w:eastAsia="sk-SK"/>
        </w:rPr>
        <w:t>4. Dôvodová správa</w:t>
      </w:r>
    </w:p>
    <w:p w:rsidR="007912A6" w:rsidRPr="00E12EB3" w:rsidRDefault="007912A6" w:rsidP="007912A6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>5. Doložka vplyvov</w:t>
      </w:r>
    </w:p>
    <w:p w:rsidR="007912A6" w:rsidRDefault="007912A6" w:rsidP="007912A6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6. Doložka zlučiteľnosti </w:t>
      </w:r>
    </w:p>
    <w:p w:rsidR="007912A6" w:rsidRDefault="007912A6" w:rsidP="007912A6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>7. Vyhodnotenie medzirezortného</w:t>
      </w:r>
    </w:p>
    <w:p w:rsidR="007912A6" w:rsidRPr="00E12EB3" w:rsidRDefault="007912A6" w:rsidP="007912A6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 xml:space="preserve">    pripomienkového konania</w:t>
      </w: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>
        <w:rPr>
          <w:rFonts w:eastAsia="Arial Unicode MS"/>
          <w:b w:val="0"/>
          <w:bCs w:val="0"/>
          <w:spacing w:val="0"/>
          <w:lang w:eastAsia="sk-SK"/>
        </w:rPr>
        <w:t>8</w:t>
      </w:r>
      <w:r w:rsidRPr="00E12EB3">
        <w:rPr>
          <w:rFonts w:eastAsia="Arial Unicode MS"/>
          <w:b w:val="0"/>
          <w:bCs w:val="0"/>
          <w:spacing w:val="0"/>
          <w:lang w:eastAsia="sk-SK"/>
        </w:rPr>
        <w:t>. Návrh komuniké</w:t>
      </w: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spacing w:val="0"/>
          <w:u w:val="single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spacing w:val="0"/>
          <w:u w:val="single"/>
          <w:lang w:eastAsia="sk-SK"/>
        </w:rPr>
        <w:t>Predkladá:</w:t>
      </w:r>
    </w:p>
    <w:p w:rsidR="007912A6" w:rsidRPr="00E12EB3" w:rsidRDefault="007912A6" w:rsidP="007912A6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Tomáš </w:t>
      </w:r>
      <w:proofErr w:type="spellStart"/>
      <w:r w:rsidRPr="00E12EB3">
        <w:rPr>
          <w:rFonts w:eastAsia="Arial Unicode MS"/>
          <w:b w:val="0"/>
          <w:bCs w:val="0"/>
          <w:spacing w:val="0"/>
          <w:lang w:eastAsia="sk-SK"/>
        </w:rPr>
        <w:t>Malatinský</w:t>
      </w:r>
      <w:proofErr w:type="spellEnd"/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minister hospodárstva </w:t>
      </w:r>
    </w:p>
    <w:p w:rsidR="007912A6" w:rsidRPr="00E12EB3" w:rsidRDefault="007912A6" w:rsidP="007912A6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>Slovenskej republiky</w:t>
      </w:r>
    </w:p>
    <w:p w:rsidR="007912A6" w:rsidRPr="00E12EB3" w:rsidRDefault="007912A6" w:rsidP="007912A6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</w:p>
    <w:p w:rsidR="007912A6" w:rsidRPr="00E12EB3" w:rsidRDefault="007912A6" w:rsidP="007912A6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</w:p>
    <w:p w:rsidR="00366E2B" w:rsidRDefault="00366E2B" w:rsidP="007912A6">
      <w:pPr>
        <w:spacing w:after="0" w:line="240" w:lineRule="auto"/>
        <w:jc w:val="center"/>
        <w:outlineLvl w:val="0"/>
        <w:rPr>
          <w:rFonts w:eastAsia="Times New Roman"/>
          <w:b w:val="0"/>
          <w:bCs w:val="0"/>
          <w:spacing w:val="0"/>
          <w:lang w:eastAsia="sk-SK"/>
        </w:rPr>
      </w:pPr>
    </w:p>
    <w:p w:rsidR="00113AAF" w:rsidRDefault="007912A6" w:rsidP="00D67F35">
      <w:pPr>
        <w:spacing w:after="0" w:line="240" w:lineRule="auto"/>
        <w:jc w:val="center"/>
        <w:outlineLvl w:val="0"/>
      </w:pPr>
      <w:r>
        <w:rPr>
          <w:rFonts w:eastAsia="Times New Roman"/>
          <w:b w:val="0"/>
          <w:bCs w:val="0"/>
          <w:spacing w:val="0"/>
          <w:lang w:eastAsia="sk-SK"/>
        </w:rPr>
        <w:t xml:space="preserve">Bratislava </w:t>
      </w:r>
      <w:r w:rsidR="00366E2B">
        <w:rPr>
          <w:rFonts w:eastAsia="Times New Roman"/>
          <w:b w:val="0"/>
          <w:bCs w:val="0"/>
          <w:spacing w:val="0"/>
          <w:lang w:eastAsia="sk-SK"/>
        </w:rPr>
        <w:t>1</w:t>
      </w:r>
      <w:r w:rsidR="00D67F35">
        <w:rPr>
          <w:rFonts w:eastAsia="Times New Roman"/>
          <w:b w:val="0"/>
          <w:bCs w:val="0"/>
          <w:spacing w:val="0"/>
          <w:lang w:eastAsia="sk-SK"/>
        </w:rPr>
        <w:t>4</w:t>
      </w:r>
      <w:r w:rsidR="00366E2B">
        <w:rPr>
          <w:rFonts w:eastAsia="Times New Roman"/>
          <w:b w:val="0"/>
          <w:bCs w:val="0"/>
          <w:spacing w:val="0"/>
          <w:lang w:eastAsia="sk-SK"/>
        </w:rPr>
        <w:t>. decemb</w:t>
      </w:r>
      <w:r>
        <w:rPr>
          <w:rFonts w:eastAsia="Times New Roman"/>
          <w:b w:val="0"/>
          <w:bCs w:val="0"/>
          <w:spacing w:val="0"/>
          <w:lang w:eastAsia="sk-SK"/>
        </w:rPr>
        <w:t>r</w:t>
      </w:r>
      <w:r w:rsidR="00366E2B">
        <w:rPr>
          <w:rFonts w:eastAsia="Times New Roman"/>
          <w:b w:val="0"/>
          <w:bCs w:val="0"/>
          <w:spacing w:val="0"/>
          <w:lang w:eastAsia="sk-SK"/>
        </w:rPr>
        <w:t>a</w:t>
      </w:r>
      <w:r w:rsidRPr="00E12EB3">
        <w:rPr>
          <w:rFonts w:eastAsia="Times New Roman"/>
          <w:b w:val="0"/>
          <w:bCs w:val="0"/>
          <w:spacing w:val="0"/>
          <w:lang w:eastAsia="sk-SK"/>
        </w:rPr>
        <w:t xml:space="preserve"> 2012</w:t>
      </w:r>
    </w:p>
    <w:sectPr w:rsidR="00113AAF" w:rsidSect="0069494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6"/>
    <w:rsid w:val="00113AAF"/>
    <w:rsid w:val="00366E2B"/>
    <w:rsid w:val="007912A6"/>
    <w:rsid w:val="00984B22"/>
    <w:rsid w:val="00D67F35"/>
    <w:rsid w:val="00D802DF"/>
    <w:rsid w:val="00E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2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2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6</cp:revision>
  <cp:lastPrinted>2012-12-13T13:51:00Z</cp:lastPrinted>
  <dcterms:created xsi:type="dcterms:W3CDTF">2012-12-10T09:15:00Z</dcterms:created>
  <dcterms:modified xsi:type="dcterms:W3CDTF">2012-12-13T13:51:00Z</dcterms:modified>
</cp:coreProperties>
</file>