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A0" w:rsidRDefault="00AD4EA0" w:rsidP="00A10057">
      <w:pPr>
        <w:jc w:val="center"/>
        <w:rPr>
          <w:b/>
          <w:bCs/>
        </w:rPr>
      </w:pPr>
      <w:r>
        <w:rPr>
          <w:b/>
          <w:bCs/>
        </w:rPr>
        <w:t>Dôvodová správa</w:t>
      </w:r>
    </w:p>
    <w:p w:rsidR="00AD4EA0" w:rsidRDefault="00AD4EA0" w:rsidP="00A10057">
      <w:pPr>
        <w:rPr>
          <w:rFonts w:ascii="TimesNewRomanPS-BoldMT" w:hAnsi="TimesNewRomanPS-BoldMT" w:cs="TimesNewRomanPS-BoldMT"/>
          <w:b/>
          <w:bCs/>
        </w:rPr>
      </w:pPr>
    </w:p>
    <w:p w:rsidR="00AD4EA0" w:rsidRDefault="00AD4EA0" w:rsidP="00A10057">
      <w:pPr>
        <w:rPr>
          <w:b/>
          <w:bCs/>
        </w:rPr>
      </w:pPr>
    </w:p>
    <w:p w:rsidR="00AD4EA0" w:rsidRDefault="00AD4EA0" w:rsidP="00A10057">
      <w:pPr>
        <w:rPr>
          <w:b/>
          <w:bCs/>
        </w:rPr>
      </w:pPr>
      <w:r>
        <w:rPr>
          <w:b/>
          <w:bCs/>
        </w:rPr>
        <w:t>A. Všeobecná časť</w:t>
      </w:r>
    </w:p>
    <w:p w:rsidR="00AD4EA0" w:rsidRDefault="00AD4EA0" w:rsidP="00A10057">
      <w:pPr>
        <w:jc w:val="both"/>
      </w:pPr>
    </w:p>
    <w:p w:rsidR="00AD4EA0" w:rsidRDefault="00AD4EA0" w:rsidP="00A10057">
      <w:pPr>
        <w:jc w:val="both"/>
      </w:pPr>
      <w:r>
        <w:tab/>
        <w:t xml:space="preserve">Zo smernice Komisie 2012/7/EÚ z 2. marca 2012, ktorou sa na účely prispôsobenia technickému pokroku mení a dopĺňa časť III prílohy II k smernici Európskeho  parlamentu a Rady 2009/48/ES o bezpečnosti hračiek vyplýva pre Slovenskú republiku  povinnosť jej prebratia do 20. januára 2013. Cieľom úpravy je znížiť povolené hodnoty kadmia v hračkách. </w:t>
      </w:r>
    </w:p>
    <w:p w:rsidR="00AD4EA0" w:rsidRDefault="00AD4EA0" w:rsidP="00A10057">
      <w:pPr>
        <w:jc w:val="both"/>
      </w:pPr>
    </w:p>
    <w:p w:rsidR="00AD4EA0" w:rsidRDefault="00AD4EA0" w:rsidP="00A10057">
      <w:pPr>
        <w:ind w:firstLine="708"/>
        <w:jc w:val="both"/>
      </w:pPr>
      <w:r>
        <w:t xml:space="preserve">Smernice Komisie sú novým nástrojom v oblasti bezpečnosti hračiek, ktorý umožňuje  Európskej komisii priamo meniť  body 11 až 13 v časti III prílohy II, doplnok A </w:t>
      </w:r>
      <w:proofErr w:type="spellStart"/>
      <w:r>
        <w:t>a</w:t>
      </w:r>
      <w:proofErr w:type="spellEnd"/>
      <w:r>
        <w:t xml:space="preserve"> C  prílohy II a prílohu V na základe článku 46  smernice Európskeho  parlamentu a Rady 2009/48/ES z 18. júna 2009 o bezpečnosti hračiek (ďalej len „smernica 2009/48/ES o bezpečnosti hračiek“). Tieto zmeny sa týkajú najmä niektorých osobitných bezpečnostných požiadaviek na chemické vlastnosti hračiek a osobitných upozornení a informácií o preventívnych opatreniach, ktoré sa majú prijať pri používaní určitých hračiek. Smernice Komisie si nevyžadujú prerokovanie v Rade a v Európskom parlamente a očakáva sa prijatie niekoľkých takýchto smerníc ročne.</w:t>
      </w:r>
    </w:p>
    <w:p w:rsidR="00AD4EA0" w:rsidRDefault="00AD4EA0" w:rsidP="00A10057">
      <w:pPr>
        <w:ind w:firstLine="708"/>
        <w:jc w:val="both"/>
      </w:pPr>
    </w:p>
    <w:p w:rsidR="00AD4EA0" w:rsidRDefault="00AD4EA0" w:rsidP="00A10057">
      <w:pPr>
        <w:ind w:firstLine="708"/>
        <w:jc w:val="both"/>
      </w:pPr>
      <w:r>
        <w:t>Na základe uvedeného navrhuje Ministerstvo hospodárstva Slovenskej republiky (ďalej len „ministerstvo“) vyňať zo súčasného zákona</w:t>
      </w:r>
      <w:r>
        <w:rPr>
          <w:lang w:eastAsia="cs-CZ"/>
        </w:rPr>
        <w:t xml:space="preserve"> č. 78/2012 Z. z. o bezpečnosti hračiek a o zmene a doplnení zákona č. 128/2002 Z. z. o štátnej kontrole vnútorného trhu vo veciach ochrany spotrebiteľa a o zmene a doplnení niektorých zákonov v znení neskorších predpisov (ďalej len „zákon o bezpečnosti hračiek“)</w:t>
      </w:r>
      <w:r>
        <w:t xml:space="preserve"> ustanovenia týkajúce sa niektorých osobitných bezpečnostných požiadaviek na chemické vlastnosti hračiek v Prílohe č.2  a umožniť upraviť tieto požiadavky formou vykonávacieho predpisu vydaného ministerstvom. Táto úprava umožní ministerstvu priamo transponovať aj Doplnok C, ktorý zatiaľ neobsahuje žiadne látky. V budúcom roku sa predpokladá jeho zmena a povinnosť členských štátov Európskej únie ju implementovať.</w:t>
      </w:r>
    </w:p>
    <w:p w:rsidR="00AD4EA0" w:rsidRDefault="00AD4EA0" w:rsidP="00A10057">
      <w:pPr>
        <w:ind w:firstLine="708"/>
        <w:jc w:val="both"/>
      </w:pPr>
    </w:p>
    <w:p w:rsidR="00AD4EA0" w:rsidRDefault="00AD4EA0" w:rsidP="00A10057">
      <w:pPr>
        <w:ind w:firstLine="708"/>
        <w:jc w:val="both"/>
      </w:pPr>
      <w:r>
        <w:t>Navrhuje sa tiež vypustiť zo zákona o</w:t>
      </w:r>
      <w:r>
        <w:rPr>
          <w:lang w:eastAsia="cs-CZ"/>
        </w:rPr>
        <w:t> bezpečnosti hračiek</w:t>
      </w:r>
      <w:r>
        <w:t xml:space="preserve"> Prílohu č. 3 a osobitné </w:t>
      </w:r>
      <w:r>
        <w:rPr>
          <w:lang w:eastAsia="en-US"/>
        </w:rPr>
        <w:t>upozornenia a informácie o preventívnych opatreniach, ktoré sa majú prijať pri používaní určitej kategórie hračky, upraviť rovnako vykonávacím prepisom vydaným ministerstvom.</w:t>
      </w:r>
    </w:p>
    <w:p w:rsidR="00AD4EA0" w:rsidRDefault="00AD4EA0" w:rsidP="00A10057">
      <w:pPr>
        <w:jc w:val="both"/>
      </w:pPr>
      <w:r>
        <w:tab/>
      </w:r>
    </w:p>
    <w:p w:rsidR="00AD4EA0" w:rsidRDefault="00AD4EA0" w:rsidP="00A10057">
      <w:pPr>
        <w:ind w:left="48" w:firstLine="660"/>
        <w:jc w:val="both"/>
      </w:pPr>
      <w:r>
        <w:t xml:space="preserve">Návrh zákona, </w:t>
      </w:r>
      <w:r>
        <w:rPr>
          <w:lang w:eastAsia="cs-CZ"/>
        </w:rPr>
        <w:t xml:space="preserve">ktorým sa mení a dopĺňa zákon č. 78/2012 Z. z. o bezpečnosti hračiek a o zmene a doplnení zákona č. 128/2002 Z. z. o štátnej kontrole vnútorného trhu vo veciach ochrany spotrebiteľa a o zmene a doplnení niektorých zákonov v znení neskorších predpisov (ďalej len „návrh zákona“) </w:t>
      </w:r>
      <w:r>
        <w:t>reaguje aj na potreby aplikačnej praxe, z ktorej vyplynula nevyhnutnosť spresniť niektoré ustanovenia platného zákona o</w:t>
      </w:r>
      <w:r>
        <w:rPr>
          <w:lang w:eastAsia="cs-CZ"/>
        </w:rPr>
        <w:t> bezpečnosti hračiek</w:t>
      </w:r>
      <w:r>
        <w:t xml:space="preserve">. Týka sa to najmä dokumentov, ktoré musia sprevádzať hračku, povinností dovozcov pred uvedením hračky na trh a informačných povinností orgánu dohľadu.  </w:t>
      </w:r>
    </w:p>
    <w:p w:rsidR="00AD4EA0" w:rsidRDefault="00AD4EA0" w:rsidP="00A10057">
      <w:pPr>
        <w:ind w:left="48" w:firstLine="660"/>
        <w:jc w:val="both"/>
      </w:pPr>
    </w:p>
    <w:p w:rsidR="00AD4EA0" w:rsidRDefault="00AD4EA0" w:rsidP="00A10057">
      <w:pPr>
        <w:ind w:firstLine="708"/>
        <w:jc w:val="both"/>
      </w:pPr>
      <w:r>
        <w:t xml:space="preserve">Súčasťou materiálu je aj pracovný návrh vyhlášky Ministerstva hospodárstva Slovenskej republiky, ktorou sa vykonávajú niektoré ustanovenia zákona č. /2013 Z. z. </w:t>
      </w:r>
      <w:r>
        <w:rPr>
          <w:lang w:eastAsia="cs-CZ"/>
        </w:rPr>
        <w:t xml:space="preserve">ktorým sa mení a dopĺňa zákon č. 78/2012 Z. z. o bezpečnosti hračiek a o zmene a doplnení zákona č. 128/2002 Z. z. o štátnej kontrole vnútorného trhu vo veciach ochrany spotrebiteľa </w:t>
      </w:r>
      <w:r>
        <w:rPr>
          <w:lang w:eastAsia="cs-CZ"/>
        </w:rPr>
        <w:br/>
        <w:t>a o zmene a doplnení niektorých zákonov v znení neskorších predpisov</w:t>
      </w:r>
      <w:r>
        <w:t>.</w:t>
      </w:r>
    </w:p>
    <w:p w:rsidR="00AD4EA0" w:rsidRDefault="00AD4EA0" w:rsidP="00A10057">
      <w:pPr>
        <w:ind w:left="48" w:firstLine="660"/>
        <w:jc w:val="both"/>
      </w:pPr>
    </w:p>
    <w:p w:rsidR="00AD4EA0" w:rsidRDefault="00AD4EA0" w:rsidP="00A10057">
      <w:pPr>
        <w:ind w:left="48" w:firstLine="660"/>
        <w:jc w:val="both"/>
      </w:pPr>
    </w:p>
    <w:p w:rsidR="00AD4EA0" w:rsidRDefault="00AD4EA0" w:rsidP="00A10057">
      <w:pPr>
        <w:ind w:left="48" w:firstLine="660"/>
        <w:jc w:val="both"/>
      </w:pPr>
      <w:r>
        <w:lastRenderedPageBreak/>
        <w:t>Návrh zákona je v súlade s Ústavou Slovenskej republiky a inými zákonmi Slovenskej republiky.</w:t>
      </w:r>
    </w:p>
    <w:p w:rsidR="00AD4EA0" w:rsidRDefault="00AD4EA0" w:rsidP="00A10057">
      <w:pPr>
        <w:ind w:left="48" w:firstLine="660"/>
        <w:jc w:val="both"/>
      </w:pPr>
    </w:p>
    <w:p w:rsidR="00AD4EA0" w:rsidRDefault="00AD4EA0" w:rsidP="00A10057">
      <w:pPr>
        <w:ind w:left="48" w:firstLine="660"/>
        <w:jc w:val="both"/>
      </w:pPr>
      <w:r>
        <w:t>Predložený návrh zákona nebude mať vplyv na verejné financie, podnikateľské prostredie, životné prostredie a informatizáciu spoločnosti a nebude mať ani sociálny vplyv.</w:t>
      </w:r>
    </w:p>
    <w:p w:rsidR="00AD4EA0" w:rsidRDefault="00AD4EA0" w:rsidP="00A10057">
      <w:pPr>
        <w:jc w:val="both"/>
        <w:outlineLvl w:val="0"/>
        <w:rPr>
          <w:b/>
          <w:bCs/>
        </w:rPr>
      </w:pPr>
      <w:r>
        <w:br w:type="page"/>
      </w:r>
      <w:r>
        <w:rPr>
          <w:b/>
          <w:bCs/>
        </w:rPr>
        <w:lastRenderedPageBreak/>
        <w:t>B. Osobitná časť</w:t>
      </w:r>
    </w:p>
    <w:p w:rsidR="00AD4EA0" w:rsidRDefault="00AD4EA0" w:rsidP="00A10057">
      <w:pPr>
        <w:jc w:val="both"/>
      </w:pPr>
    </w:p>
    <w:p w:rsidR="00AD4EA0" w:rsidRDefault="00AD4EA0" w:rsidP="00A10057">
      <w:pPr>
        <w:jc w:val="both"/>
        <w:outlineLvl w:val="0"/>
        <w:rPr>
          <w:b/>
          <w:bCs/>
        </w:rPr>
      </w:pPr>
      <w:r>
        <w:rPr>
          <w:b/>
          <w:bCs/>
        </w:rPr>
        <w:t>K čl. I</w:t>
      </w:r>
    </w:p>
    <w:p w:rsidR="00AD4EA0" w:rsidRDefault="00AD4EA0" w:rsidP="00A10057">
      <w:pPr>
        <w:jc w:val="both"/>
        <w:rPr>
          <w:b/>
          <w:bCs/>
        </w:rPr>
      </w:pPr>
    </w:p>
    <w:p w:rsidR="00AD4EA0" w:rsidRDefault="00AD4EA0" w:rsidP="00A10057">
      <w:pPr>
        <w:jc w:val="both"/>
        <w:outlineLvl w:val="0"/>
      </w:pPr>
      <w:r>
        <w:t>K bodu 1</w:t>
      </w:r>
    </w:p>
    <w:p w:rsidR="00AD4EA0" w:rsidRDefault="00AD4EA0" w:rsidP="00A10057">
      <w:pPr>
        <w:jc w:val="both"/>
        <w:outlineLvl w:val="0"/>
      </w:pPr>
      <w:proofErr w:type="spellStart"/>
      <w:r>
        <w:t>Legislatívno</w:t>
      </w:r>
      <w:proofErr w:type="spellEnd"/>
      <w:r>
        <w:t>–technická úprava.</w:t>
      </w:r>
    </w:p>
    <w:p w:rsidR="00AD4EA0" w:rsidRDefault="00AD4EA0" w:rsidP="00A10057">
      <w:pPr>
        <w:jc w:val="both"/>
      </w:pPr>
    </w:p>
    <w:p w:rsidR="00AD4EA0" w:rsidRDefault="00AD4EA0" w:rsidP="00A10057">
      <w:pPr>
        <w:jc w:val="both"/>
      </w:pPr>
      <w:r>
        <w:t>K bodu 2</w:t>
      </w:r>
    </w:p>
    <w:p w:rsidR="00AD4EA0" w:rsidRDefault="00AD4EA0" w:rsidP="00A10057">
      <w:pPr>
        <w:jc w:val="both"/>
      </w:pPr>
      <w:r>
        <w:t>V § 3 sa dopĺňa nový odsek, ktorý ustanovuje zmocňovacie ustanovenie na vydanie vykonávacieho predpisu. Táto zmena umožní  pružnejšie  preberať smernice Komisie, ktoré prijíma Európska komisia na základe článku 46 smernice 2009/48/ES o bezpečnosti hračiek a týkajú sa niektorých bezpečnostných požiadaviek na chemické vlastnosti hračiek.</w:t>
      </w:r>
    </w:p>
    <w:p w:rsidR="00AD4EA0" w:rsidRDefault="00AD4EA0" w:rsidP="00A10057">
      <w:pPr>
        <w:jc w:val="both"/>
      </w:pPr>
    </w:p>
    <w:p w:rsidR="00AD4EA0" w:rsidRDefault="00AD4EA0" w:rsidP="00A10057">
      <w:pPr>
        <w:jc w:val="both"/>
      </w:pPr>
      <w:r>
        <w:t>K bodu 3</w:t>
      </w:r>
    </w:p>
    <w:p w:rsidR="00AD4EA0" w:rsidRDefault="00AD4EA0" w:rsidP="00A10057">
      <w:pPr>
        <w:jc w:val="both"/>
      </w:pPr>
      <w:r>
        <w:t>Výrobca môže uviesť údaje požadované v písm. j) aj v návode na použitie alebo v bezpečnostných pokynoch, ak rozmer a vlastnosť hračky neumožnia uviesť tieto údaje na hračke. Legislatívno-technická úprava.</w:t>
      </w:r>
    </w:p>
    <w:p w:rsidR="00AD4EA0" w:rsidRDefault="00AD4EA0" w:rsidP="00A10057">
      <w:pPr>
        <w:jc w:val="both"/>
      </w:pPr>
    </w:p>
    <w:p w:rsidR="00AD4EA0" w:rsidRDefault="00AD4EA0" w:rsidP="00A10057">
      <w:pPr>
        <w:jc w:val="both"/>
        <w:outlineLvl w:val="0"/>
      </w:pPr>
      <w:r>
        <w:t>K bodu 4</w:t>
      </w:r>
    </w:p>
    <w:p w:rsidR="00AD4EA0" w:rsidRDefault="00AD4EA0" w:rsidP="00734407">
      <w:pPr>
        <w:jc w:val="both"/>
      </w:pPr>
      <w:r>
        <w:t xml:space="preserve">Výrobca je povinný uchovávať </w:t>
      </w:r>
      <w:r>
        <w:rPr>
          <w:lang w:eastAsia="en-US"/>
        </w:rPr>
        <w:t xml:space="preserve">ES vyhlásenie o zhode a technickú dokumentáciu. </w:t>
      </w:r>
      <w:r>
        <w:t>Legislatívno-technická úprava.</w:t>
      </w:r>
    </w:p>
    <w:p w:rsidR="00AD4EA0" w:rsidRDefault="00AD4EA0" w:rsidP="00A10057">
      <w:pPr>
        <w:jc w:val="both"/>
      </w:pPr>
    </w:p>
    <w:p w:rsidR="00AD4EA0" w:rsidRDefault="00AD4EA0" w:rsidP="00A10057">
      <w:pPr>
        <w:jc w:val="both"/>
      </w:pPr>
      <w:r>
        <w:t>K bodu 5</w:t>
      </w:r>
    </w:p>
    <w:p w:rsidR="00AD4EA0" w:rsidRDefault="00AD4EA0" w:rsidP="00A10057">
      <w:pPr>
        <w:jc w:val="both"/>
        <w:rPr>
          <w:lang w:eastAsia="en-US"/>
        </w:rPr>
      </w:pPr>
      <w:r>
        <w:rPr>
          <w:lang w:eastAsia="en-US"/>
        </w:rPr>
        <w:t xml:space="preserve">V § 6 ods. 1 písm. d) sa slová „sprievodnú dokumentáciu“ nahrádzajú slovami „návod  na použitie a bezpečnostné pokyny“. </w:t>
      </w:r>
      <w:r>
        <w:t xml:space="preserve">Podľa  anglického originálu smernice 2009/48/ES o bezpečnosti hračiek má dovozca zabezpečiť, aby hračka bola sprevádzaná požadovanými dokumentmi. Podľa výkladu Európskej komisie k smernici sú požadovanými dokumentmi návod na použitie a bezpečnostné pokyny. Pojem </w:t>
      </w:r>
      <w:r>
        <w:rPr>
          <w:lang w:eastAsia="en-US"/>
        </w:rPr>
        <w:t xml:space="preserve">„sprievodná dokumentácia“ sa v anglickom origináli nenachádza. </w:t>
      </w:r>
      <w:r>
        <w:t>Legislatívno-technická úprava.</w:t>
      </w:r>
    </w:p>
    <w:p w:rsidR="00AD4EA0" w:rsidRDefault="00AD4EA0" w:rsidP="00A10057">
      <w:pPr>
        <w:jc w:val="both"/>
      </w:pPr>
    </w:p>
    <w:p w:rsidR="00AD4EA0" w:rsidRDefault="00AD4EA0" w:rsidP="00A10057">
      <w:pPr>
        <w:jc w:val="both"/>
      </w:pPr>
      <w:r>
        <w:t>K bodu 6</w:t>
      </w:r>
    </w:p>
    <w:p w:rsidR="00AD4EA0" w:rsidRDefault="00AD4EA0" w:rsidP="00A10057">
      <w:pPr>
        <w:jc w:val="both"/>
      </w:pPr>
      <w:r>
        <w:rPr>
          <w:lang w:eastAsia="en-US"/>
        </w:rPr>
        <w:t xml:space="preserve">V § 6 odsek 2  písm. a)  sa na začiatok vkladajú slová „pred uvedením hračky na trh“. </w:t>
      </w:r>
      <w:r>
        <w:t>Táto zmena je zavedená z dôvodu praktickej aplikácie zákona. Dovozca je povinný uviesť na hračke svoje obchodné meno  a iné náležitosti v návode na použitie alebo v bezpečnostných upozorneniach ešte pred uvedením hračky na trh.</w:t>
      </w:r>
    </w:p>
    <w:p w:rsidR="00AD4EA0" w:rsidRDefault="00AD4EA0" w:rsidP="00A10057">
      <w:pPr>
        <w:jc w:val="both"/>
      </w:pPr>
    </w:p>
    <w:p w:rsidR="00AD4EA0" w:rsidRDefault="00AD4EA0" w:rsidP="00A10057">
      <w:pPr>
        <w:jc w:val="both"/>
      </w:pPr>
      <w:r>
        <w:t>K bodu 7</w:t>
      </w:r>
    </w:p>
    <w:p w:rsidR="00AD4EA0" w:rsidRDefault="00AD4EA0" w:rsidP="00A10057">
      <w:pPr>
        <w:jc w:val="both"/>
      </w:pPr>
      <w:r>
        <w:rPr>
          <w:lang w:eastAsia="en-US"/>
        </w:rPr>
        <w:t xml:space="preserve">V § 6 ods. 2 písm. b) sa vypúšťajú slová „sprievodná dokumentácia“ na </w:t>
      </w:r>
      <w:r>
        <w:t xml:space="preserve">základe aplikačnej praxe.. Podľa  anglického originálu smernice 2009/48/ES o bezpečnosti hračiek má dovozca zabezpečiť, aby bol k hračke dodaný návod na použitie a bezpečnostné pokyny. Pojem </w:t>
      </w:r>
      <w:r>
        <w:rPr>
          <w:lang w:eastAsia="en-US"/>
        </w:rPr>
        <w:t>„sprievodná dokumentácia“ sa v anglickom origináli nenachádza.</w:t>
      </w:r>
    </w:p>
    <w:p w:rsidR="00AD4EA0" w:rsidRDefault="00AD4EA0" w:rsidP="00A10057">
      <w:pPr>
        <w:jc w:val="both"/>
      </w:pPr>
    </w:p>
    <w:p w:rsidR="00AD4EA0" w:rsidRDefault="00AD4EA0" w:rsidP="00A10057">
      <w:pPr>
        <w:jc w:val="both"/>
      </w:pPr>
      <w:r>
        <w:t xml:space="preserve">K bodu 8 </w:t>
      </w:r>
    </w:p>
    <w:p w:rsidR="00AD4EA0" w:rsidRDefault="00AD4EA0" w:rsidP="00A10057">
      <w:pPr>
        <w:jc w:val="both"/>
      </w:pPr>
      <w:r>
        <w:t xml:space="preserve">Zmeny v </w:t>
      </w:r>
      <w:r>
        <w:rPr>
          <w:lang w:eastAsia="en-US"/>
        </w:rPr>
        <w:t xml:space="preserve">§ 7 ods. 1 písm. b) si vyžiadala aplikačná prax. Odstraňuje sa duplicita a problémy s interpretáciou sprievodnej dokumentácie. Podľa výkladu Európskej komisie k </w:t>
      </w:r>
      <w:r>
        <w:t xml:space="preserve">smernici 2009/48/ES o bezpečnosti hračiek sú požadovanými dokumentmi, ktoré sprevádzajú hračku, </w:t>
      </w:r>
      <w:r>
        <w:rPr>
          <w:lang w:eastAsia="en-US"/>
        </w:rPr>
        <w:t xml:space="preserve">návod na použitie, bezpečnostné pokyny a upozornenia. </w:t>
      </w:r>
    </w:p>
    <w:p w:rsidR="00AD4EA0" w:rsidRDefault="00AD4EA0" w:rsidP="00A10057">
      <w:pPr>
        <w:spacing w:after="200" w:line="276" w:lineRule="auto"/>
        <w:jc w:val="both"/>
      </w:pPr>
    </w:p>
    <w:p w:rsidR="00AD4EA0" w:rsidRDefault="00AD4EA0" w:rsidP="00A10057">
      <w:pPr>
        <w:spacing w:after="200" w:line="276" w:lineRule="auto"/>
        <w:jc w:val="both"/>
      </w:pPr>
      <w:r>
        <w:t xml:space="preserve">K bodu 9, 10 a 11 </w:t>
      </w:r>
    </w:p>
    <w:p w:rsidR="00AD4EA0" w:rsidRDefault="00AD4EA0" w:rsidP="00A10057">
      <w:pPr>
        <w:spacing w:after="200" w:line="276" w:lineRule="auto"/>
        <w:jc w:val="both"/>
        <w:rPr>
          <w:lang w:eastAsia="en-US"/>
        </w:rPr>
      </w:pPr>
      <w:r>
        <w:rPr>
          <w:lang w:eastAsia="en-US"/>
        </w:rPr>
        <w:lastRenderedPageBreak/>
        <w:t xml:space="preserve">Nová úprava § 10 umožňuje upraviť požiadavky na osobitné upozornenia a informácie o preventívnych opatreniach, ktoré sa majú prijať pri používaní určitej kategórie hračky, formou vykonávacieho predpisu. Tým sa  uľahčí legislatívny proces v prípade preberania smernice Komisie týkajúcej sa osobitných upozornení, </w:t>
      </w:r>
      <w:r>
        <w:t xml:space="preserve">ktoré prijíma Európska komisia na základe článku 46 smernice 2009/48/ES o bezpečnosti hračiek. </w:t>
      </w:r>
    </w:p>
    <w:p w:rsidR="00AD4EA0" w:rsidRDefault="00AD4EA0" w:rsidP="00A10057">
      <w:pPr>
        <w:jc w:val="both"/>
      </w:pPr>
    </w:p>
    <w:p w:rsidR="00AD4EA0" w:rsidRDefault="00AD4EA0" w:rsidP="00DE341E">
      <w:pPr>
        <w:jc w:val="both"/>
      </w:pPr>
      <w:r>
        <w:t xml:space="preserve">K bodu 12 </w:t>
      </w:r>
    </w:p>
    <w:p w:rsidR="00AD4EA0" w:rsidRDefault="00AD4EA0" w:rsidP="00DE341E">
      <w:pPr>
        <w:jc w:val="both"/>
        <w:rPr>
          <w:lang w:eastAsia="en-US"/>
        </w:rPr>
      </w:pPr>
      <w:r>
        <w:t xml:space="preserve">Zmeny v </w:t>
      </w:r>
      <w:r>
        <w:rPr>
          <w:lang w:eastAsia="en-US"/>
        </w:rPr>
        <w:t xml:space="preserve">§ 12 ods. 3 si vyžiadala aplikačná prax. Označenie CE sa môže umiestniť aj </w:t>
      </w:r>
      <w:r>
        <w:t>v návode na použitie alebo v bezpečnostných upozorneniach. Odstraňuje sa</w:t>
      </w:r>
      <w:r>
        <w:rPr>
          <w:lang w:eastAsia="en-US"/>
        </w:rPr>
        <w:t xml:space="preserve"> problém s interpretáciou sprievodnej dokumentácie.</w:t>
      </w:r>
    </w:p>
    <w:p w:rsidR="00AD4EA0" w:rsidRDefault="00AD4EA0" w:rsidP="00DE341E">
      <w:pPr>
        <w:jc w:val="both"/>
        <w:rPr>
          <w:lang w:eastAsia="en-US"/>
        </w:rPr>
      </w:pPr>
    </w:p>
    <w:p w:rsidR="00AD4EA0" w:rsidRDefault="00AD4EA0" w:rsidP="00DE341E">
      <w:pPr>
        <w:jc w:val="both"/>
        <w:rPr>
          <w:lang w:eastAsia="en-US"/>
        </w:rPr>
      </w:pPr>
      <w:r>
        <w:rPr>
          <w:lang w:eastAsia="en-US"/>
        </w:rPr>
        <w:t>K bodu 13, 14, 17, 24 a 25</w:t>
      </w:r>
    </w:p>
    <w:p w:rsidR="00AD4EA0" w:rsidRDefault="00AD4EA0" w:rsidP="00DE341E">
      <w:pPr>
        <w:jc w:val="both"/>
        <w:rPr>
          <w:lang w:eastAsia="en-US"/>
        </w:rPr>
      </w:pPr>
      <w:r>
        <w:rPr>
          <w:lang w:eastAsia="en-US"/>
        </w:rPr>
        <w:t>Vzhľadom na požiadavku aplikačnej praxe tieto ustanovenia bližšie určujú postup ÚNMS SR, ktorý skúma, či žiadateľ spĺňa požiadavky podľa osobitného predpisu a v prípade, že ich spĺňa v celom rozsahu, vydáva o tom osvedčenie (osvedčenie o autorizácii). Po vydaní osvedčenia nasleduje proces notifikácie (oznámenie úradu EK a ostatným členským štátom EÚ), že žiadateľ spĺňa podmienky podľa osobitného predpisu. Žiadateľ sa stáva notifikovanou osobou až po tom, čo po notifikácii márne uplynula lehota na uplatnenie námietok zo strany EK a ostatných členských štátov. V súvislosti s uvedenou úpravou boli vykonané aj ďalšie legislatívno-technické úpravy.</w:t>
      </w:r>
    </w:p>
    <w:p w:rsidR="00AD4EA0" w:rsidRDefault="00AD4EA0" w:rsidP="00DE341E">
      <w:pPr>
        <w:jc w:val="both"/>
        <w:rPr>
          <w:lang w:eastAsia="en-US"/>
        </w:rPr>
      </w:pPr>
    </w:p>
    <w:p w:rsidR="00AD4EA0" w:rsidRDefault="00AD4EA0" w:rsidP="00DE341E">
      <w:pPr>
        <w:jc w:val="both"/>
      </w:pPr>
    </w:p>
    <w:p w:rsidR="00AD4EA0" w:rsidRDefault="00AD4EA0" w:rsidP="00134BBD">
      <w:pPr>
        <w:jc w:val="both"/>
      </w:pPr>
      <w:r>
        <w:t>K bodu 15 a 18</w:t>
      </w:r>
    </w:p>
    <w:p w:rsidR="00AD4EA0" w:rsidRDefault="00AD4EA0" w:rsidP="00134BBD">
      <w:pPr>
        <w:jc w:val="both"/>
      </w:pPr>
      <w:r>
        <w:t>Ide o spresnenie textu vo vzťahu k požiadavkám, ktoré majú notifikované osoby spĺňať v zmysle čl. R17 rozhodnutia 768/2008 a čl. 26 smernice 2009/48/ES o bezpečnosti hračiek.</w:t>
      </w:r>
    </w:p>
    <w:p w:rsidR="00AD4EA0" w:rsidRDefault="00AD4EA0" w:rsidP="00134BBD">
      <w:pPr>
        <w:jc w:val="both"/>
      </w:pPr>
    </w:p>
    <w:p w:rsidR="00AD4EA0" w:rsidRDefault="00AD4EA0" w:rsidP="00134BBD">
      <w:pPr>
        <w:jc w:val="both"/>
      </w:pPr>
      <w:r>
        <w:t>K bodu 16</w:t>
      </w:r>
    </w:p>
    <w:p w:rsidR="00AD4EA0" w:rsidRDefault="00AD4EA0" w:rsidP="00134BBD">
      <w:pPr>
        <w:jc w:val="both"/>
      </w:pPr>
      <w:r>
        <w:t>Ide o zjednodušenie textu v súlade s aplikačnou praxou pri posudzovaní splnenia podmienok kladených na notifikované osoby.</w:t>
      </w:r>
    </w:p>
    <w:p w:rsidR="00AD4EA0" w:rsidRDefault="00AD4EA0" w:rsidP="00134BBD">
      <w:pPr>
        <w:jc w:val="both"/>
      </w:pPr>
    </w:p>
    <w:p w:rsidR="00AD4EA0" w:rsidRDefault="00AD4EA0" w:rsidP="00134BBD">
      <w:pPr>
        <w:jc w:val="both"/>
      </w:pPr>
      <w:r>
        <w:t>K bodu 19 a 23</w:t>
      </w:r>
    </w:p>
    <w:p w:rsidR="00AD4EA0" w:rsidRDefault="00AD4EA0" w:rsidP="00134BBD">
      <w:pPr>
        <w:jc w:val="both"/>
      </w:pPr>
      <w:r>
        <w:t>Legislatívno-technická úprava.</w:t>
      </w:r>
    </w:p>
    <w:p w:rsidR="00AD4EA0" w:rsidRDefault="00AD4EA0" w:rsidP="00134BBD">
      <w:pPr>
        <w:jc w:val="both"/>
      </w:pPr>
    </w:p>
    <w:p w:rsidR="00AD4EA0" w:rsidRDefault="00AD4EA0" w:rsidP="00134BBD">
      <w:pPr>
        <w:jc w:val="both"/>
      </w:pPr>
      <w:r>
        <w:t>K bodu 20</w:t>
      </w:r>
    </w:p>
    <w:p w:rsidR="00AD4EA0" w:rsidRDefault="00AD4EA0" w:rsidP="00134BBD">
      <w:pPr>
        <w:jc w:val="both"/>
        <w:outlineLvl w:val="0"/>
      </w:pPr>
      <w:r>
        <w:t>Legislatívno-technická úprava.</w:t>
      </w:r>
    </w:p>
    <w:p w:rsidR="00AD4EA0" w:rsidRDefault="00AD4EA0" w:rsidP="00A10057">
      <w:pPr>
        <w:jc w:val="both"/>
        <w:outlineLvl w:val="0"/>
      </w:pPr>
    </w:p>
    <w:p w:rsidR="00AD4EA0" w:rsidRDefault="00AD4EA0" w:rsidP="00A10057">
      <w:pPr>
        <w:jc w:val="both"/>
        <w:outlineLvl w:val="0"/>
      </w:pPr>
      <w:r>
        <w:t xml:space="preserve">K bodu 21  </w:t>
      </w:r>
    </w:p>
    <w:p w:rsidR="00AD4EA0" w:rsidRDefault="00AD4EA0" w:rsidP="00A10057">
      <w:pPr>
        <w:jc w:val="both"/>
        <w:outlineLvl w:val="0"/>
      </w:pPr>
      <w:proofErr w:type="spellStart"/>
      <w:r>
        <w:t>Legislatívno</w:t>
      </w:r>
      <w:proofErr w:type="spellEnd"/>
      <w:r>
        <w:t>–technická úprava na základe aplikačnej praxe. Ide o spresnenie používaného pojmu odkazom na osobitný predpis.</w:t>
      </w:r>
    </w:p>
    <w:p w:rsidR="00AD4EA0" w:rsidRDefault="00AD4EA0" w:rsidP="00A10057">
      <w:pPr>
        <w:jc w:val="both"/>
      </w:pPr>
    </w:p>
    <w:p w:rsidR="00AD4EA0" w:rsidRDefault="00AD4EA0" w:rsidP="00A10057">
      <w:pPr>
        <w:jc w:val="both"/>
        <w:outlineLvl w:val="0"/>
      </w:pPr>
      <w:r>
        <w:t xml:space="preserve">K bodu 22 </w:t>
      </w:r>
    </w:p>
    <w:p w:rsidR="00AD4EA0" w:rsidRDefault="00AD4EA0" w:rsidP="00A10057">
      <w:pPr>
        <w:jc w:val="both"/>
        <w:outlineLvl w:val="0"/>
      </w:pPr>
      <w:proofErr w:type="spellStart"/>
      <w:r>
        <w:t>Legislatívno</w:t>
      </w:r>
      <w:proofErr w:type="spellEnd"/>
      <w:r>
        <w:t xml:space="preserve">–technická úprava. </w:t>
      </w:r>
    </w:p>
    <w:p w:rsidR="00AD4EA0" w:rsidRDefault="00AD4EA0" w:rsidP="00A10057">
      <w:pPr>
        <w:jc w:val="both"/>
        <w:outlineLvl w:val="0"/>
      </w:pPr>
    </w:p>
    <w:p w:rsidR="00AD4EA0" w:rsidRDefault="00AD4EA0" w:rsidP="00A10057">
      <w:pPr>
        <w:jc w:val="both"/>
        <w:outlineLvl w:val="0"/>
      </w:pPr>
      <w:r>
        <w:t>K bodu 26</w:t>
      </w:r>
    </w:p>
    <w:p w:rsidR="00AD4EA0" w:rsidRDefault="00AD4EA0" w:rsidP="00A10057">
      <w:pPr>
        <w:jc w:val="both"/>
        <w:outlineLvl w:val="0"/>
      </w:pPr>
      <w:r>
        <w:t xml:space="preserve">Úrad rozhoduje o </w:t>
      </w:r>
      <w:r w:rsidRPr="003527E5">
        <w:rPr>
          <w:lang w:eastAsia="en-US"/>
        </w:rPr>
        <w:t>obmedzen</w:t>
      </w:r>
      <w:r>
        <w:rPr>
          <w:lang w:eastAsia="en-US"/>
        </w:rPr>
        <w:t>í</w:t>
      </w:r>
      <w:r w:rsidRPr="003527E5">
        <w:rPr>
          <w:lang w:eastAsia="en-US"/>
        </w:rPr>
        <w:t xml:space="preserve"> </w:t>
      </w:r>
      <w:r>
        <w:rPr>
          <w:lang w:eastAsia="en-US"/>
        </w:rPr>
        <w:t xml:space="preserve">rozsahu </w:t>
      </w:r>
      <w:r w:rsidRPr="003527E5">
        <w:rPr>
          <w:lang w:eastAsia="en-US"/>
        </w:rPr>
        <w:t>autorizácie a</w:t>
      </w:r>
      <w:r>
        <w:rPr>
          <w:lang w:eastAsia="en-US"/>
        </w:rPr>
        <w:t> o obmedzení rozsahu notifikácie alebo o zrušení</w:t>
      </w:r>
      <w:r w:rsidRPr="003527E5">
        <w:rPr>
          <w:lang w:eastAsia="en-US"/>
        </w:rPr>
        <w:t xml:space="preserve"> autorizácie a</w:t>
      </w:r>
      <w:r>
        <w:rPr>
          <w:lang w:eastAsia="en-US"/>
        </w:rPr>
        <w:t xml:space="preserve"> o </w:t>
      </w:r>
      <w:proofErr w:type="spellStart"/>
      <w:r w:rsidRPr="003527E5">
        <w:rPr>
          <w:lang w:eastAsia="en-US"/>
        </w:rPr>
        <w:t>späťvzat</w:t>
      </w:r>
      <w:r>
        <w:rPr>
          <w:lang w:eastAsia="en-US"/>
        </w:rPr>
        <w:t>í</w:t>
      </w:r>
      <w:proofErr w:type="spellEnd"/>
      <w:r w:rsidRPr="003527E5">
        <w:rPr>
          <w:lang w:eastAsia="en-US"/>
        </w:rPr>
        <w:t xml:space="preserve"> notifikácie</w:t>
      </w:r>
      <w:r>
        <w:rPr>
          <w:lang w:eastAsia="en-US"/>
        </w:rPr>
        <w:t xml:space="preserve"> aj v prípade, že notifikovaná osoba zanikla bez právneho nástupcu a túto skutočnosť oznamuje EK a ostatným členským štátom.</w:t>
      </w:r>
    </w:p>
    <w:p w:rsidR="00AD4EA0" w:rsidRDefault="00AD4EA0" w:rsidP="00A10057">
      <w:pPr>
        <w:jc w:val="both"/>
      </w:pPr>
    </w:p>
    <w:p w:rsidR="00AD4EA0" w:rsidRDefault="00AD4EA0" w:rsidP="00A10057">
      <w:pPr>
        <w:jc w:val="both"/>
      </w:pPr>
      <w:r>
        <w:t>K bodu 27</w:t>
      </w:r>
    </w:p>
    <w:p w:rsidR="00AD4EA0" w:rsidRDefault="00AD4EA0" w:rsidP="00A10057">
      <w:pPr>
        <w:jc w:val="both"/>
      </w:pPr>
      <w:proofErr w:type="spellStart"/>
      <w:r>
        <w:lastRenderedPageBreak/>
        <w:t>Legislatívno</w:t>
      </w:r>
      <w:proofErr w:type="spellEnd"/>
      <w:r>
        <w:t>–technická úprava na základe aplikačnej praxe. Orgán dohľadu informuje ministerstvo  o všetkých opatreniach, ak riziko, ktoré hračka predstavuje, hrozí aj v inom členskom štáte.</w:t>
      </w:r>
    </w:p>
    <w:p w:rsidR="00AD4EA0" w:rsidRDefault="00AD4EA0" w:rsidP="00A10057">
      <w:pPr>
        <w:jc w:val="both"/>
      </w:pPr>
    </w:p>
    <w:p w:rsidR="00AD4EA0" w:rsidRDefault="00AD4EA0" w:rsidP="00A10057">
      <w:pPr>
        <w:jc w:val="both"/>
        <w:outlineLvl w:val="0"/>
      </w:pPr>
      <w:r>
        <w:t>K bodu 28 až 30</w:t>
      </w:r>
    </w:p>
    <w:p w:rsidR="00AD4EA0" w:rsidRDefault="00AD4EA0" w:rsidP="00A10057">
      <w:pPr>
        <w:jc w:val="both"/>
        <w:outlineLvl w:val="0"/>
      </w:pPr>
      <w:proofErr w:type="spellStart"/>
      <w:r>
        <w:t>Legislatívno</w:t>
      </w:r>
      <w:proofErr w:type="spellEnd"/>
      <w:r>
        <w:t>–technická úprava na základe aplikačnej praxe.</w:t>
      </w:r>
    </w:p>
    <w:p w:rsidR="00AD4EA0" w:rsidRDefault="00AD4EA0" w:rsidP="00A10057">
      <w:pPr>
        <w:jc w:val="both"/>
        <w:outlineLvl w:val="0"/>
      </w:pPr>
    </w:p>
    <w:p w:rsidR="00AD4EA0" w:rsidRDefault="00AD4EA0" w:rsidP="00A10057">
      <w:pPr>
        <w:jc w:val="both"/>
        <w:outlineLvl w:val="0"/>
      </w:pPr>
      <w:r>
        <w:t>K bodu 31</w:t>
      </w:r>
    </w:p>
    <w:p w:rsidR="00AD4EA0" w:rsidRDefault="00AD4EA0" w:rsidP="00A10057">
      <w:pPr>
        <w:jc w:val="both"/>
        <w:outlineLvl w:val="0"/>
      </w:pPr>
      <w:r>
        <w:t>Úprava z dôvodu potrieb aplikačnej praxe pri výkone trhového dohľadu.</w:t>
      </w:r>
    </w:p>
    <w:p w:rsidR="00AD4EA0" w:rsidRDefault="00AD4EA0" w:rsidP="00A10057">
      <w:pPr>
        <w:jc w:val="both"/>
      </w:pPr>
    </w:p>
    <w:p w:rsidR="00AD4EA0" w:rsidRDefault="00AD4EA0" w:rsidP="00290FF2">
      <w:pPr>
        <w:jc w:val="both"/>
        <w:outlineLvl w:val="0"/>
      </w:pPr>
      <w:r>
        <w:t>K bodu 32</w:t>
      </w:r>
    </w:p>
    <w:p w:rsidR="00AD4EA0" w:rsidRDefault="00AD4EA0" w:rsidP="00290FF2">
      <w:pPr>
        <w:jc w:val="both"/>
        <w:outlineLvl w:val="0"/>
      </w:pPr>
      <w:r>
        <w:t>Legislatívno-technická úprava.</w:t>
      </w:r>
    </w:p>
    <w:p w:rsidR="00AD4EA0" w:rsidRDefault="00AD4EA0" w:rsidP="00290FF2">
      <w:pPr>
        <w:jc w:val="both"/>
        <w:outlineLvl w:val="0"/>
      </w:pPr>
    </w:p>
    <w:p w:rsidR="00AD4EA0" w:rsidRDefault="00AD4EA0" w:rsidP="00290FF2">
      <w:pPr>
        <w:jc w:val="both"/>
        <w:outlineLvl w:val="0"/>
      </w:pPr>
      <w:r>
        <w:t>K bodu 33</w:t>
      </w:r>
    </w:p>
    <w:p w:rsidR="00AD4EA0" w:rsidRDefault="00AD4EA0" w:rsidP="00290FF2">
      <w:pPr>
        <w:jc w:val="both"/>
        <w:outlineLvl w:val="0"/>
      </w:pPr>
      <w:r>
        <w:t>Legislatívno-technická úprava.</w:t>
      </w:r>
    </w:p>
    <w:p w:rsidR="00AD4EA0" w:rsidRDefault="00AD4EA0" w:rsidP="00290FF2">
      <w:pPr>
        <w:jc w:val="both"/>
        <w:outlineLvl w:val="0"/>
      </w:pPr>
    </w:p>
    <w:p w:rsidR="00AD4EA0" w:rsidRDefault="00AD4EA0" w:rsidP="00290FF2">
      <w:pPr>
        <w:jc w:val="both"/>
        <w:outlineLvl w:val="0"/>
      </w:pPr>
      <w:r>
        <w:t xml:space="preserve">K bodu 34  </w:t>
      </w:r>
    </w:p>
    <w:p w:rsidR="00AD4EA0" w:rsidRDefault="00AD4EA0" w:rsidP="00290FF2">
      <w:pPr>
        <w:jc w:val="both"/>
        <w:outlineLvl w:val="0"/>
      </w:pPr>
      <w:r>
        <w:t>Legislatívno-technická úprava.</w:t>
      </w:r>
    </w:p>
    <w:p w:rsidR="00AD4EA0" w:rsidRDefault="00AD4EA0" w:rsidP="00290FF2">
      <w:pPr>
        <w:jc w:val="both"/>
        <w:outlineLvl w:val="0"/>
      </w:pPr>
    </w:p>
    <w:p w:rsidR="00AD4EA0" w:rsidRDefault="00AD4EA0" w:rsidP="00290FF2">
      <w:pPr>
        <w:jc w:val="both"/>
        <w:outlineLvl w:val="0"/>
      </w:pPr>
      <w:r>
        <w:t>K bodu 35</w:t>
      </w:r>
    </w:p>
    <w:p w:rsidR="00AD4EA0" w:rsidRDefault="00AD4EA0" w:rsidP="00290FF2">
      <w:pPr>
        <w:jc w:val="both"/>
        <w:outlineLvl w:val="0"/>
      </w:pPr>
      <w:r>
        <w:t>Legislatívno-technická úprava.</w:t>
      </w:r>
    </w:p>
    <w:p w:rsidR="00AD4EA0" w:rsidRDefault="00AD4EA0" w:rsidP="00A10057">
      <w:pPr>
        <w:jc w:val="both"/>
      </w:pPr>
    </w:p>
    <w:p w:rsidR="00AD4EA0" w:rsidRDefault="00AD4EA0" w:rsidP="00A10057">
      <w:pPr>
        <w:jc w:val="both"/>
      </w:pPr>
      <w:r>
        <w:t>K bodu 36 a 37</w:t>
      </w:r>
    </w:p>
    <w:p w:rsidR="00AD4EA0" w:rsidRDefault="00AD4EA0" w:rsidP="00A10057">
      <w:pPr>
        <w:jc w:val="both"/>
      </w:pPr>
      <w:r>
        <w:t>Legislatívno-technická úprava v súvislosti s navrhovaným vykonávacím predpisom.</w:t>
      </w:r>
    </w:p>
    <w:p w:rsidR="00AD4EA0" w:rsidRDefault="00AD4EA0" w:rsidP="0018013D">
      <w:pPr>
        <w:jc w:val="both"/>
        <w:outlineLvl w:val="0"/>
      </w:pPr>
    </w:p>
    <w:p w:rsidR="00AD4EA0" w:rsidRDefault="00AD4EA0" w:rsidP="0018013D">
      <w:pPr>
        <w:jc w:val="both"/>
        <w:outlineLvl w:val="0"/>
      </w:pPr>
      <w:r>
        <w:t>K bodu 38</w:t>
      </w:r>
    </w:p>
    <w:p w:rsidR="00AD4EA0" w:rsidRDefault="00AD4EA0" w:rsidP="0018013D">
      <w:pPr>
        <w:jc w:val="both"/>
        <w:outlineLvl w:val="0"/>
      </w:pPr>
      <w:r>
        <w:t>Legislatívno-technická úprava.</w:t>
      </w:r>
    </w:p>
    <w:p w:rsidR="00AD4EA0" w:rsidRDefault="00AD4EA0" w:rsidP="00A10057">
      <w:pPr>
        <w:jc w:val="both"/>
      </w:pPr>
    </w:p>
    <w:p w:rsidR="00AD4EA0" w:rsidRDefault="00AD4EA0" w:rsidP="00A10057">
      <w:pPr>
        <w:jc w:val="both"/>
        <w:rPr>
          <w:b/>
          <w:bCs/>
        </w:rPr>
      </w:pPr>
    </w:p>
    <w:p w:rsidR="00AD4EA0" w:rsidRDefault="00AD4EA0" w:rsidP="00A10057">
      <w:pPr>
        <w:jc w:val="both"/>
        <w:outlineLvl w:val="0"/>
        <w:rPr>
          <w:b/>
          <w:bCs/>
        </w:rPr>
      </w:pPr>
      <w:r>
        <w:rPr>
          <w:b/>
          <w:bCs/>
        </w:rPr>
        <w:t>K čl. II</w:t>
      </w:r>
    </w:p>
    <w:p w:rsidR="00AD4EA0" w:rsidRDefault="00AD4EA0" w:rsidP="00A10057">
      <w:pPr>
        <w:jc w:val="both"/>
      </w:pPr>
      <w:r>
        <w:t xml:space="preserve">Navrhovaná účinnosť je od </w:t>
      </w:r>
      <w:r w:rsidR="003C638C">
        <w:t>20</w:t>
      </w:r>
      <w:r>
        <w:t>. j</w:t>
      </w:r>
      <w:r w:rsidR="003C638C">
        <w:t>úl</w:t>
      </w:r>
      <w:bookmarkStart w:id="0" w:name="_GoBack"/>
      <w:bookmarkEnd w:id="0"/>
      <w:r>
        <w:t>a 2013.</w:t>
      </w:r>
    </w:p>
    <w:p w:rsidR="00AD4EA0" w:rsidRDefault="00AD4EA0" w:rsidP="00A10057">
      <w:pPr>
        <w:rPr>
          <w:sz w:val="20"/>
          <w:szCs w:val="20"/>
        </w:rPr>
      </w:pPr>
    </w:p>
    <w:p w:rsidR="00AD4EA0" w:rsidRPr="00A10057" w:rsidRDefault="00AD4EA0" w:rsidP="00A10057"/>
    <w:sectPr w:rsidR="00AD4EA0" w:rsidRPr="00A10057" w:rsidSect="00134BBD">
      <w:pgSz w:w="11907" w:h="16840" w:code="9"/>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98"/>
    <w:rsid w:val="00031BD6"/>
    <w:rsid w:val="00075C12"/>
    <w:rsid w:val="000F4F25"/>
    <w:rsid w:val="00102D28"/>
    <w:rsid w:val="00134BBD"/>
    <w:rsid w:val="00140D42"/>
    <w:rsid w:val="0018013D"/>
    <w:rsid w:val="00200303"/>
    <w:rsid w:val="0022118C"/>
    <w:rsid w:val="00290FF2"/>
    <w:rsid w:val="002D794A"/>
    <w:rsid w:val="003527E5"/>
    <w:rsid w:val="00387DD4"/>
    <w:rsid w:val="003C638C"/>
    <w:rsid w:val="00407D6C"/>
    <w:rsid w:val="004D5FE1"/>
    <w:rsid w:val="0050235D"/>
    <w:rsid w:val="00546F60"/>
    <w:rsid w:val="005749C2"/>
    <w:rsid w:val="005C1851"/>
    <w:rsid w:val="00696481"/>
    <w:rsid w:val="006C7DBF"/>
    <w:rsid w:val="006F01FD"/>
    <w:rsid w:val="006F445A"/>
    <w:rsid w:val="00734407"/>
    <w:rsid w:val="00885483"/>
    <w:rsid w:val="00A05898"/>
    <w:rsid w:val="00A10057"/>
    <w:rsid w:val="00AD31AE"/>
    <w:rsid w:val="00AD4EA0"/>
    <w:rsid w:val="00C0476C"/>
    <w:rsid w:val="00C061C8"/>
    <w:rsid w:val="00C30C27"/>
    <w:rsid w:val="00D122E6"/>
    <w:rsid w:val="00D62B4B"/>
    <w:rsid w:val="00DE341E"/>
    <w:rsid w:val="00E1153A"/>
    <w:rsid w:val="00E47C38"/>
    <w:rsid w:val="00FA49B2"/>
    <w:rsid w:val="00FD5B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341E"/>
    <w:pPr>
      <w:widowControl w:val="0"/>
      <w:adjustRightInd w:val="0"/>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PMsoNormal">
    <w:name w:val="P_PMsoNormal"/>
    <w:basedOn w:val="Normlny"/>
    <w:uiPriority w:val="99"/>
    <w:rsid w:val="00A05898"/>
  </w:style>
  <w:style w:type="character" w:styleId="Textzstupnhosymbolu">
    <w:name w:val="Placeholder Text"/>
    <w:basedOn w:val="Predvolenpsmoodseku"/>
    <w:uiPriority w:val="99"/>
    <w:semiHidden/>
    <w:rsid w:val="00A05898"/>
    <w:rPr>
      <w:rFonts w:ascii="Times New Roman" w:hAnsi="Times New Roman" w:cs="Times New Roman"/>
      <w:color w:val="808080"/>
    </w:rPr>
  </w:style>
  <w:style w:type="character" w:customStyle="1" w:styleId="PlaceholderText">
    <w:name w:val="PlaceholderText"/>
    <w:basedOn w:val="Predvolenpsmoodseku"/>
    <w:uiPriority w:val="99"/>
    <w:rsid w:val="00A05898"/>
    <w:rPr>
      <w:rFonts w:ascii="Times New Roman" w:hAnsi="Times New Roman" w:cs="Times New Roman"/>
      <w:color w:val="808080"/>
    </w:rPr>
  </w:style>
  <w:style w:type="character" w:customStyle="1" w:styleId="PlaceholderText0">
    <w:name w:val="PlaceholderText0"/>
    <w:basedOn w:val="Predvolenpsmoodseku"/>
    <w:uiPriority w:val="99"/>
    <w:rsid w:val="00A05898"/>
    <w:rPr>
      <w:rFonts w:ascii="Times New Roman" w:hAnsi="Times New Roman" w:cs="Times New Roman"/>
      <w:color w:val="808080"/>
    </w:rPr>
  </w:style>
  <w:style w:type="paragraph" w:styleId="Textbubliny">
    <w:name w:val="Balloon Text"/>
    <w:basedOn w:val="Normlny"/>
    <w:link w:val="TextbublinyChar"/>
    <w:uiPriority w:val="99"/>
    <w:semiHidden/>
    <w:rsid w:val="00FD5B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D5BD3"/>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341E"/>
    <w:pPr>
      <w:widowControl w:val="0"/>
      <w:adjustRightInd w:val="0"/>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PMsoNormal">
    <w:name w:val="P_PMsoNormal"/>
    <w:basedOn w:val="Normlny"/>
    <w:uiPriority w:val="99"/>
    <w:rsid w:val="00A05898"/>
  </w:style>
  <w:style w:type="character" w:styleId="Textzstupnhosymbolu">
    <w:name w:val="Placeholder Text"/>
    <w:basedOn w:val="Predvolenpsmoodseku"/>
    <w:uiPriority w:val="99"/>
    <w:semiHidden/>
    <w:rsid w:val="00A05898"/>
    <w:rPr>
      <w:rFonts w:ascii="Times New Roman" w:hAnsi="Times New Roman" w:cs="Times New Roman"/>
      <w:color w:val="808080"/>
    </w:rPr>
  </w:style>
  <w:style w:type="character" w:customStyle="1" w:styleId="PlaceholderText">
    <w:name w:val="PlaceholderText"/>
    <w:basedOn w:val="Predvolenpsmoodseku"/>
    <w:uiPriority w:val="99"/>
    <w:rsid w:val="00A05898"/>
    <w:rPr>
      <w:rFonts w:ascii="Times New Roman" w:hAnsi="Times New Roman" w:cs="Times New Roman"/>
      <w:color w:val="808080"/>
    </w:rPr>
  </w:style>
  <w:style w:type="character" w:customStyle="1" w:styleId="PlaceholderText0">
    <w:name w:val="PlaceholderText0"/>
    <w:basedOn w:val="Predvolenpsmoodseku"/>
    <w:uiPriority w:val="99"/>
    <w:rsid w:val="00A05898"/>
    <w:rPr>
      <w:rFonts w:ascii="Times New Roman" w:hAnsi="Times New Roman" w:cs="Times New Roman"/>
      <w:color w:val="808080"/>
    </w:rPr>
  </w:style>
  <w:style w:type="paragraph" w:styleId="Textbubliny">
    <w:name w:val="Balloon Text"/>
    <w:basedOn w:val="Normlny"/>
    <w:link w:val="TextbublinyChar"/>
    <w:uiPriority w:val="99"/>
    <w:semiHidden/>
    <w:rsid w:val="00FD5B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D5BD3"/>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8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7330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Dôvodová správa</vt:lpstr>
    </vt:vector>
  </TitlesOfParts>
  <Company>mhsr</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MH SR</dc:creator>
  <cp:lastModifiedBy>Hajdu Ladislav</cp:lastModifiedBy>
  <cp:revision>3</cp:revision>
  <cp:lastPrinted>2012-12-20T11:43:00Z</cp:lastPrinted>
  <dcterms:created xsi:type="dcterms:W3CDTF">2012-12-20T11:28:00Z</dcterms:created>
  <dcterms:modified xsi:type="dcterms:W3CDTF">2012-12-20T11:44:00Z</dcterms:modified>
</cp:coreProperties>
</file>

<file path=docProps/custom.xml><?xml version="1.0" encoding="utf-8"?>
<Properties xmlns="http://schemas.openxmlformats.org/officeDocument/2006/custom-properties" xmlns:vt="http://schemas.openxmlformats.org/officeDocument/2006/docPropsVTypes"/>
</file>