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CA" w:rsidRDefault="009C69CA" w:rsidP="009C69CA">
      <w:pPr>
        <w:jc w:val="center"/>
      </w:pPr>
      <w:r w:rsidRPr="004161A1">
        <w:rPr>
          <w:b/>
          <w:bCs/>
          <w:sz w:val="28"/>
          <w:szCs w:val="28"/>
        </w:rPr>
        <w:t>Vplyvy na rozpočet verejnej správy,</w:t>
      </w:r>
    </w:p>
    <w:p w:rsidR="009C69CA" w:rsidRDefault="009C69CA" w:rsidP="009C69CA">
      <w:pPr>
        <w:jc w:val="center"/>
      </w:pPr>
      <w:r w:rsidRPr="004161A1">
        <w:rPr>
          <w:b/>
          <w:bCs/>
          <w:sz w:val="28"/>
          <w:szCs w:val="28"/>
        </w:rPr>
        <w:t>na zamestnanosť vo verejnej správe a financovanie návrhu</w:t>
      </w:r>
    </w:p>
    <w:p w:rsidR="009C69CA" w:rsidRDefault="009C69CA" w:rsidP="009C69CA">
      <w:r>
        <w:t> </w:t>
      </w:r>
    </w:p>
    <w:p w:rsidR="009C69CA" w:rsidRDefault="009C69CA" w:rsidP="009C69CA">
      <w:r w:rsidRPr="004161A1">
        <w:rPr>
          <w:b/>
          <w:bCs/>
        </w:rPr>
        <w:t>2.1. Zhrnutie vplyvov na rozpočet verejnej správy v návrhu</w:t>
      </w:r>
    </w:p>
    <w:p w:rsidR="009C69CA" w:rsidRDefault="009C69CA" w:rsidP="009C69CA">
      <w:pPr>
        <w:jc w:val="right"/>
      </w:pPr>
      <w:r w:rsidRPr="004161A1">
        <w:rPr>
          <w:sz w:val="20"/>
          <w:szCs w:val="20"/>
        </w:rPr>
        <w:t xml:space="preserve">Tabuľka č. 1 </w:t>
      </w:r>
    </w:p>
    <w:tbl>
      <w:tblPr>
        <w:tblW w:w="9729" w:type="dxa"/>
        <w:tblCellMar>
          <w:left w:w="0" w:type="dxa"/>
          <w:right w:w="0" w:type="dxa"/>
        </w:tblCellMar>
        <w:tblLook w:val="0000"/>
      </w:tblPr>
      <w:tblGrid>
        <w:gridCol w:w="4661"/>
        <w:gridCol w:w="1267"/>
        <w:gridCol w:w="1267"/>
        <w:gridCol w:w="1267"/>
        <w:gridCol w:w="1267"/>
      </w:tblGrid>
      <w:tr w:rsidR="009C69CA" w:rsidRPr="004161A1" w:rsidTr="000467BF"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94" w:lineRule="atLeast"/>
              <w:jc w:val="center"/>
            </w:pPr>
            <w:bookmarkStart w:id="0" w:name="OLE_LINK1"/>
            <w:bookmarkEnd w:id="0"/>
            <w:r w:rsidRPr="004161A1">
              <w:rPr>
                <w:b/>
                <w:bCs/>
                <w:color w:val="FFFFFF"/>
              </w:rPr>
              <w:t xml:space="preserve">Vplyvy na </w:t>
            </w:r>
            <w:r w:rsidRPr="004161A1">
              <w:rPr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94" w:lineRule="atLeast"/>
              <w:jc w:val="center"/>
            </w:pPr>
            <w:r w:rsidRPr="004161A1">
              <w:rPr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b/>
                <w:bCs/>
              </w:rPr>
              <w:t>(v eurách)</w:t>
            </w:r>
          </w:p>
        </w:tc>
      </w:tr>
      <w:tr w:rsidR="009C69CA" w:rsidRPr="004161A1" w:rsidTr="000467B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CA" w:rsidRPr="004161A1" w:rsidRDefault="009C69CA" w:rsidP="000467B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9C69CA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2013</w:t>
            </w:r>
            <w:r w:rsidRPr="004161A1">
              <w:rPr>
                <w:b/>
                <w:bCs/>
                <w:color w:val="FFFFFF"/>
              </w:rPr>
              <w:t>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9C69CA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9C69CA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9C69CA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</w:tr>
      <w:tr w:rsidR="009C69CA" w:rsidRPr="004161A1" w:rsidTr="000467BF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2" w:lineRule="atLeast"/>
            </w:pPr>
            <w: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2" w:lineRule="atLeast"/>
              <w:jc w:val="right"/>
            </w:pPr>
            <w: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</w:tr>
      <w:tr w:rsidR="009C69CA" w:rsidRPr="004161A1" w:rsidTr="000467BF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25" w:lineRule="atLeast"/>
            </w:pPr>
            <w:r w:rsidRPr="004161A1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</w:tr>
      <w:tr w:rsidR="009C69CA" w:rsidRPr="004161A1" w:rsidTr="000467BF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25" w:lineRule="atLeast"/>
            </w:pPr>
            <w:r w:rsidRPr="004161A1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</w:tr>
      <w:tr w:rsidR="009C69CA" w:rsidRPr="004161A1" w:rsidTr="000467BF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25" w:lineRule="atLeast"/>
            </w:pPr>
            <w:r w:rsidRPr="004161A1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rPr>
                <w:b/>
                <w:bCs/>
              </w:rPr>
              <w:t>26 200 000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25 000 000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</w:tr>
      <w:tr w:rsidR="009C69CA" w:rsidRPr="004161A1" w:rsidTr="000467BF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25" w:lineRule="atLeast"/>
            </w:pPr>
            <w:r w:rsidRPr="004161A1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1 200 00</w:t>
            </w: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rPr>
                <w:b/>
                <w:bCs/>
              </w:rP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>- z toho vplyv na ŠR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B177E4">
            <w:pPr>
              <w:spacing w:line="70" w:lineRule="atLeast"/>
              <w:jc w:val="right"/>
            </w:pPr>
            <w:r>
              <w:rPr>
                <w:b/>
                <w:bCs/>
              </w:rPr>
              <w:t>2</w:t>
            </w:r>
            <w:r w:rsidR="00B177E4">
              <w:rPr>
                <w:b/>
                <w:bCs/>
              </w:rPr>
              <w:t>6 2</w:t>
            </w:r>
            <w:r>
              <w:rPr>
                <w:b/>
                <w:bCs/>
              </w:rPr>
              <w:t>00 00</w:t>
            </w:r>
            <w:r w:rsidRPr="006C121A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rPr>
                <w:b/>
                <w:bCs/>
              </w:rP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B177E4">
            <w:pPr>
              <w:spacing w:line="70" w:lineRule="atLeast"/>
              <w:jc w:val="right"/>
            </w:pPr>
            <w:r>
              <w:t>2</w:t>
            </w:r>
            <w:r w:rsidR="00B177E4">
              <w:t>6 2</w:t>
            </w:r>
            <w:r>
              <w:t>00 000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 w:rsidRPr="006C121A">
              <w:t>0</w:t>
            </w:r>
          </w:p>
        </w:tc>
      </w:tr>
      <w:tr w:rsidR="009C69CA" w:rsidRPr="004161A1" w:rsidTr="000467BF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</w:tr>
    </w:tbl>
    <w:p w:rsidR="009C69CA" w:rsidRDefault="009C69CA" w:rsidP="009C69CA">
      <w:r>
        <w:t> </w:t>
      </w:r>
    </w:p>
    <w:p w:rsidR="009C69CA" w:rsidRDefault="009C69CA" w:rsidP="009C69CA">
      <w:r w:rsidRPr="004161A1">
        <w:rPr>
          <w:b/>
          <w:bCs/>
        </w:rPr>
        <w:t>2.2. Financovanie návrhu</w:t>
      </w:r>
    </w:p>
    <w:p w:rsidR="009C69CA" w:rsidRDefault="009C69CA" w:rsidP="009C69CA">
      <w:pPr>
        <w:jc w:val="right"/>
      </w:pPr>
      <w:r w:rsidRPr="004161A1">
        <w:rPr>
          <w:sz w:val="20"/>
          <w:szCs w:val="20"/>
        </w:rPr>
        <w:t>Tabuľka č. 2</w:t>
      </w:r>
    </w:p>
    <w:tbl>
      <w:tblPr>
        <w:tblW w:w="9360" w:type="dxa"/>
        <w:tblCellMar>
          <w:left w:w="0" w:type="dxa"/>
          <w:right w:w="0" w:type="dxa"/>
        </w:tblCellMar>
        <w:tblLook w:val="0000"/>
      </w:tblPr>
      <w:tblGrid>
        <w:gridCol w:w="3995"/>
        <w:gridCol w:w="1357"/>
        <w:gridCol w:w="1336"/>
        <w:gridCol w:w="1336"/>
        <w:gridCol w:w="1336"/>
      </w:tblGrid>
      <w:tr w:rsidR="009C69CA" w:rsidRPr="004161A1" w:rsidTr="000467BF">
        <w:trPr>
          <w:trHeight w:val="70"/>
        </w:trPr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b/>
                <w:bCs/>
              </w:rPr>
              <w:t>(v eurách)</w:t>
            </w:r>
          </w:p>
        </w:tc>
      </w:tr>
      <w:tr w:rsidR="009C69CA" w:rsidRPr="004161A1" w:rsidTr="000467B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CA" w:rsidRPr="004161A1" w:rsidRDefault="009C69CA" w:rsidP="000467BF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F46D7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F46D70">
              <w:rPr>
                <w:b/>
                <w:bCs/>
                <w:color w:val="FFFFFF"/>
              </w:rPr>
              <w:t>3</w:t>
            </w:r>
            <w:r w:rsidRPr="004161A1">
              <w:rPr>
                <w:b/>
                <w:bCs/>
                <w:color w:val="FFFFFF"/>
              </w:rPr>
              <w:t>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F46D7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F46D70">
              <w:rPr>
                <w:b/>
                <w:bCs/>
                <w:color w:val="FFFFFF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F46D7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F46D70">
              <w:rPr>
                <w:b/>
                <w:bCs/>
                <w:color w:val="FFFFFF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F46D7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F46D70">
              <w:rPr>
                <w:b/>
                <w:bCs/>
                <w:color w:val="FFFFFF"/>
              </w:rPr>
              <w:t>6</w:t>
            </w:r>
          </w:p>
        </w:tc>
      </w:tr>
      <w:tr w:rsidR="009C69CA" w:rsidRPr="004161A1" w:rsidTr="000467BF">
        <w:trPr>
          <w:trHeight w:val="7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+26 200 000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F46D70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6C121A" w:rsidRDefault="009C69CA" w:rsidP="000467BF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</w:tr>
      <w:tr w:rsidR="009C69CA" w:rsidRPr="004161A1" w:rsidTr="000467BF">
        <w:trPr>
          <w:trHeight w:val="7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</w:pPr>
            <w:r>
              <w:t>  z toho vplyv na ŠR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+25 000 000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F46D70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right"/>
            </w:pPr>
            <w:r>
              <w:t>0</w:t>
            </w:r>
          </w:p>
        </w:tc>
      </w:tr>
      <w:tr w:rsidR="009C69CA" w:rsidRPr="004161A1" w:rsidTr="000467BF">
        <w:trPr>
          <w:trHeight w:val="15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51" w:lineRule="atLeast"/>
            </w:pPr>
            <w:r>
              <w:t>  financovanie zabezpečené v rozpočte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AD1A1A" w:rsidP="000467BF">
            <w:pPr>
              <w:spacing w:line="151" w:lineRule="atLeast"/>
              <w:jc w:val="right"/>
            </w:pPr>
            <w:r>
              <w:t>+26 2</w:t>
            </w:r>
            <w:r w:rsidR="009C69CA">
              <w:t>00 000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F46D70" w:rsidP="000467BF">
            <w:pPr>
              <w:spacing w:line="151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51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51" w:lineRule="atLeast"/>
              <w:jc w:val="right"/>
            </w:pPr>
            <w:r>
              <w:t>0</w:t>
            </w:r>
          </w:p>
        </w:tc>
      </w:tr>
      <w:tr w:rsidR="009C69CA" w:rsidRPr="004161A1" w:rsidTr="000467BF">
        <w:trPr>
          <w:trHeight w:val="13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5" w:lineRule="atLeast"/>
            </w:pPr>
            <w:r>
              <w:t>  ostatné zdroje financovania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F46D70" w:rsidP="000467BF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4161A1" w:rsidRDefault="009C69CA" w:rsidP="000467BF">
            <w:pPr>
              <w:spacing w:line="135" w:lineRule="atLeast"/>
              <w:jc w:val="right"/>
            </w:pPr>
            <w:r>
              <w:t>0</w:t>
            </w:r>
          </w:p>
        </w:tc>
      </w:tr>
      <w:tr w:rsidR="009C69CA" w:rsidRPr="000E1E92" w:rsidTr="000467BF">
        <w:trPr>
          <w:trHeight w:val="7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0E1E92" w:rsidRDefault="009C69CA" w:rsidP="000467BF">
            <w:pPr>
              <w:spacing w:line="70" w:lineRule="atLeast"/>
              <w:rPr>
                <w:b/>
              </w:rPr>
            </w:pPr>
            <w:r w:rsidRPr="000E1E92">
              <w:rPr>
                <w:b/>
                <w:bCs/>
              </w:rPr>
              <w:t>Rozpočtovo nekrytý vplyv / úspora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0E1E92" w:rsidRDefault="009C69CA" w:rsidP="000467BF">
            <w:pPr>
              <w:spacing w:line="70" w:lineRule="atLeast"/>
              <w:jc w:val="right"/>
              <w:rPr>
                <w:b/>
              </w:rPr>
            </w:pPr>
            <w:r w:rsidRPr="000E1E92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0E1E92" w:rsidRDefault="009C69CA" w:rsidP="000467BF">
            <w:pPr>
              <w:spacing w:line="70" w:lineRule="atLeast"/>
              <w:jc w:val="right"/>
              <w:rPr>
                <w:b/>
              </w:rPr>
            </w:pPr>
            <w:r w:rsidRPr="000E1E92">
              <w:rPr>
                <w:b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0E1E92" w:rsidRDefault="009C69CA" w:rsidP="000467BF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9CA" w:rsidRPr="000E1E92" w:rsidRDefault="009C69CA" w:rsidP="000467BF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69CA" w:rsidRPr="004161A1" w:rsidTr="000467BF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</w:tr>
    </w:tbl>
    <w:p w:rsidR="009C69CA" w:rsidRDefault="009C69CA" w:rsidP="009C69CA">
      <w:r>
        <w:t> </w:t>
      </w:r>
    </w:p>
    <w:p w:rsidR="009C69CA" w:rsidRDefault="009C69CA" w:rsidP="009C69CA">
      <w:r w:rsidRPr="004161A1">
        <w:rPr>
          <w:b/>
          <w:bCs/>
        </w:rPr>
        <w:t> </w:t>
      </w:r>
    </w:p>
    <w:p w:rsidR="009C69CA" w:rsidRDefault="009C69CA" w:rsidP="009C69CA">
      <w:pPr>
        <w:rPr>
          <w:b/>
          <w:bCs/>
        </w:rPr>
      </w:pPr>
      <w:r w:rsidRPr="004161A1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9C69CA" w:rsidRDefault="009C69CA" w:rsidP="009C69CA"/>
    <w:p w:rsidR="009C69CA" w:rsidRDefault="009C69CA" w:rsidP="009C69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EF2A12">
        <w:rPr>
          <w:bCs/>
        </w:rPr>
        <w:t>Predloženým návrhom nevzniknú nové požiadavky na štátny rozpočet. Financovanie bude realizované v rámci programu 017 Program</w:t>
      </w:r>
      <w:r w:rsidRPr="00EF2A12">
        <w:t xml:space="preserve"> rozvoja bývania, podprogram 01701 Výstavba a obnova bytového fondu. Pre rok 201</w:t>
      </w:r>
      <w:r w:rsidR="00F46D70">
        <w:t>3</w:t>
      </w:r>
      <w:r w:rsidRPr="00EF2A12">
        <w:t xml:space="preserve"> sú  rozpočtované vý</w:t>
      </w:r>
      <w:r>
        <w:t>davky vo výške 25 000 000 eur a</w:t>
      </w:r>
      <w:r w:rsidRPr="00EF2A12">
        <w:t xml:space="preserve"> </w:t>
      </w:r>
      <w:r>
        <w:t>v návrhu štátneho rozpočtu na roky 201</w:t>
      </w:r>
      <w:r w:rsidR="00F46D70">
        <w:t>4</w:t>
      </w:r>
      <w:r>
        <w:t xml:space="preserve"> až 201</w:t>
      </w:r>
      <w:r w:rsidR="003B64F5">
        <w:t>5</w:t>
      </w:r>
      <w:r>
        <w:t xml:space="preserve"> sú </w:t>
      </w:r>
      <w:r w:rsidR="003B64F5">
        <w:t>rozpočtované</w:t>
      </w:r>
      <w:r w:rsidRPr="003B64F5">
        <w:t xml:space="preserve"> výdavky vo výške 0 eur</w:t>
      </w:r>
      <w:r w:rsidRPr="00EF2A12">
        <w:t>.</w:t>
      </w:r>
    </w:p>
    <w:p w:rsidR="003B64F5" w:rsidRPr="00EF2A12" w:rsidRDefault="003B64F5" w:rsidP="009C69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t>Ministerstvo dopravy, výstavby a regionálneho rozvoja SR pri príprave rozpočtu na ďalšie rozpočtové obdobie (2014 až 2016) bude rokovať o výške navrhovanej čiastky na tento účel. Pre zabezpečenie rozvoja sociálneho nájomného bývania je potrené ročne podporiť obstaranie cca 2500 nájomných bytov, čo s</w:t>
      </w:r>
      <w:r w:rsidR="00FF5D53">
        <w:t>ú</w:t>
      </w:r>
      <w:r>
        <w:t xml:space="preserve"> zdroje zo štátneho rozpočtu vo výške cca 40 mil. eur.</w:t>
      </w:r>
    </w:p>
    <w:p w:rsidR="009C69CA" w:rsidRDefault="009C69CA" w:rsidP="009C69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C69CA" w:rsidRDefault="009C69CA" w:rsidP="009C69CA">
      <w:pPr>
        <w:rPr>
          <w:b/>
          <w:bCs/>
        </w:rPr>
      </w:pPr>
    </w:p>
    <w:p w:rsidR="009C69CA" w:rsidRDefault="009C69CA" w:rsidP="009C69CA">
      <w:r w:rsidRPr="004161A1">
        <w:rPr>
          <w:b/>
          <w:bCs/>
        </w:rPr>
        <w:lastRenderedPageBreak/>
        <w:t>2.3. Popis a charakteristika návrhu</w:t>
      </w:r>
    </w:p>
    <w:p w:rsidR="009C69CA" w:rsidRDefault="009C69CA" w:rsidP="009C69CA">
      <w:r>
        <w:t> </w:t>
      </w:r>
    </w:p>
    <w:p w:rsidR="009C69CA" w:rsidRDefault="009C69CA" w:rsidP="009C69CA">
      <w:pPr>
        <w:jc w:val="both"/>
      </w:pPr>
      <w:r w:rsidRPr="004161A1">
        <w:rPr>
          <w:b/>
          <w:bCs/>
        </w:rPr>
        <w:t>2.3.1. Popis návrhu:</w:t>
      </w:r>
    </w:p>
    <w:p w:rsidR="009C69CA" w:rsidRDefault="009C69CA" w:rsidP="009C69CA">
      <w:pPr>
        <w:jc w:val="both"/>
        <w:rPr>
          <w:b/>
          <w:bCs/>
        </w:rPr>
      </w:pPr>
      <w:r w:rsidRPr="004161A1">
        <w:rPr>
          <w:b/>
          <w:bCs/>
        </w:rPr>
        <w:t> </w:t>
      </w:r>
    </w:p>
    <w:p w:rsidR="000467BF" w:rsidRDefault="009C69CA" w:rsidP="009C69CA">
      <w:pPr>
        <w:pStyle w:val="Zkladntext"/>
        <w:tabs>
          <w:tab w:val="left" w:pos="360"/>
        </w:tabs>
        <w:ind w:firstLine="709"/>
        <w:jc w:val="both"/>
        <w:rPr>
          <w:iCs/>
        </w:rPr>
      </w:pPr>
      <w:r w:rsidRPr="00EF2A12">
        <w:rPr>
          <w:iCs/>
        </w:rPr>
        <w:t xml:space="preserve">Zákon č. 443/2010 Z. z. o dotáciách na rozvoj bývania a o sociálnom bývaní </w:t>
      </w:r>
      <w:r w:rsidR="000467BF">
        <w:rPr>
          <w:iCs/>
        </w:rPr>
        <w:t xml:space="preserve">v znení zákona č. ..../2013 Z. z., ktorým sa mení a dopĺňa zákon č. 443/2010 Z. z. </w:t>
      </w:r>
      <w:r w:rsidRPr="00EF2A12">
        <w:rPr>
          <w:iCs/>
        </w:rPr>
        <w:t xml:space="preserve">je zákonom upravujúcim podmienky pre poskytovanie dotácií na obstarávanie nájomných bytov a obnovu bytového fondu tvorenú odstraňovaním systémových porúch bytových domov. </w:t>
      </w:r>
    </w:p>
    <w:p w:rsidR="000467BF" w:rsidRDefault="00680D4D" w:rsidP="009C69CA">
      <w:pPr>
        <w:pStyle w:val="Zkladntext"/>
        <w:tabs>
          <w:tab w:val="left" w:pos="360"/>
        </w:tabs>
        <w:ind w:firstLine="709"/>
        <w:jc w:val="both"/>
        <w:rPr>
          <w:iCs/>
        </w:rPr>
      </w:pPr>
      <w:r>
        <w:rPr>
          <w:iCs/>
        </w:rPr>
        <w:t>Návrh nariadenia vlády Slovenskej republiky, ktorým sa ustanovuje výška dotácie na obstaranie nájomného bytu, obstaranie technickej vybavenosti a odstránenie systémovej poruchy a výška oprávnených nákladov na obstaranie nájomného bytu je vypracovaný v</w:t>
      </w:r>
      <w:r w:rsidR="000467BF">
        <w:rPr>
          <w:iCs/>
        </w:rPr>
        <w:t> súlade s § 23 ods. 2  zákona č. 443/2010 Z. z. o dotáciách na rozvoj bývania a o sociálnom bývaní v znení zákona č. ...../2013 Z.</w:t>
      </w:r>
      <w:r>
        <w:rPr>
          <w:iCs/>
        </w:rPr>
        <w:t xml:space="preserve"> </w:t>
      </w:r>
      <w:r w:rsidR="000467BF">
        <w:rPr>
          <w:iCs/>
        </w:rPr>
        <w:t>z.</w:t>
      </w:r>
      <w:r>
        <w:rPr>
          <w:iCs/>
        </w:rPr>
        <w:t>.</w:t>
      </w:r>
      <w:r w:rsidR="000467BF">
        <w:rPr>
          <w:iCs/>
        </w:rPr>
        <w:t xml:space="preserve">  </w:t>
      </w:r>
    </w:p>
    <w:p w:rsidR="009C69CA" w:rsidRDefault="009C69CA" w:rsidP="009C69CA">
      <w:pPr>
        <w:pStyle w:val="Zkladntext2"/>
        <w:spacing w:line="240" w:lineRule="auto"/>
        <w:ind w:firstLine="708"/>
        <w:rPr>
          <w:iCs/>
        </w:rPr>
      </w:pPr>
      <w:r w:rsidRPr="00EF2A12">
        <w:rPr>
          <w:iCs/>
        </w:rPr>
        <w:t>Predloženým</w:t>
      </w:r>
      <w:r w:rsidRPr="000F10BD">
        <w:rPr>
          <w:iCs/>
        </w:rPr>
        <w:t xml:space="preserve"> návrhom nevzniknú nové požiadavky na štátny rozpočet, nakoľko ide o finančné prostriedky rozpočtované v rámci existujúceho programu rozvoja bývania.</w:t>
      </w:r>
    </w:p>
    <w:p w:rsidR="009C69CA" w:rsidRPr="00EF2A12" w:rsidRDefault="009C69CA" w:rsidP="009C69CA">
      <w:pPr>
        <w:pStyle w:val="Zkladntext2"/>
        <w:spacing w:line="240" w:lineRule="auto"/>
        <w:ind w:firstLine="708"/>
        <w:rPr>
          <w:iCs/>
        </w:rPr>
      </w:pPr>
      <w:r w:rsidRPr="000F10BD">
        <w:rPr>
          <w:iCs/>
        </w:rPr>
        <w:t>Predložený návrh zákona nevyžaduje nové nároky na pracovné sily.</w:t>
      </w:r>
      <w:r>
        <w:t> </w:t>
      </w:r>
    </w:p>
    <w:p w:rsidR="009C69CA" w:rsidRDefault="009C69CA" w:rsidP="009C69CA">
      <w:r>
        <w:t>.......................................................................................................................................................</w:t>
      </w:r>
    </w:p>
    <w:p w:rsidR="009C69CA" w:rsidRDefault="009C69CA" w:rsidP="009C69CA">
      <w:r>
        <w:t> </w:t>
      </w:r>
    </w:p>
    <w:p w:rsidR="009C69CA" w:rsidRDefault="009C69CA" w:rsidP="009C69CA">
      <w:r w:rsidRPr="004161A1">
        <w:rPr>
          <w:b/>
          <w:bCs/>
        </w:rPr>
        <w:t>2.3.2. Charakteristika návrhu podľa bodu  2.3.2. Metodiky :</w:t>
      </w:r>
    </w:p>
    <w:p w:rsidR="009C69CA" w:rsidRDefault="009C69CA" w:rsidP="009C69CA">
      <w:r>
        <w:t> </w:t>
      </w:r>
    </w:p>
    <w:p w:rsidR="009C69CA" w:rsidRDefault="009C69CA" w:rsidP="009C69CA">
      <w:r w:rsidRPr="004161A1">
        <w:rPr>
          <w:b/>
          <w:bCs/>
          <w:bdr w:val="single" w:sz="4" w:space="0" w:color="000000" w:frame="1"/>
        </w:rPr>
        <w:t xml:space="preserve">     </w:t>
      </w:r>
      <w:r w:rsidRPr="004161A1">
        <w:rPr>
          <w:b/>
          <w:bCs/>
        </w:rPr>
        <w:t xml:space="preserve">  </w:t>
      </w:r>
      <w:r>
        <w:t>zmena sadzby</w:t>
      </w:r>
    </w:p>
    <w:p w:rsidR="009C69CA" w:rsidRDefault="009C69CA" w:rsidP="009C69CA">
      <w:r>
        <w:rPr>
          <w:bdr w:val="single" w:sz="4" w:space="0" w:color="000000" w:frame="1"/>
        </w:rPr>
        <w:t xml:space="preserve">     </w:t>
      </w:r>
      <w:r>
        <w:t>  zmena v nároku</w:t>
      </w:r>
    </w:p>
    <w:p w:rsidR="009C69CA" w:rsidRDefault="009C69CA" w:rsidP="009C69CA">
      <w:r>
        <w:rPr>
          <w:bdr w:val="single" w:sz="4" w:space="0" w:color="000000" w:frame="1"/>
        </w:rPr>
        <w:t xml:space="preserve">     </w:t>
      </w:r>
      <w:r>
        <w:t>  nová služba alebo nariadenie (alebo ich zrušenie)</w:t>
      </w:r>
    </w:p>
    <w:p w:rsidR="009C69CA" w:rsidRDefault="009C69CA" w:rsidP="009C69CA">
      <w:r>
        <w:rPr>
          <w:bdr w:val="single" w:sz="4" w:space="0" w:color="000000" w:frame="1"/>
        </w:rPr>
        <w:t xml:space="preserve">     </w:t>
      </w:r>
      <w:r>
        <w:t>  kombinovaný návrh</w:t>
      </w:r>
    </w:p>
    <w:p w:rsidR="009C69CA" w:rsidRDefault="009C69CA" w:rsidP="009C69CA">
      <w:r>
        <w:rPr>
          <w:bdr w:val="single" w:sz="4" w:space="0" w:color="000000" w:frame="1"/>
        </w:rPr>
        <w:t xml:space="preserve">     </w:t>
      </w:r>
      <w:r>
        <w:t xml:space="preserve">  iné </w:t>
      </w:r>
    </w:p>
    <w:p w:rsidR="009C69CA" w:rsidRDefault="009C69CA" w:rsidP="009C69CA">
      <w:r>
        <w:t> </w:t>
      </w:r>
    </w:p>
    <w:p w:rsidR="009C69CA" w:rsidRDefault="009C69CA" w:rsidP="009C69CA">
      <w:r>
        <w:t> </w:t>
      </w:r>
      <w:r w:rsidRPr="004161A1">
        <w:rPr>
          <w:b/>
          <w:bCs/>
        </w:rPr>
        <w:t>2.3.3. Predpoklady vývoja objemu aktivít:</w:t>
      </w:r>
    </w:p>
    <w:p w:rsidR="009C69CA" w:rsidRDefault="009C69CA" w:rsidP="009C69CA">
      <w:r>
        <w:t> </w:t>
      </w:r>
    </w:p>
    <w:p w:rsidR="009C69CA" w:rsidRDefault="009C69CA" w:rsidP="009C69CA">
      <w:pPr>
        <w:ind w:firstLine="708"/>
        <w:jc w:val="both"/>
      </w:pPr>
      <w:r>
        <w:t>Jasne popíšte, v prípade potreby použite nižšie uvedenú tabuľku. Uveďte aj odhady základov daní a/alebo poplatkov, ak sa ich táto zmena týka.</w:t>
      </w:r>
    </w:p>
    <w:p w:rsidR="009C69CA" w:rsidRDefault="009C69CA" w:rsidP="009C69CA">
      <w:pPr>
        <w:jc w:val="right"/>
      </w:pPr>
      <w:r w:rsidRPr="004161A1">
        <w:rPr>
          <w:sz w:val="20"/>
          <w:szCs w:val="20"/>
        </w:rPr>
        <w:t xml:space="preserve">Tabuľka č. 3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0"/>
        <w:gridCol w:w="1134"/>
        <w:gridCol w:w="1134"/>
        <w:gridCol w:w="1134"/>
        <w:gridCol w:w="1134"/>
      </w:tblGrid>
      <w:tr w:rsidR="009C69CA" w:rsidRPr="004161A1" w:rsidTr="000467BF"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>Odhadované objemy</w:t>
            </w:r>
          </w:p>
        </w:tc>
      </w:tr>
      <w:tr w:rsidR="009C69CA" w:rsidRPr="004161A1" w:rsidTr="000467B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CA" w:rsidRPr="004161A1" w:rsidRDefault="009C69CA" w:rsidP="000467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CA" w:rsidRPr="004161A1" w:rsidRDefault="002F78E4" w:rsidP="000467BF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2013</w:t>
            </w:r>
            <w:r w:rsidR="009C69CA" w:rsidRPr="004161A1">
              <w:rPr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CA" w:rsidRPr="004161A1" w:rsidRDefault="009C69CA" w:rsidP="002F78E4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2F78E4">
              <w:rPr>
                <w:b/>
                <w:bCs/>
                <w:color w:val="FFFFFF"/>
              </w:rPr>
              <w:t>4</w:t>
            </w:r>
            <w:r w:rsidRPr="004161A1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2F78E4">
              <w:rPr>
                <w:b/>
                <w:bCs/>
                <w:color w:va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CA" w:rsidRPr="004161A1" w:rsidRDefault="009C69CA" w:rsidP="000467BF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</w:t>
            </w:r>
            <w:r w:rsidR="002F78E4">
              <w:rPr>
                <w:b/>
                <w:bCs/>
                <w:color w:val="FFFFFF"/>
              </w:rPr>
              <w:t>6</w:t>
            </w:r>
          </w:p>
        </w:tc>
      </w:tr>
      <w:tr w:rsidR="009C69CA" w:rsidRPr="004161A1" w:rsidTr="000467BF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</w:tr>
      <w:tr w:rsidR="009C69CA" w:rsidRPr="004161A1" w:rsidTr="000467BF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</w:tr>
      <w:tr w:rsidR="009C69CA" w:rsidRPr="004161A1" w:rsidTr="000467BF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</w:pPr>
            <w:r w:rsidRPr="004161A1">
              <w:rPr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CA" w:rsidRPr="004161A1" w:rsidRDefault="009C69CA" w:rsidP="000467BF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</w:tr>
      <w:tr w:rsidR="009C69CA" w:rsidRPr="004161A1" w:rsidTr="000467B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CA" w:rsidRPr="004161A1" w:rsidRDefault="009C69CA" w:rsidP="000467BF">
            <w:pPr>
              <w:rPr>
                <w:sz w:val="2"/>
              </w:rPr>
            </w:pPr>
          </w:p>
        </w:tc>
      </w:tr>
    </w:tbl>
    <w:p w:rsidR="009C69CA" w:rsidRDefault="009C69CA" w:rsidP="009C69CA">
      <w:r>
        <w:t> </w:t>
      </w:r>
    </w:p>
    <w:p w:rsidR="009C69CA" w:rsidRDefault="009C69CA" w:rsidP="009C69CA">
      <w:r w:rsidRPr="004161A1">
        <w:rPr>
          <w:b/>
          <w:bCs/>
        </w:rPr>
        <w:t>2.3.4. Výpočty vplyvov na verejné financie</w:t>
      </w:r>
    </w:p>
    <w:p w:rsidR="009C69CA" w:rsidRDefault="009C69CA" w:rsidP="009C69CA">
      <w:r>
        <w:t> </w:t>
      </w:r>
    </w:p>
    <w:p w:rsidR="009C69CA" w:rsidRDefault="009C69CA" w:rsidP="009C69CA">
      <w:pPr>
        <w:jc w:val="both"/>
      </w:pPr>
      <w:r>
        <w:rPr>
          <w:bCs/>
        </w:rPr>
        <w:t xml:space="preserve">Návrh </w:t>
      </w:r>
      <w:r w:rsidR="00FA0CC3">
        <w:rPr>
          <w:bCs/>
        </w:rPr>
        <w:t>nariadenia vlády</w:t>
      </w:r>
      <w:r>
        <w:rPr>
          <w:bCs/>
        </w:rPr>
        <w:t xml:space="preserve"> nezakladá</w:t>
      </w:r>
      <w:r w:rsidRPr="000E1E92">
        <w:rPr>
          <w:bCs/>
        </w:rPr>
        <w:t xml:space="preserve"> nové požiadavky na štátny rozpočet. Financovanie bude re</w:t>
      </w:r>
      <w:r>
        <w:rPr>
          <w:bCs/>
        </w:rPr>
        <w:t xml:space="preserve">alizované v rámci </w:t>
      </w:r>
      <w:r w:rsidRPr="00EF2A12">
        <w:rPr>
          <w:bCs/>
        </w:rPr>
        <w:t>programu 017 Program</w:t>
      </w:r>
      <w:r w:rsidRPr="00EF2A12">
        <w:t xml:space="preserve"> rozvoja bývania, podprogram 01701 Výstavba a obnova bytového fondu. Pre rok 201</w:t>
      </w:r>
      <w:r w:rsidR="00F46D70">
        <w:t>3</w:t>
      </w:r>
      <w:r w:rsidRPr="00EF2A12">
        <w:t xml:space="preserve"> sú  rozpočtované výdavky vo výške 25 000 000 eur a v rokoch 201</w:t>
      </w:r>
      <w:r w:rsidR="00F46D70">
        <w:t>4</w:t>
      </w:r>
      <w:r w:rsidRPr="00EF2A12">
        <w:t xml:space="preserve"> až 201</w:t>
      </w:r>
      <w:r w:rsidR="003B64F5">
        <w:t>5</w:t>
      </w:r>
      <w:r w:rsidRPr="00EF2A12">
        <w:t xml:space="preserve"> sa rozpočtujú výdavky vo výške 0 eur</w:t>
      </w:r>
      <w:r>
        <w:t>.</w:t>
      </w:r>
    </w:p>
    <w:p w:rsidR="00CC381A" w:rsidRDefault="009C69CA" w:rsidP="003B64F5">
      <w:pPr>
        <w:jc w:val="both"/>
      </w:pPr>
      <w:r>
        <w:t>Realizácia si vyžaduje čiastočnú spoluúčasť zo strany miest a obcí pri financovaní technickej vybavenosti, ktorá podmieňuje obstaranie nájomných bytov a to vo výške cca 5 % z nákladov na obstaranie nájomných bytov. Tento podiel je možné zo strany obci minimalizovať v závislosti na umiestnení bytovej budovy a využití existujúcej technickej vybavenosti.</w:t>
      </w:r>
    </w:p>
    <w:sectPr w:rsidR="00CC381A" w:rsidSect="0033508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E4" w:rsidRDefault="00B177E4" w:rsidP="0033508F">
      <w:r>
        <w:separator/>
      </w:r>
    </w:p>
  </w:endnote>
  <w:endnote w:type="continuationSeparator" w:id="0">
    <w:p w:rsidR="00B177E4" w:rsidRDefault="00B177E4" w:rsidP="0033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E4" w:rsidRDefault="00762827" w:rsidP="000467B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177E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77E4">
      <w:rPr>
        <w:rStyle w:val="slostrany"/>
        <w:noProof/>
      </w:rPr>
      <w:t>2</w:t>
    </w:r>
    <w:r>
      <w:rPr>
        <w:rStyle w:val="slostrany"/>
      </w:rPr>
      <w:fldChar w:fldCharType="end"/>
    </w:r>
  </w:p>
  <w:p w:rsidR="00B177E4" w:rsidRDefault="00B177E4" w:rsidP="000467B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E4" w:rsidRDefault="00762827">
    <w:pPr>
      <w:pStyle w:val="Pta"/>
      <w:jc w:val="center"/>
    </w:pPr>
    <w:fldSimple w:instr=" PAGE   \* MERGEFORMAT ">
      <w:r w:rsidR="00FF5D53">
        <w:rPr>
          <w:noProof/>
        </w:rPr>
        <w:t>2</w:t>
      </w:r>
    </w:fldSimple>
  </w:p>
  <w:p w:rsidR="00B177E4" w:rsidRDefault="00B177E4" w:rsidP="000467BF">
    <w:pPr>
      <w:pStyle w:val="Pt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E4" w:rsidRDefault="00B177E4" w:rsidP="0033508F">
      <w:r>
        <w:separator/>
      </w:r>
    </w:p>
  </w:footnote>
  <w:footnote w:type="continuationSeparator" w:id="0">
    <w:p w:rsidR="00B177E4" w:rsidRDefault="00B177E4" w:rsidP="00335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5AD"/>
    <w:rsid w:val="000467BF"/>
    <w:rsid w:val="001F692C"/>
    <w:rsid w:val="00216443"/>
    <w:rsid w:val="0023291D"/>
    <w:rsid w:val="002F78E4"/>
    <w:rsid w:val="0033508F"/>
    <w:rsid w:val="003B64F5"/>
    <w:rsid w:val="00680D4D"/>
    <w:rsid w:val="00762827"/>
    <w:rsid w:val="007905AD"/>
    <w:rsid w:val="009C69CA"/>
    <w:rsid w:val="00AD1A1A"/>
    <w:rsid w:val="00B177E4"/>
    <w:rsid w:val="00B974A6"/>
    <w:rsid w:val="00BE79BC"/>
    <w:rsid w:val="00CC381A"/>
    <w:rsid w:val="00D90332"/>
    <w:rsid w:val="00F46D70"/>
    <w:rsid w:val="00FA0CC3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E79B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E79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BE79BC"/>
    <w:pPr>
      <w:spacing w:before="120" w:after="120" w:line="480" w:lineRule="auto"/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E7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C6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69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C69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14</cp:revision>
  <dcterms:created xsi:type="dcterms:W3CDTF">2013-03-19T08:13:00Z</dcterms:created>
  <dcterms:modified xsi:type="dcterms:W3CDTF">2013-03-21T08:15:00Z</dcterms:modified>
</cp:coreProperties>
</file>