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2F" w:rsidRPr="004816AF" w:rsidRDefault="00B31B2F" w:rsidP="00B31B2F">
      <w:pPr>
        <w:keepNext/>
        <w:keepLines/>
        <w:ind w:left="357" w:hanging="357"/>
        <w:jc w:val="left"/>
        <w:outlineLvl w:val="0"/>
        <w:rPr>
          <w:rFonts w:eastAsia="Times New Roman" w:cstheme="majorBidi"/>
          <w:b/>
          <w:bCs/>
          <w:sz w:val="32"/>
          <w:szCs w:val="32"/>
        </w:rPr>
      </w:pPr>
      <w:bookmarkStart w:id="0" w:name="_Toc345583423"/>
      <w:bookmarkStart w:id="1" w:name="_Toc345662857"/>
      <w:bookmarkStart w:id="2" w:name="_Toc345662980"/>
      <w:bookmarkStart w:id="3" w:name="_Toc345667220"/>
      <w:bookmarkStart w:id="4" w:name="_Toc345943394"/>
      <w:bookmarkStart w:id="5" w:name="_Toc336360895"/>
      <w:bookmarkEnd w:id="0"/>
      <w:bookmarkEnd w:id="1"/>
      <w:bookmarkEnd w:id="2"/>
      <w:bookmarkEnd w:id="3"/>
      <w:bookmarkEnd w:id="4"/>
      <w:r w:rsidRPr="004816AF">
        <w:rPr>
          <w:rFonts w:eastAsia="Times New Roman" w:cstheme="majorBidi"/>
          <w:b/>
          <w:bCs/>
          <w:sz w:val="32"/>
          <w:szCs w:val="32"/>
        </w:rPr>
        <w:t> </w:t>
      </w:r>
      <w:bookmarkStart w:id="6" w:name="_Toc347913752"/>
      <w:r w:rsidRPr="004816AF">
        <w:rPr>
          <w:rFonts w:eastAsia="Times New Roman" w:cstheme="majorBidi"/>
          <w:b/>
          <w:bCs/>
          <w:sz w:val="32"/>
          <w:szCs w:val="32"/>
        </w:rPr>
        <w:t xml:space="preserve">Príloha 1  SWOT analýza </w:t>
      </w:r>
      <w:proofErr w:type="spellStart"/>
      <w:r w:rsidRPr="004816AF">
        <w:rPr>
          <w:rFonts w:eastAsia="Times New Roman" w:cstheme="majorBidi"/>
          <w:b/>
          <w:bCs/>
          <w:sz w:val="32"/>
          <w:szCs w:val="32"/>
        </w:rPr>
        <w:t>cyklodopravy</w:t>
      </w:r>
      <w:bookmarkEnd w:id="5"/>
      <w:proofErr w:type="spellEnd"/>
      <w:r w:rsidRPr="004816AF">
        <w:rPr>
          <w:rFonts w:eastAsia="Times New Roman" w:cstheme="majorBidi"/>
          <w:b/>
          <w:bCs/>
          <w:sz w:val="32"/>
          <w:szCs w:val="32"/>
        </w:rPr>
        <w:t xml:space="preserve"> a cykloturistiky</w:t>
      </w:r>
      <w:bookmarkEnd w:id="6"/>
    </w:p>
    <w:tbl>
      <w:tblPr>
        <w:tblStyle w:val="Strednmrieka1zvraznenie3"/>
        <w:tblW w:w="92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3369"/>
        <w:gridCol w:w="1275"/>
        <w:gridCol w:w="1276"/>
        <w:gridCol w:w="3260"/>
        <w:gridCol w:w="93"/>
      </w:tblGrid>
      <w:tr w:rsidR="00B31B2F" w:rsidRPr="00126317" w:rsidTr="009565AC">
        <w:trPr>
          <w:cnfStyle w:val="000000100000"/>
          <w:trHeight w:val="5180"/>
        </w:trPr>
        <w:tc>
          <w:tcPr>
            <w:cnfStyle w:val="000010000000"/>
            <w:tcW w:w="4644" w:type="dxa"/>
            <w:gridSpan w:val="2"/>
            <w:shd w:val="clear" w:color="auto" w:fill="D6E3BC" w:themeFill="accent3" w:themeFillTint="66"/>
          </w:tcPr>
          <w:p w:rsidR="00B31B2F" w:rsidRPr="00126317" w:rsidRDefault="00B31B2F" w:rsidP="00B31B2F">
            <w:pPr>
              <w:spacing w:after="0"/>
              <w:rPr>
                <w:sz w:val="21"/>
                <w:szCs w:val="21"/>
              </w:rPr>
            </w:pPr>
            <w:r w:rsidRPr="00126317">
              <w:rPr>
                <w:b/>
                <w:bCs/>
                <w:sz w:val="21"/>
                <w:szCs w:val="21"/>
              </w:rPr>
              <w:t>Silné stránky (</w:t>
            </w:r>
            <w:proofErr w:type="spellStart"/>
            <w:r w:rsidRPr="00126317">
              <w:rPr>
                <w:b/>
                <w:bCs/>
                <w:sz w:val="21"/>
                <w:szCs w:val="21"/>
              </w:rPr>
              <w:t>Strengths</w:t>
            </w:r>
            <w:proofErr w:type="spellEnd"/>
            <w:r w:rsidRPr="00126317">
              <w:rPr>
                <w:b/>
                <w:bCs/>
                <w:sz w:val="21"/>
                <w:szCs w:val="21"/>
              </w:rPr>
              <w:t>)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existencia vyše 10 000 km vyznačených cykloturistických trás umožňujúca aktívne spoznávanie Slovenska 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hustá sieť menej frekventovaných ciest II. a III. triedy, miestnych komunikácií a nadväzujúcich poľných aj lesných ciest umožňujúcich pohyb na bicykli aj v prostredí nepreťaženom automobilovou dopravou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aktivita občianskych združení so zameraním na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cyklodopravu</w:t>
            </w:r>
            <w:proofErr w:type="spellEnd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 a cykloturistiku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rastúca obľuba bicykla ako dopravného prostriedku na dochádzku do práce, škôl a rastúca obľuba cykloturistiky ako formy trávenia voľného času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ožívajúci záujem regiónov, miest a obcí o rozvoj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cyklodopravy</w:t>
            </w:r>
            <w:proofErr w:type="spellEnd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 a cykloturistiky</w:t>
            </w:r>
          </w:p>
          <w:p w:rsidR="00B31B2F" w:rsidRPr="00126317" w:rsidRDefault="00B31B2F" w:rsidP="00B31B2F">
            <w:pPr>
              <w:keepNext/>
              <w:keepLines/>
              <w:spacing w:after="0"/>
              <w:ind w:left="360"/>
              <w:jc w:val="left"/>
              <w:rPr>
                <w:rFonts w:eastAsia="Times New Roman" w:cs="Times New Roman"/>
                <w:bCs/>
                <w:sz w:val="21"/>
                <w:szCs w:val="21"/>
              </w:rPr>
            </w:pPr>
          </w:p>
        </w:tc>
        <w:tc>
          <w:tcPr>
            <w:tcW w:w="4629" w:type="dxa"/>
            <w:gridSpan w:val="3"/>
            <w:shd w:val="clear" w:color="auto" w:fill="FBD4B4" w:themeFill="accent6" w:themeFillTint="66"/>
          </w:tcPr>
          <w:p w:rsidR="00B31B2F" w:rsidRPr="00126317" w:rsidRDefault="00B31B2F" w:rsidP="00B31B2F">
            <w:pPr>
              <w:autoSpaceDE w:val="0"/>
              <w:autoSpaceDN w:val="0"/>
              <w:adjustRightInd w:val="0"/>
              <w:spacing w:after="0"/>
              <w:cnfStyle w:val="000000100000"/>
              <w:rPr>
                <w:rFonts w:cs="Times New Roman"/>
                <w:color w:val="000000"/>
                <w:sz w:val="21"/>
                <w:szCs w:val="21"/>
              </w:rPr>
            </w:pPr>
            <w:r w:rsidRPr="00126317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Slabé stránky (</w:t>
            </w:r>
            <w:proofErr w:type="spellStart"/>
            <w:r w:rsidRPr="00126317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Weaknesses</w:t>
            </w:r>
            <w:proofErr w:type="spellEnd"/>
            <w:r w:rsidRPr="00126317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)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4"/>
              </w:numPr>
              <w:spacing w:after="0"/>
              <w:ind w:left="459" w:hanging="283"/>
              <w:cnfStyle w:val="0000001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nedostatočná sieť cyklistických komunikácií a slabá úroveň ich vzájomného prepojenia, nevyhovujúci technický stav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4"/>
              </w:numPr>
              <w:spacing w:after="0"/>
              <w:ind w:left="459" w:hanging="283"/>
              <w:cnfStyle w:val="0000001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neriešenie potrieb rozvoja mobility a ignorovanie jej potenciálu vo väčšine územných plánov a 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generelov</w:t>
            </w:r>
            <w:proofErr w:type="spellEnd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 dopravy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4"/>
              </w:numPr>
              <w:spacing w:after="0"/>
              <w:ind w:left="459" w:hanging="283"/>
              <w:cnfStyle w:val="0000001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nedostatočné riešenie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cyklokomunikácií</w:t>
            </w:r>
            <w:proofErr w:type="spellEnd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 v územných plánoch obcí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4"/>
              </w:numPr>
              <w:spacing w:after="0"/>
              <w:ind w:left="459" w:hanging="283"/>
              <w:cnfStyle w:val="0000001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nedostatok finančných prostriedkov na budovanie novej a primeranú údržbu jestvujúcej cyklistickej infraštruktúry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4"/>
              </w:numPr>
              <w:spacing w:after="0"/>
              <w:ind w:left="459" w:hanging="283"/>
              <w:cnfStyle w:val="0000001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nedostatočná doplnková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cykloinfraštruktúra</w:t>
            </w:r>
            <w:proofErr w:type="spellEnd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 (stojany, chránené parkoviská,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info-tabule</w:t>
            </w:r>
            <w:proofErr w:type="spellEnd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...)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4"/>
              </w:numPr>
              <w:spacing w:after="0"/>
              <w:ind w:left="459" w:hanging="283"/>
              <w:cnfStyle w:val="0000001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slabá propagácia a osveta v oblasti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cyklodopravy</w:t>
            </w:r>
            <w:proofErr w:type="spellEnd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 a cykloturistiky v regiónoch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4"/>
              </w:numPr>
              <w:spacing w:after="0"/>
              <w:ind w:left="459" w:hanging="283"/>
              <w:cnfStyle w:val="0000001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chýbajúce technické predpisy pre navrhovanie a výstavbu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cyklociest</w:t>
            </w:r>
            <w:proofErr w:type="spellEnd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, vyznačovanie cyklotrás a budovanie sprievodnej infraštruktúry</w:t>
            </w:r>
          </w:p>
          <w:p w:rsidR="002C4E7C" w:rsidRPr="00126317" w:rsidRDefault="002C4E7C" w:rsidP="009565AC">
            <w:pPr>
              <w:keepNext/>
              <w:keepLines/>
              <w:numPr>
                <w:ilvl w:val="0"/>
                <w:numId w:val="4"/>
              </w:numPr>
              <w:spacing w:after="0"/>
              <w:ind w:left="459" w:hanging="283"/>
              <w:cnfStyle w:val="0000001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lesné cesty prioritne slúžia lesnému hospodárstvu</w:t>
            </w:r>
          </w:p>
        </w:tc>
      </w:tr>
      <w:tr w:rsidR="00B31B2F" w:rsidRPr="00B31B2F" w:rsidTr="009565AC">
        <w:trPr>
          <w:gridAfter w:val="1"/>
          <w:wAfter w:w="93" w:type="dxa"/>
          <w:trHeight w:val="959"/>
        </w:trPr>
        <w:tc>
          <w:tcPr>
            <w:cnfStyle w:val="000010000000"/>
            <w:tcW w:w="3369" w:type="dxa"/>
            <w:shd w:val="clear" w:color="auto" w:fill="auto"/>
            <w:vAlign w:val="center"/>
          </w:tcPr>
          <w:p w:rsidR="00B31B2F" w:rsidRPr="00B31B2F" w:rsidRDefault="00B31B2F" w:rsidP="00B31B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FFFFFF" w:themeColor="background1"/>
                <w:sz w:val="96"/>
                <w:szCs w:val="96"/>
              </w:rPr>
            </w:pPr>
          </w:p>
        </w:tc>
        <w:tc>
          <w:tcPr>
            <w:tcW w:w="1275" w:type="dxa"/>
            <w:shd w:val="clear" w:color="auto" w:fill="76923C" w:themeFill="accent3" w:themeFillShade="BF"/>
            <w:vAlign w:val="center"/>
          </w:tcPr>
          <w:p w:rsidR="00B31B2F" w:rsidRPr="00B31B2F" w:rsidRDefault="00B31B2F" w:rsidP="00B31B2F">
            <w:pPr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cs="Times New Roman"/>
                <w:b/>
                <w:bCs/>
                <w:color w:val="FFFFFF" w:themeColor="background1"/>
                <w:sz w:val="96"/>
                <w:szCs w:val="96"/>
              </w:rPr>
            </w:pPr>
            <w:r w:rsidRPr="00B31B2F">
              <w:rPr>
                <w:rFonts w:cs="Times New Roman"/>
                <w:b/>
                <w:bCs/>
                <w:color w:val="FFFFFF" w:themeColor="background1"/>
                <w:sz w:val="96"/>
                <w:szCs w:val="96"/>
              </w:rPr>
              <w:t>S</w:t>
            </w:r>
          </w:p>
        </w:tc>
        <w:tc>
          <w:tcPr>
            <w:cnfStyle w:val="000010000000"/>
            <w:tcW w:w="1276" w:type="dxa"/>
            <w:shd w:val="clear" w:color="auto" w:fill="E36C0A" w:themeFill="accent6" w:themeFillShade="BF"/>
            <w:vAlign w:val="center"/>
          </w:tcPr>
          <w:p w:rsidR="00B31B2F" w:rsidRPr="00B31B2F" w:rsidRDefault="00B31B2F" w:rsidP="00B31B2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FFFFFF" w:themeColor="background1"/>
                <w:sz w:val="96"/>
                <w:szCs w:val="96"/>
              </w:rPr>
            </w:pPr>
            <w:r w:rsidRPr="00B31B2F">
              <w:rPr>
                <w:rFonts w:cs="Times New Roman"/>
                <w:b/>
                <w:bCs/>
                <w:color w:val="FFFFFF" w:themeColor="background1"/>
                <w:sz w:val="96"/>
                <w:szCs w:val="96"/>
              </w:rPr>
              <w:t>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1B2F" w:rsidRPr="00B31B2F" w:rsidRDefault="00B31B2F" w:rsidP="00B31B2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  <w:b/>
                <w:bCs/>
                <w:color w:val="FFFFFF" w:themeColor="background1"/>
                <w:sz w:val="96"/>
                <w:szCs w:val="96"/>
              </w:rPr>
            </w:pPr>
          </w:p>
        </w:tc>
      </w:tr>
      <w:tr w:rsidR="00B31B2F" w:rsidRPr="00B31B2F" w:rsidTr="009565AC">
        <w:trPr>
          <w:gridAfter w:val="1"/>
          <w:cnfStyle w:val="000000100000"/>
          <w:wAfter w:w="93" w:type="dxa"/>
          <w:trHeight w:val="1005"/>
        </w:trPr>
        <w:tc>
          <w:tcPr>
            <w:cnfStyle w:val="000010000000"/>
            <w:tcW w:w="3369" w:type="dxa"/>
            <w:shd w:val="clear" w:color="auto" w:fill="auto"/>
            <w:vAlign w:val="center"/>
          </w:tcPr>
          <w:p w:rsidR="00B31B2F" w:rsidRPr="00B31B2F" w:rsidRDefault="00B31B2F" w:rsidP="00B31B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FFFFFF" w:themeColor="background1"/>
                <w:sz w:val="96"/>
                <w:szCs w:val="96"/>
              </w:rPr>
            </w:pPr>
          </w:p>
        </w:tc>
        <w:tc>
          <w:tcPr>
            <w:tcW w:w="1275" w:type="dxa"/>
            <w:shd w:val="clear" w:color="auto" w:fill="365F91" w:themeFill="accent1" w:themeFillShade="BF"/>
            <w:vAlign w:val="center"/>
          </w:tcPr>
          <w:p w:rsidR="00B31B2F" w:rsidRPr="00B31B2F" w:rsidRDefault="00B31B2F" w:rsidP="00B31B2F">
            <w:pPr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cs="Times New Roman"/>
                <w:b/>
                <w:bCs/>
                <w:color w:val="FFFFFF" w:themeColor="background1"/>
                <w:sz w:val="96"/>
                <w:szCs w:val="96"/>
              </w:rPr>
            </w:pPr>
            <w:r w:rsidRPr="00B31B2F">
              <w:rPr>
                <w:rFonts w:cs="Times New Roman"/>
                <w:b/>
                <w:bCs/>
                <w:color w:val="FFFFFF" w:themeColor="background1"/>
                <w:sz w:val="96"/>
                <w:szCs w:val="96"/>
              </w:rPr>
              <w:t>O</w:t>
            </w:r>
          </w:p>
        </w:tc>
        <w:tc>
          <w:tcPr>
            <w:cnfStyle w:val="000010000000"/>
            <w:tcW w:w="1276" w:type="dxa"/>
            <w:shd w:val="clear" w:color="auto" w:fill="943634" w:themeFill="accent2" w:themeFillShade="BF"/>
            <w:vAlign w:val="center"/>
          </w:tcPr>
          <w:p w:rsidR="00B31B2F" w:rsidRPr="00B31B2F" w:rsidRDefault="00B31B2F" w:rsidP="00B31B2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FFFFFF" w:themeColor="background1"/>
                <w:sz w:val="96"/>
                <w:szCs w:val="96"/>
              </w:rPr>
            </w:pPr>
            <w:r w:rsidRPr="00B31B2F">
              <w:rPr>
                <w:rFonts w:cs="Times New Roman"/>
                <w:b/>
                <w:bCs/>
                <w:color w:val="FFFFFF" w:themeColor="background1"/>
                <w:sz w:val="96"/>
                <w:szCs w:val="96"/>
              </w:rPr>
              <w:t>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1B2F" w:rsidRPr="00B31B2F" w:rsidRDefault="00B31B2F" w:rsidP="00B31B2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bCs/>
                <w:color w:val="FFFFFF" w:themeColor="background1"/>
                <w:sz w:val="96"/>
                <w:szCs w:val="96"/>
              </w:rPr>
            </w:pPr>
          </w:p>
        </w:tc>
      </w:tr>
      <w:tr w:rsidR="00B31B2F" w:rsidRPr="00126317" w:rsidTr="00A80871">
        <w:tc>
          <w:tcPr>
            <w:cnfStyle w:val="000010000000"/>
            <w:tcW w:w="4644" w:type="dxa"/>
            <w:gridSpan w:val="2"/>
            <w:shd w:val="clear" w:color="auto" w:fill="B8CCE4" w:themeFill="accent1" w:themeFillTint="66"/>
          </w:tcPr>
          <w:p w:rsidR="00B31B2F" w:rsidRPr="00126317" w:rsidRDefault="00B31B2F" w:rsidP="00B31B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126317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Príležitosti (</w:t>
            </w:r>
            <w:proofErr w:type="spellStart"/>
            <w:r w:rsidRPr="00126317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Opportunities</w:t>
            </w:r>
            <w:proofErr w:type="spellEnd"/>
            <w:r w:rsidRPr="00126317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)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podpo</w:t>
            </w:r>
            <w:r w:rsidR="009565AC">
              <w:rPr>
                <w:rFonts w:eastAsia="Times New Roman" w:cs="Times New Roman"/>
                <w:bCs/>
                <w:sz w:val="21"/>
                <w:szCs w:val="21"/>
              </w:rPr>
              <w:t xml:space="preserve">ra trvalo udržateľnej mobility </w:t>
            </w: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        </w:t>
            </w:r>
            <w:r w:rsidR="009565AC">
              <w:rPr>
                <w:rFonts w:eastAsia="Times New Roman" w:cs="Times New Roman"/>
                <w:bCs/>
                <w:sz w:val="21"/>
                <w:szCs w:val="21"/>
              </w:rPr>
              <w:br/>
            </w: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i konkrétne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cyklodopravy</w:t>
            </w:r>
            <w:proofErr w:type="spellEnd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 v dokumentoch EÚ</w:t>
            </w:r>
            <w:r w:rsidR="009565AC">
              <w:rPr>
                <w:rFonts w:eastAsia="Times New Roman" w:cs="Times New Roman"/>
                <w:bCs/>
                <w:sz w:val="21"/>
                <w:szCs w:val="21"/>
              </w:rPr>
              <w:br/>
            </w: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i v programovom vyhlásení vlády SR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prepojenie hlavných cieľov dopravy v rámci miest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cykloinfraštruktúrou</w:t>
            </w:r>
            <w:proofErr w:type="spellEnd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 a nahradenie časti IAD na krátke vzdialenosti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cyklodopravou</w:t>
            </w:r>
            <w:proofErr w:type="spellEnd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 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integrácia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cyklodopravy</w:t>
            </w:r>
            <w:proofErr w:type="spellEnd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 s VOD a možnosť dosiahnutia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synergií</w:t>
            </w:r>
            <w:proofErr w:type="spellEnd"/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podpora zdravého životného štýlu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možnosť vyčlenenia potrebných zdrojov z fondov EÚ na obdobie 2014 - 2020 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atraktivita územia a vhodné podmienky na rozvoj cykloturistiky v regiónoch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možnosť využitia pozemkových úprav na scelenie vlastníctva pozemkov v trasách navrhnutých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cyklociest</w:t>
            </w:r>
            <w:proofErr w:type="spellEnd"/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využitie hrádzí, ciest vo vojenských obvodoch, telies zrušených železničných tratí na budovanie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cyklokomunikácií</w:t>
            </w:r>
            <w:proofErr w:type="spellEnd"/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5"/>
              </w:numPr>
              <w:spacing w:after="0"/>
              <w:rPr>
                <w:color w:val="000000"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rozšírenie ponuky o produkty a služby cestovného ruchu v oblasti cykloturistiky </w:t>
            </w:r>
          </w:p>
        </w:tc>
        <w:tc>
          <w:tcPr>
            <w:tcW w:w="4629" w:type="dxa"/>
            <w:gridSpan w:val="3"/>
            <w:shd w:val="clear" w:color="auto" w:fill="E5B8B7" w:themeFill="accent2" w:themeFillTint="66"/>
          </w:tcPr>
          <w:p w:rsidR="00B31B2F" w:rsidRPr="00126317" w:rsidRDefault="00B31B2F" w:rsidP="00B31B2F">
            <w:pPr>
              <w:autoSpaceDE w:val="0"/>
              <w:autoSpaceDN w:val="0"/>
              <w:adjustRightInd w:val="0"/>
              <w:spacing w:after="0"/>
              <w:cnfStyle w:val="000000000000"/>
              <w:rPr>
                <w:rFonts w:cs="Times New Roman"/>
                <w:color w:val="000000"/>
                <w:sz w:val="21"/>
                <w:szCs w:val="21"/>
              </w:rPr>
            </w:pPr>
            <w:r w:rsidRPr="00126317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Hrozby (</w:t>
            </w:r>
            <w:proofErr w:type="spellStart"/>
            <w:r w:rsidRPr="00126317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Threats</w:t>
            </w:r>
            <w:proofErr w:type="spellEnd"/>
            <w:r w:rsidRPr="00126317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)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6"/>
              </w:numPr>
              <w:spacing w:after="0"/>
              <w:ind w:left="459" w:hanging="283"/>
              <w:cnfStyle w:val="0000000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rozvoj individuálnej automobilovej dopravy na úkor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cyklodopravy</w:t>
            </w:r>
            <w:proofErr w:type="spellEnd"/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6"/>
              </w:numPr>
              <w:spacing w:after="0"/>
              <w:ind w:left="459" w:hanging="283"/>
              <w:cnfStyle w:val="0000000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extrémne vysoká rozdrobenosť vlastníctva pozemkov značne predĺži a predraží, niekde až znemožní výstavbu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cyklociest</w:t>
            </w:r>
            <w:proofErr w:type="spellEnd"/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6"/>
              </w:numPr>
              <w:spacing w:after="0"/>
              <w:ind w:left="459" w:hanging="283"/>
              <w:cnfStyle w:val="0000000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nedostatočné a neefektívne čerpanie zdrojov z 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eurofondov</w:t>
            </w:r>
            <w:proofErr w:type="spellEnd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, resp. nevyčlenenie dostatočných zdrojov na rozvoj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cykloinfraštruktúry</w:t>
            </w:r>
            <w:proofErr w:type="spellEnd"/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6"/>
              </w:numPr>
              <w:spacing w:after="0"/>
              <w:ind w:left="459" w:hanging="283"/>
              <w:cnfStyle w:val="0000000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nedostatočná podpora v oblasti legislatívy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6"/>
              </w:numPr>
              <w:spacing w:after="0"/>
              <w:ind w:left="459" w:hanging="283"/>
              <w:cnfStyle w:val="0000000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nedostatočné prepojenie mestských </w:t>
            </w:r>
            <w:proofErr w:type="spellStart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cyklokomunikácií</w:t>
            </w:r>
            <w:proofErr w:type="spellEnd"/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 s cyklotrasami v extraviláne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6"/>
              </w:numPr>
              <w:spacing w:after="0"/>
              <w:ind w:left="459" w:hanging="283"/>
              <w:cnfStyle w:val="0000000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nedostatočné riešenie kritických úsekov ciest, ktoré sú hrozbou pre zraniteľných účastníkov premávky a odrádzajú od využívania bicykla</w:t>
            </w:r>
          </w:p>
          <w:p w:rsidR="002C4E7C" w:rsidRPr="00126317" w:rsidRDefault="002C4E7C" w:rsidP="009565AC">
            <w:pPr>
              <w:keepNext/>
              <w:keepLines/>
              <w:numPr>
                <w:ilvl w:val="0"/>
                <w:numId w:val="6"/>
              </w:numPr>
              <w:spacing w:after="0"/>
              <w:ind w:left="459" w:hanging="283"/>
              <w:cnfStyle w:val="0000000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stret záujmov pri hospodárskom a turistickom využívaní lesných ciest</w:t>
            </w:r>
          </w:p>
          <w:p w:rsidR="000270D1" w:rsidRPr="00126317" w:rsidRDefault="000270D1" w:rsidP="009565AC">
            <w:pPr>
              <w:keepNext/>
              <w:keepLines/>
              <w:numPr>
                <w:ilvl w:val="0"/>
                <w:numId w:val="6"/>
              </w:numPr>
              <w:spacing w:after="0"/>
              <w:ind w:left="459" w:hanging="283"/>
              <w:cnfStyle w:val="0000000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zvýšenie rizika </w:t>
            </w:r>
            <w:r w:rsidR="004F36AF" w:rsidRPr="00126317">
              <w:rPr>
                <w:rFonts w:eastAsia="Times New Roman" w:cs="Times New Roman"/>
                <w:bCs/>
                <w:sz w:val="21"/>
                <w:szCs w:val="21"/>
              </w:rPr>
              <w:t>odcudzenia</w:t>
            </w: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 xml:space="preserve"> odstavených bicyklov</w:t>
            </w:r>
          </w:p>
          <w:p w:rsidR="00B31B2F" w:rsidRPr="00126317" w:rsidRDefault="00B31B2F" w:rsidP="009565AC">
            <w:pPr>
              <w:keepNext/>
              <w:keepLines/>
              <w:numPr>
                <w:ilvl w:val="0"/>
                <w:numId w:val="6"/>
              </w:numPr>
              <w:spacing w:after="0"/>
              <w:ind w:left="459" w:hanging="283"/>
              <w:cnfStyle w:val="000000000000"/>
              <w:rPr>
                <w:rFonts w:eastAsia="Times New Roman" w:cs="Times New Roman"/>
                <w:bCs/>
                <w:sz w:val="21"/>
                <w:szCs w:val="21"/>
              </w:rPr>
            </w:pPr>
            <w:r w:rsidRPr="00126317">
              <w:rPr>
                <w:rFonts w:eastAsia="Times New Roman" w:cs="Times New Roman"/>
                <w:bCs/>
                <w:sz w:val="21"/>
                <w:szCs w:val="21"/>
              </w:rPr>
              <w:t>nedostatočná osveta a vzdelávanie v oblasti cyklistickej dopravy a cykloturistiky</w:t>
            </w:r>
          </w:p>
        </w:tc>
      </w:tr>
    </w:tbl>
    <w:p w:rsidR="00497C58" w:rsidRPr="00B31B2F" w:rsidRDefault="00497C58" w:rsidP="004F36AF"/>
    <w:sectPr w:rsidR="00497C58" w:rsidRPr="00B31B2F" w:rsidSect="0049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8CA"/>
    <w:multiLevelType w:val="hybridMultilevel"/>
    <w:tmpl w:val="F738BDF4"/>
    <w:lvl w:ilvl="0" w:tplc="CBE48B64">
      <w:start w:val="1"/>
      <w:numFmt w:val="decimal"/>
      <w:pStyle w:val="Nadpisprlohy"/>
      <w:lvlText w:val="Príloha %1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DCD"/>
    <w:multiLevelType w:val="hybridMultilevel"/>
    <w:tmpl w:val="A7421F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23D70"/>
    <w:multiLevelType w:val="hybridMultilevel"/>
    <w:tmpl w:val="69A698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6A0582"/>
    <w:multiLevelType w:val="hybridMultilevel"/>
    <w:tmpl w:val="E5E2B2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4D47C0"/>
    <w:multiLevelType w:val="hybridMultilevel"/>
    <w:tmpl w:val="E70AED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666EFB"/>
    <w:multiLevelType w:val="hybridMultilevel"/>
    <w:tmpl w:val="DBC0D7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2DDFA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69F1"/>
    <w:rsid w:val="000270D1"/>
    <w:rsid w:val="00087A44"/>
    <w:rsid w:val="00126317"/>
    <w:rsid w:val="00221BB9"/>
    <w:rsid w:val="002777A9"/>
    <w:rsid w:val="002C4E7C"/>
    <w:rsid w:val="003B69F1"/>
    <w:rsid w:val="00410767"/>
    <w:rsid w:val="004816AF"/>
    <w:rsid w:val="00497C58"/>
    <w:rsid w:val="004C2202"/>
    <w:rsid w:val="004F36AF"/>
    <w:rsid w:val="006B393B"/>
    <w:rsid w:val="007D4143"/>
    <w:rsid w:val="009565AC"/>
    <w:rsid w:val="00963028"/>
    <w:rsid w:val="00970644"/>
    <w:rsid w:val="009E4995"/>
    <w:rsid w:val="00A55F84"/>
    <w:rsid w:val="00B31B2F"/>
    <w:rsid w:val="00DF36C7"/>
    <w:rsid w:val="00E2393F"/>
    <w:rsid w:val="00E274A0"/>
    <w:rsid w:val="00E3229B"/>
    <w:rsid w:val="00EF4BDD"/>
    <w:rsid w:val="00FD1EEE"/>
    <w:rsid w:val="00FD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9F1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prlohy">
    <w:name w:val="Nadpis prílohy"/>
    <w:basedOn w:val="Nadpis1"/>
    <w:link w:val="NadpisprlohyChar"/>
    <w:qFormat/>
    <w:rsid w:val="002777A9"/>
    <w:pPr>
      <w:numPr>
        <w:numId w:val="1"/>
      </w:numPr>
      <w:spacing w:before="240" w:after="240"/>
      <w:ind w:left="340" w:hanging="340"/>
    </w:pPr>
    <w:rPr>
      <w:rFonts w:ascii="Times New Roman" w:eastAsia="Times New Roman" w:hAnsi="Times New Roman"/>
      <w:color w:val="auto"/>
      <w:sz w:val="36"/>
    </w:rPr>
  </w:style>
  <w:style w:type="character" w:customStyle="1" w:styleId="Nadpis1Char">
    <w:name w:val="Nadpis 1 Char"/>
    <w:basedOn w:val="Predvolenpsmoodseku"/>
    <w:link w:val="Nadpis1"/>
    <w:uiPriority w:val="9"/>
    <w:rsid w:val="003B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trednmrieka1zvraznenie3">
    <w:name w:val="Medium Grid 1 Accent 3"/>
    <w:basedOn w:val="Normlnatabuka"/>
    <w:uiPriority w:val="67"/>
    <w:rsid w:val="003B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NadpisprlohyChar">
    <w:name w:val="Nadpis prílohy Char"/>
    <w:basedOn w:val="Nadpis1Char"/>
    <w:link w:val="Nadpisprlohy"/>
    <w:rsid w:val="002777A9"/>
    <w:rPr>
      <w:rFonts w:ascii="Times New Roman" w:eastAsia="Times New Roman" w:hAnsi="Times New Roman"/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molnarova</dc:creator>
  <cp:keywords/>
  <dc:description/>
  <cp:lastModifiedBy>molnarova</cp:lastModifiedBy>
  <cp:revision>16</cp:revision>
  <cp:lastPrinted>2013-03-21T13:12:00Z</cp:lastPrinted>
  <dcterms:created xsi:type="dcterms:W3CDTF">2013-01-24T13:57:00Z</dcterms:created>
  <dcterms:modified xsi:type="dcterms:W3CDTF">2013-03-27T08:37:00Z</dcterms:modified>
</cp:coreProperties>
</file>