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E4" w:rsidRPr="007630AE" w:rsidRDefault="006D68E4" w:rsidP="006D68E4">
      <w:pPr>
        <w:spacing w:after="0" w:line="276" w:lineRule="auto"/>
        <w:jc w:val="center"/>
        <w:rPr>
          <w:rFonts w:eastAsia="Times New Roman"/>
          <w:b/>
          <w:color w:val="000000"/>
          <w:sz w:val="36"/>
          <w:szCs w:val="36"/>
        </w:rPr>
      </w:pPr>
      <w:bookmarkStart w:id="0" w:name="_Toc347921365"/>
      <w:r w:rsidRPr="007630AE">
        <w:rPr>
          <w:rFonts w:eastAsia="Times New Roman"/>
          <w:b/>
          <w:color w:val="000000"/>
          <w:sz w:val="36"/>
          <w:szCs w:val="36"/>
        </w:rPr>
        <w:t>Národná stratégia rozvoja cyklistickej dopravy a</w:t>
      </w:r>
      <w:r w:rsidR="007630AE">
        <w:rPr>
          <w:rFonts w:eastAsia="Times New Roman"/>
          <w:b/>
          <w:color w:val="000000"/>
          <w:sz w:val="36"/>
          <w:szCs w:val="36"/>
        </w:rPr>
        <w:t> </w:t>
      </w:r>
      <w:r w:rsidRPr="007630AE">
        <w:rPr>
          <w:rFonts w:eastAsia="Times New Roman"/>
          <w:b/>
          <w:color w:val="000000"/>
          <w:sz w:val="36"/>
          <w:szCs w:val="36"/>
        </w:rPr>
        <w:t>cykloturistiky</w:t>
      </w:r>
      <w:r w:rsidR="007630AE">
        <w:rPr>
          <w:rFonts w:eastAsia="Times New Roman"/>
          <w:b/>
          <w:color w:val="000000"/>
          <w:sz w:val="36"/>
          <w:szCs w:val="36"/>
        </w:rPr>
        <w:t xml:space="preserve"> </w:t>
      </w:r>
      <w:r w:rsidRPr="007630AE">
        <w:rPr>
          <w:rFonts w:eastAsia="Times New Roman"/>
          <w:b/>
          <w:color w:val="000000"/>
          <w:sz w:val="36"/>
          <w:szCs w:val="36"/>
        </w:rPr>
        <w:t>v Slovenskej republike</w:t>
      </w:r>
    </w:p>
    <w:p w:rsidR="003253B4" w:rsidRPr="00B12FE2" w:rsidRDefault="00F858F1" w:rsidP="007C5285">
      <w:pPr>
        <w:pStyle w:val="Nadpis1"/>
      </w:pPr>
      <w:r w:rsidRPr="00EE27DC">
        <w:t>Úvod</w:t>
      </w:r>
      <w:bookmarkEnd w:id="0"/>
    </w:p>
    <w:p w:rsidR="00F7013E" w:rsidRPr="00F7013E" w:rsidRDefault="00F7013E" w:rsidP="00B12FE2">
      <w:r w:rsidRPr="00F7013E">
        <w:t xml:space="preserve">S rozvojom životnej úrovne v </w:t>
      </w:r>
      <w:r w:rsidR="00211410">
        <w:t>uplynulých</w:t>
      </w:r>
      <w:r w:rsidR="00211410" w:rsidRPr="00F7013E">
        <w:t xml:space="preserve"> </w:t>
      </w:r>
      <w:r w:rsidRPr="00F7013E">
        <w:t xml:space="preserve">desaťročiach </w:t>
      </w:r>
      <w:r w:rsidR="009D6F01">
        <w:t xml:space="preserve">sa </w:t>
      </w:r>
      <w:r w:rsidR="00833201">
        <w:t xml:space="preserve">na Slovensku </w:t>
      </w:r>
      <w:r w:rsidRPr="00F7013E">
        <w:t>stále viac presadz</w:t>
      </w:r>
      <w:r w:rsidR="009D6F01">
        <w:t>uje</w:t>
      </w:r>
      <w:r w:rsidRPr="00F7013E">
        <w:t xml:space="preserve"> individuálny motorizmus na úkor ostatných druhov dopravy. </w:t>
      </w:r>
      <w:r w:rsidR="00833201">
        <w:t>Z</w:t>
      </w:r>
      <w:r w:rsidRPr="00F7013E">
        <w:t xml:space="preserve">nížila </w:t>
      </w:r>
      <w:r w:rsidR="00833201">
        <w:t xml:space="preserve">sa tak </w:t>
      </w:r>
      <w:r w:rsidRPr="00F7013E">
        <w:t>pohybová aktivita – pešia a</w:t>
      </w:r>
      <w:r w:rsidR="00833201">
        <w:t>j</w:t>
      </w:r>
      <w:r w:rsidRPr="00F7013E">
        <w:t xml:space="preserve"> cyklistická. </w:t>
      </w:r>
      <w:r w:rsidR="009D6F01">
        <w:t>Výsledkom je</w:t>
      </w:r>
      <w:r w:rsidRPr="00F7013E">
        <w:t xml:space="preserve"> zhoršovanie fyzickej </w:t>
      </w:r>
      <w:r w:rsidR="009D6F01">
        <w:t>i</w:t>
      </w:r>
      <w:r w:rsidRPr="00F7013E">
        <w:t xml:space="preserve"> psychickej kondície a</w:t>
      </w:r>
      <w:r w:rsidR="00833201">
        <w:t> </w:t>
      </w:r>
      <w:r w:rsidRPr="00F7013E">
        <w:t>zdravotného stavu obyvateľstva</w:t>
      </w:r>
      <w:r w:rsidR="00C103FC">
        <w:t>,</w:t>
      </w:r>
      <w:r w:rsidRPr="00F7013E">
        <w:t xml:space="preserve"> ako aj </w:t>
      </w:r>
      <w:r w:rsidR="007635B1">
        <w:t xml:space="preserve">nepriaznivý vplyv na </w:t>
      </w:r>
      <w:r w:rsidRPr="0085721A">
        <w:t>životné prostredi</w:t>
      </w:r>
      <w:r w:rsidR="007635B1" w:rsidRPr="0085721A">
        <w:t>e</w:t>
      </w:r>
      <w:r w:rsidRPr="00F7013E">
        <w:t xml:space="preserve">. </w:t>
      </w:r>
      <w:r w:rsidR="00211410">
        <w:t xml:space="preserve">V rozvinutých </w:t>
      </w:r>
      <w:r w:rsidRPr="00F7013E">
        <w:t>krajin</w:t>
      </w:r>
      <w:r w:rsidR="00211410">
        <w:t>ách</w:t>
      </w:r>
      <w:r w:rsidRPr="00F7013E">
        <w:t xml:space="preserve"> </w:t>
      </w:r>
      <w:r w:rsidR="00211410">
        <w:t>je</w:t>
      </w:r>
      <w:r w:rsidRPr="00F7013E">
        <w:t xml:space="preserve"> východiskom z tejto situácie podpora rozvoja ekologických druhov dopravy ako alternatívy </w:t>
      </w:r>
      <w:r w:rsidR="00833201">
        <w:t xml:space="preserve">ku </w:t>
      </w:r>
      <w:r w:rsidRPr="00F7013E">
        <w:t xml:space="preserve">konvenčným dopravným prostriedkom využívajúcim fosílne palivá. Preto v týchto krajinách došlo k rozvoju nielen ekologicky </w:t>
      </w:r>
      <w:r w:rsidR="006D68E4" w:rsidRPr="00F7013E">
        <w:t>prijate</w:t>
      </w:r>
      <w:r w:rsidR="006D68E4">
        <w:t>ľn</w:t>
      </w:r>
      <w:r w:rsidR="006D68E4" w:rsidRPr="00F7013E">
        <w:t>ejšej</w:t>
      </w:r>
      <w:r w:rsidR="00A72979" w:rsidRPr="00F7013E">
        <w:t xml:space="preserve"> </w:t>
      </w:r>
      <w:r w:rsidRPr="00F7013E">
        <w:t>hromadnej dopravy ale aj nemotorovej</w:t>
      </w:r>
      <w:r w:rsidR="00AA1241">
        <w:t>, predovšetkým cyklistickej</w:t>
      </w:r>
      <w:r w:rsidRPr="00F7013E">
        <w:t xml:space="preserve"> dopravy.</w:t>
      </w:r>
    </w:p>
    <w:p w:rsidR="00F7013E" w:rsidRPr="00F7013E" w:rsidRDefault="00211410" w:rsidP="00B12FE2">
      <w:r>
        <w:t xml:space="preserve">Krajiny západnej Európy </w:t>
      </w:r>
      <w:r w:rsidR="00F7013E" w:rsidRPr="00F7013E">
        <w:t xml:space="preserve">majú svoje národné </w:t>
      </w:r>
      <w:proofErr w:type="spellStart"/>
      <w:r w:rsidR="00F7013E" w:rsidRPr="00F7013E">
        <w:t>cyklostratégie</w:t>
      </w:r>
      <w:proofErr w:type="spellEnd"/>
      <w:r w:rsidR="00F7013E" w:rsidRPr="00F7013E">
        <w:t xml:space="preserve"> spracované už niekoľko desaťročí. </w:t>
      </w:r>
      <w:r w:rsidR="006D68E4">
        <w:t xml:space="preserve">Ich </w:t>
      </w:r>
      <w:r w:rsidR="00EE27DC" w:rsidRPr="00E62DBF">
        <w:t xml:space="preserve">plnením sa dostali viaceré krajiny na dvojciferný podiel </w:t>
      </w:r>
      <w:proofErr w:type="spellStart"/>
      <w:r w:rsidR="00EE27DC" w:rsidRPr="00E62DBF">
        <w:t>cyklodopravy</w:t>
      </w:r>
      <w:proofErr w:type="spellEnd"/>
      <w:r w:rsidR="00EE27DC" w:rsidRPr="00E62DBF">
        <w:t xml:space="preserve"> na mobilite mestského obyvateľstva, príkladom je Holandsko (27%), Dánsko (19%), </w:t>
      </w:r>
      <w:r w:rsidR="00EE27DC" w:rsidRPr="00E62DBF">
        <w:br/>
      </w:r>
      <w:r w:rsidR="00BF0259">
        <w:t xml:space="preserve">či </w:t>
      </w:r>
      <w:r w:rsidR="00EE27DC" w:rsidRPr="00E62DBF">
        <w:t xml:space="preserve">Nemecko (10%). </w:t>
      </w:r>
      <w:r w:rsidR="006C28FF">
        <w:t>Viaceré h</w:t>
      </w:r>
      <w:r w:rsidR="00EE27DC" w:rsidRPr="00E62DBF">
        <w:t xml:space="preserve">olandské mestá dosahujú podiel </w:t>
      </w:r>
      <w:proofErr w:type="spellStart"/>
      <w:r w:rsidR="00EE27DC" w:rsidRPr="00E62DBF">
        <w:t>cyklodopravy</w:t>
      </w:r>
      <w:proofErr w:type="spellEnd"/>
      <w:r w:rsidR="00EE27DC" w:rsidRPr="00E62DBF">
        <w:t xml:space="preserve"> na všetkých jazdách od 35 do 40 </w:t>
      </w:r>
      <w:r w:rsidR="004D0F94">
        <w:t>%</w:t>
      </w:r>
      <w:r w:rsidR="00EE27DC" w:rsidRPr="00E62DBF">
        <w:t>. Vysoký podiel (viac ako 30%) majú mestá, kde bola cyklodoprava vždy rovnoprávnou súčasťou dopravnej politiky</w:t>
      </w:r>
      <w:r w:rsidR="00EE27DC">
        <w:rPr>
          <w:rStyle w:val="Odkaznapoznmkupodiarou"/>
        </w:rPr>
        <w:footnoteReference w:id="1"/>
      </w:r>
      <w:r w:rsidR="00EE27DC">
        <w:t xml:space="preserve">. </w:t>
      </w:r>
      <w:r w:rsidR="00F7013E" w:rsidRPr="00F7013E">
        <w:t>Slovenská republika naopak stojí na začiatku cesty, kedy je potrebné prijímať konkrétne opatrenia na pozdvihnutie cyklistickej dopravy a</w:t>
      </w:r>
      <w:r w:rsidR="00052529">
        <w:t> </w:t>
      </w:r>
      <w:r w:rsidR="00F7013E" w:rsidRPr="00F7013E">
        <w:t>cykloturistiky</w:t>
      </w:r>
      <w:r w:rsidR="00052529">
        <w:t xml:space="preserve"> z ústrania a využitie ich potenciálu</w:t>
      </w:r>
      <w:r w:rsidR="004D0F94">
        <w:t>.</w:t>
      </w:r>
    </w:p>
    <w:p w:rsidR="00F7013E" w:rsidRPr="00F7013E" w:rsidRDefault="00211410" w:rsidP="00B12FE2">
      <w:r>
        <w:t>Predkladaný materiál</w:t>
      </w:r>
      <w:r w:rsidR="00F7013E" w:rsidRPr="00F7013E">
        <w:t xml:space="preserve"> stručne </w:t>
      </w:r>
      <w:r>
        <w:t>popisuje</w:t>
      </w:r>
      <w:r w:rsidRPr="00F7013E">
        <w:t xml:space="preserve"> </w:t>
      </w:r>
      <w:r w:rsidR="00F7013E" w:rsidRPr="00F7013E">
        <w:t>súčasný</w:t>
      </w:r>
      <w:r>
        <w:t>,</w:t>
      </w:r>
      <w:r w:rsidR="00F7013E" w:rsidRPr="00F7013E">
        <w:t xml:space="preserve"> východiskový stav </w:t>
      </w:r>
      <w:proofErr w:type="spellStart"/>
      <w:r w:rsidR="00F7013E" w:rsidRPr="00F7013E">
        <w:t>cyklodopravy</w:t>
      </w:r>
      <w:proofErr w:type="spellEnd"/>
      <w:r w:rsidR="00F7013E" w:rsidRPr="00F7013E">
        <w:t xml:space="preserve"> a</w:t>
      </w:r>
      <w:r w:rsidR="009F78A5">
        <w:t> </w:t>
      </w:r>
      <w:r w:rsidR="00F7013E" w:rsidRPr="00F7013E">
        <w:t xml:space="preserve">cykloturistiky v </w:t>
      </w:r>
      <w:r w:rsidR="004D0F94">
        <w:t>SR</w:t>
      </w:r>
      <w:r w:rsidR="00F7013E" w:rsidRPr="00F7013E">
        <w:t xml:space="preserve">. V slovenských mestách a obciach sa vyskytujú len nesúvislé úseky cyklotrás, ktoré boli väčšinou budované nekoncepčne a nie v súlade </w:t>
      </w:r>
      <w:r>
        <w:t>s dobrou praxou v zahraničí</w:t>
      </w:r>
      <w:r w:rsidR="00F7013E" w:rsidRPr="00F7013E">
        <w:t>. T</w:t>
      </w:r>
      <w:r w:rsidR="0023311D">
        <w:t>rendom</w:t>
      </w:r>
      <w:r w:rsidR="00F7013E" w:rsidRPr="00F7013E">
        <w:t xml:space="preserve"> nezodpovedajú ani možnosti parkovania bicyklov </w:t>
      </w:r>
      <w:r>
        <w:t xml:space="preserve">(pri verejných inštitúciách, železničných a autobusových staniciach, obchodných centrách...) </w:t>
      </w:r>
      <w:r w:rsidR="00F7013E" w:rsidRPr="00F7013E">
        <w:t xml:space="preserve">a ich prepravy prostriedkami verejnej dopravy. S návrhom potrebnej infraštruktúry často neuvažujú ani územné plány miest a obcí, čo znemožňuje perspektívne plánovanie rozvoja </w:t>
      </w:r>
      <w:proofErr w:type="spellStart"/>
      <w:r w:rsidR="00F7013E" w:rsidRPr="00F7013E">
        <w:t>cyklodopravy</w:t>
      </w:r>
      <w:proofErr w:type="spellEnd"/>
      <w:r w:rsidR="00F7013E" w:rsidRPr="00F7013E">
        <w:t xml:space="preserve">. Naproti tomu vo voľnej krajine sa nachádza sieť </w:t>
      </w:r>
      <w:r w:rsidR="00905F00">
        <w:t>vyše</w:t>
      </w:r>
      <w:r w:rsidR="00905F00" w:rsidRPr="00F7013E">
        <w:t xml:space="preserve"> </w:t>
      </w:r>
      <w:r w:rsidR="00F7013E" w:rsidRPr="00F7013E">
        <w:t>10</w:t>
      </w:r>
      <w:r w:rsidR="0023311D">
        <w:t> </w:t>
      </w:r>
      <w:r w:rsidR="00F7013E" w:rsidRPr="00F7013E">
        <w:t>000 km vyznačených cykloturistických trás</w:t>
      </w:r>
      <w:r>
        <w:t>, využívajúcich prevažne cesty slúžiace primárne iným účelom</w:t>
      </w:r>
      <w:r w:rsidR="00F7013E" w:rsidRPr="00F7013E">
        <w:t xml:space="preserve">. Tie potrebujú </w:t>
      </w:r>
      <w:r w:rsidR="00052529">
        <w:t xml:space="preserve">pravidelnú </w:t>
      </w:r>
      <w:r w:rsidR="00F7013E" w:rsidRPr="00F7013E">
        <w:t>obnovu a</w:t>
      </w:r>
      <w:r w:rsidR="000E3063">
        <w:t> </w:t>
      </w:r>
      <w:r w:rsidR="00F7013E" w:rsidRPr="00F7013E">
        <w:t xml:space="preserve">výmenu </w:t>
      </w:r>
      <w:r w:rsidR="0023311D">
        <w:t>značenia</w:t>
      </w:r>
      <w:r w:rsidR="00F7013E" w:rsidRPr="00F7013E">
        <w:t>, aby mohli skutočne spĺňať svoj účel.</w:t>
      </w:r>
    </w:p>
    <w:p w:rsidR="00767F31" w:rsidRDefault="00F7013E" w:rsidP="00767F31">
      <w:r w:rsidRPr="00F7013E">
        <w:t xml:space="preserve">V prospech rozvoja </w:t>
      </w:r>
      <w:proofErr w:type="spellStart"/>
      <w:r w:rsidRPr="00F7013E">
        <w:t>cyklodopravy</w:t>
      </w:r>
      <w:proofErr w:type="spellEnd"/>
      <w:r w:rsidRPr="00F7013E">
        <w:t xml:space="preserve"> hovoria aj viaceré dokumenty prijaté Európskou komisiou ako Biela kniha</w:t>
      </w:r>
      <w:r>
        <w:t xml:space="preserve"> </w:t>
      </w:r>
      <w:r w:rsidRPr="00F7013E">
        <w:t>- Plán jednotného európskeho dopravného priestoru, Zelená kniha</w:t>
      </w:r>
      <w:r>
        <w:t xml:space="preserve"> </w:t>
      </w:r>
      <w:r w:rsidRPr="00F7013E">
        <w:t>- Za novú kultúru mestskej mobility a jej Akčný plán mestskej mobility a ďalšie. Tieto dokumenty si kladú mnoho veľmi ambicióznych cieľov</w:t>
      </w:r>
      <w:r w:rsidR="00877EC0">
        <w:t xml:space="preserve"> – napríklad</w:t>
      </w:r>
      <w:r w:rsidR="00877EC0" w:rsidRPr="00F7013E">
        <w:t xml:space="preserve"> vyradeni</w:t>
      </w:r>
      <w:r w:rsidR="00877EC0">
        <w:t>e</w:t>
      </w:r>
      <w:r w:rsidR="00877EC0" w:rsidRPr="00F7013E">
        <w:t xml:space="preserve"> konvenčne poháňaných automobilov z premávky v mestách do roku 2050</w:t>
      </w:r>
      <w:r w:rsidR="00877EC0">
        <w:t xml:space="preserve"> –</w:t>
      </w:r>
      <w:r w:rsidRPr="00F7013E">
        <w:t xml:space="preserve"> </w:t>
      </w:r>
      <w:r w:rsidR="0066795F">
        <w:t>na</w:t>
      </w:r>
      <w:r w:rsidRPr="00F7013E">
        <w:t xml:space="preserve"> splnenie ktorých bude potrebné aj oveľa rozsiahlejšie využívanie bicyklov, pešej chôdze a verejnej osobnej dopravy.</w:t>
      </w:r>
      <w:r w:rsidR="00767F31">
        <w:t xml:space="preserve"> </w:t>
      </w:r>
    </w:p>
    <w:p w:rsidR="0023311D" w:rsidRDefault="00211410" w:rsidP="00767F31">
      <w:r>
        <w:t xml:space="preserve">Nielen európske ciele, ale </w:t>
      </w:r>
      <w:r w:rsidR="00877EC0">
        <w:t>predovšetkým</w:t>
      </w:r>
      <w:r>
        <w:t xml:space="preserve"> snaha </w:t>
      </w:r>
      <w:r w:rsidR="00877EC0">
        <w:t xml:space="preserve">v SR </w:t>
      </w:r>
      <w:r>
        <w:t xml:space="preserve">zabezpečiť vyvážený a trvalo udržateľný rozvoj mobility </w:t>
      </w:r>
      <w:r w:rsidR="00877EC0">
        <w:t xml:space="preserve">a tiež </w:t>
      </w:r>
      <w:r>
        <w:t xml:space="preserve">podmienky </w:t>
      </w:r>
      <w:r w:rsidR="0066795F">
        <w:t>na</w:t>
      </w:r>
      <w:r>
        <w:t xml:space="preserve"> zvyšovanie životnej úrovne obyvateľstva </w:t>
      </w:r>
      <w:r w:rsidR="00F7013E" w:rsidRPr="00F7013E">
        <w:t xml:space="preserve">si bude vyžadovať oveľa väčšiu podporu </w:t>
      </w:r>
      <w:proofErr w:type="spellStart"/>
      <w:r w:rsidR="00F7013E" w:rsidRPr="00F7013E">
        <w:t>cyklodopravy</w:t>
      </w:r>
      <w:proofErr w:type="spellEnd"/>
      <w:r w:rsidR="00F7013E" w:rsidRPr="00F7013E">
        <w:t xml:space="preserve"> aj v slovenských mestách. K rozvoju nemotorovej, predovšetkým cyklistickej dopravy sa zaviazala vláda SR vo svojom programovom vyhlásení na roky 2012</w:t>
      </w:r>
      <w:r w:rsidR="0023311D">
        <w:t xml:space="preserve"> – </w:t>
      </w:r>
      <w:r w:rsidR="00F7013E" w:rsidRPr="00F7013E">
        <w:t>2016</w:t>
      </w:r>
      <w:r w:rsidR="000E3063">
        <w:t>.</w:t>
      </w:r>
    </w:p>
    <w:p w:rsidR="00EC1057" w:rsidRDefault="005D3A49" w:rsidP="00B12FE2">
      <w:r>
        <w:t xml:space="preserve">Víziou </w:t>
      </w:r>
      <w:r w:rsidR="00333F21">
        <w:t>predkladaného materiálu</w:t>
      </w:r>
      <w:r w:rsidRPr="005D3A49">
        <w:t xml:space="preserve"> je zrovnoprávnenie cyklistickej dopravy s ostatnými druhmi dopravy tak</w:t>
      </w:r>
      <w:r>
        <w:t>,</w:t>
      </w:r>
      <w:r w:rsidRPr="005D3A49">
        <w:t xml:space="preserve"> aby sa stala plnohodnotnou súčasťou dopravných systémov mestskej </w:t>
      </w:r>
      <w:r w:rsidRPr="005D3A49">
        <w:lastRenderedPageBreak/>
        <w:t>a</w:t>
      </w:r>
      <w:r w:rsidR="00115FA8">
        <w:t> </w:t>
      </w:r>
      <w:r w:rsidRPr="005D3A49">
        <w:t>regionálnej dopravy. Takisto je potrebné zlepšiť všeobecné povedomie obyvateľstva o</w:t>
      </w:r>
      <w:r w:rsidR="00115FA8">
        <w:t> </w:t>
      </w:r>
      <w:r w:rsidRPr="005D3A49">
        <w:t xml:space="preserve">výhodách </w:t>
      </w:r>
      <w:proofErr w:type="spellStart"/>
      <w:r w:rsidRPr="005D3A49">
        <w:t>cyklodopravy</w:t>
      </w:r>
      <w:proofErr w:type="spellEnd"/>
      <w:r w:rsidRPr="005D3A49">
        <w:t xml:space="preserve"> </w:t>
      </w:r>
      <w:r w:rsidR="00B12FE2">
        <w:t xml:space="preserve">a cykloturistiky </w:t>
      </w:r>
      <w:r w:rsidRPr="005D3A49">
        <w:t>ako ekologicky, ekonomicky a zdravotne výhodnejšej form</w:t>
      </w:r>
      <w:r w:rsidR="00815C05">
        <w:t>e</w:t>
      </w:r>
      <w:r w:rsidRPr="005D3A49">
        <w:t xml:space="preserve"> dopravy do </w:t>
      </w:r>
      <w:r w:rsidR="0066795F">
        <w:t xml:space="preserve">školy, </w:t>
      </w:r>
      <w:r w:rsidRPr="005D3A49">
        <w:t xml:space="preserve">zamestnania a za rekreáciou.  </w:t>
      </w:r>
      <w:r w:rsidR="00EC1057">
        <w:br w:type="page"/>
      </w:r>
    </w:p>
    <w:p w:rsidR="00C103FC" w:rsidRDefault="00C103FC" w:rsidP="007C5285">
      <w:pPr>
        <w:pStyle w:val="Nadpis1"/>
      </w:pPr>
      <w:bookmarkStart w:id="1" w:name="_Toc336009571"/>
      <w:bookmarkStart w:id="2" w:name="_Toc336009653"/>
      <w:bookmarkStart w:id="3" w:name="_Toc336009735"/>
      <w:bookmarkStart w:id="4" w:name="_Toc336009814"/>
      <w:bookmarkStart w:id="5" w:name="_Toc336009893"/>
      <w:bookmarkStart w:id="6" w:name="_Toc336009977"/>
      <w:bookmarkStart w:id="7" w:name="_Toc336010330"/>
      <w:bookmarkStart w:id="8" w:name="_Toc336010411"/>
      <w:bookmarkStart w:id="9" w:name="_Toc336009572"/>
      <w:bookmarkStart w:id="10" w:name="_Toc336009654"/>
      <w:bookmarkStart w:id="11" w:name="_Toc336009736"/>
      <w:bookmarkStart w:id="12" w:name="_Toc336009815"/>
      <w:bookmarkStart w:id="13" w:name="_Toc336009894"/>
      <w:bookmarkStart w:id="14" w:name="_Toc336009978"/>
      <w:bookmarkStart w:id="15" w:name="_Toc336010331"/>
      <w:bookmarkStart w:id="16" w:name="_Toc336010412"/>
      <w:bookmarkStart w:id="17" w:name="_Toc336009573"/>
      <w:bookmarkStart w:id="18" w:name="_Toc336009655"/>
      <w:bookmarkStart w:id="19" w:name="_Toc336009737"/>
      <w:bookmarkStart w:id="20" w:name="_Toc336009816"/>
      <w:bookmarkStart w:id="21" w:name="_Toc336009895"/>
      <w:bookmarkStart w:id="22" w:name="_Toc336009979"/>
      <w:bookmarkStart w:id="23" w:name="_Toc336010332"/>
      <w:bookmarkStart w:id="24" w:name="_Toc336010413"/>
      <w:bookmarkStart w:id="25" w:name="_Toc336004030"/>
      <w:bookmarkStart w:id="26" w:name="_Toc336009325"/>
      <w:bookmarkStart w:id="27" w:name="_Toc336009415"/>
      <w:bookmarkStart w:id="28" w:name="_Toc336009493"/>
      <w:bookmarkStart w:id="29" w:name="_Toc336009574"/>
      <w:bookmarkStart w:id="30" w:name="_Toc336009656"/>
      <w:bookmarkStart w:id="31" w:name="_Toc336009738"/>
      <w:bookmarkStart w:id="32" w:name="_Toc336009817"/>
      <w:bookmarkStart w:id="33" w:name="_Toc336009896"/>
      <w:bookmarkStart w:id="34" w:name="_Toc336009980"/>
      <w:bookmarkStart w:id="35" w:name="_Toc336010333"/>
      <w:bookmarkStart w:id="36" w:name="_Toc336010414"/>
      <w:bookmarkStart w:id="37" w:name="_Toc336004031"/>
      <w:bookmarkStart w:id="38" w:name="_Toc336009326"/>
      <w:bookmarkStart w:id="39" w:name="_Toc336009416"/>
      <w:bookmarkStart w:id="40" w:name="_Toc336009494"/>
      <w:bookmarkStart w:id="41" w:name="_Toc336009575"/>
      <w:bookmarkStart w:id="42" w:name="_Toc336009657"/>
      <w:bookmarkStart w:id="43" w:name="_Toc336009739"/>
      <w:bookmarkStart w:id="44" w:name="_Toc336009818"/>
      <w:bookmarkStart w:id="45" w:name="_Toc336009897"/>
      <w:bookmarkStart w:id="46" w:name="_Toc336009981"/>
      <w:bookmarkStart w:id="47" w:name="_Toc336010334"/>
      <w:bookmarkStart w:id="48" w:name="_Toc336010415"/>
      <w:bookmarkStart w:id="49" w:name="_Toc3479213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3571D">
        <w:lastRenderedPageBreak/>
        <w:t>Východiská</w:t>
      </w:r>
      <w:r w:rsidRPr="00C103FC">
        <w:t xml:space="preserve"> a vízia </w:t>
      </w:r>
      <w:r w:rsidRPr="0063571D">
        <w:t>národnej</w:t>
      </w:r>
      <w:r w:rsidRPr="00C103FC">
        <w:t xml:space="preserve"> </w:t>
      </w:r>
      <w:proofErr w:type="spellStart"/>
      <w:r w:rsidR="0038748F">
        <w:t>C</w:t>
      </w:r>
      <w:r w:rsidR="0038748F" w:rsidRPr="00C103FC">
        <w:t>yklostratégie</w:t>
      </w:r>
      <w:bookmarkEnd w:id="49"/>
      <w:proofErr w:type="spellEnd"/>
    </w:p>
    <w:p w:rsidR="00EC1057" w:rsidRPr="00EE27DC" w:rsidRDefault="009C1556" w:rsidP="004578DE">
      <w:pPr>
        <w:pStyle w:val="Nadpis2"/>
      </w:pPr>
      <w:bookmarkStart w:id="50" w:name="_Toc347921367"/>
      <w:r>
        <w:t>Základná „</w:t>
      </w:r>
      <w:proofErr w:type="spellStart"/>
      <w:r>
        <w:t>cyklovízia</w:t>
      </w:r>
      <w:proofErr w:type="spellEnd"/>
      <w:r>
        <w:t>“</w:t>
      </w:r>
      <w:bookmarkEnd w:id="50"/>
    </w:p>
    <w:p w:rsidR="00AB0058" w:rsidRPr="00EE27DC" w:rsidRDefault="00AB0058" w:rsidP="00B12FE2">
      <w:pPr>
        <w:rPr>
          <w:rFonts w:cs="Times New Roman"/>
        </w:rPr>
      </w:pPr>
      <w:bookmarkStart w:id="51" w:name="_Toc336004033"/>
      <w:bookmarkStart w:id="52" w:name="_Toc336009328"/>
      <w:bookmarkStart w:id="53" w:name="_Toc336009418"/>
      <w:bookmarkStart w:id="54" w:name="_Toc336009496"/>
      <w:bookmarkStart w:id="55" w:name="_Toc336009578"/>
      <w:bookmarkStart w:id="56" w:name="_Toc336009660"/>
      <w:bookmarkEnd w:id="51"/>
      <w:bookmarkEnd w:id="52"/>
      <w:bookmarkEnd w:id="53"/>
      <w:bookmarkEnd w:id="54"/>
      <w:bookmarkEnd w:id="55"/>
      <w:bookmarkEnd w:id="56"/>
      <w:r w:rsidRPr="00AB0058">
        <w:t xml:space="preserve">Základným smerovaním, víziou </w:t>
      </w:r>
      <w:proofErr w:type="spellStart"/>
      <w:r w:rsidRPr="00AB0058">
        <w:t>cyklostratégie</w:t>
      </w:r>
      <w:proofErr w:type="spellEnd"/>
      <w:r w:rsidRPr="00AB0058">
        <w:t xml:space="preserve"> je </w:t>
      </w:r>
      <w:r w:rsidRPr="00B12FE2">
        <w:rPr>
          <w:b/>
        </w:rPr>
        <w:t xml:space="preserve">uznanie cyklistickej dopravy ako rovnocenného druhu dopravy a jej </w:t>
      </w:r>
      <w:r w:rsidR="00A72979">
        <w:rPr>
          <w:b/>
        </w:rPr>
        <w:t>integrácia</w:t>
      </w:r>
      <w:r w:rsidR="00A72979" w:rsidRPr="00B12FE2">
        <w:rPr>
          <w:b/>
        </w:rPr>
        <w:t xml:space="preserve"> </w:t>
      </w:r>
      <w:r w:rsidRPr="00B12FE2">
        <w:rPr>
          <w:b/>
        </w:rPr>
        <w:t>s</w:t>
      </w:r>
      <w:r w:rsidR="00A35861" w:rsidRPr="00B12FE2">
        <w:rPr>
          <w:b/>
        </w:rPr>
        <w:t> </w:t>
      </w:r>
      <w:r w:rsidRPr="00B12FE2">
        <w:rPr>
          <w:b/>
        </w:rPr>
        <w:t>ostatnými druhmi dopravy</w:t>
      </w:r>
      <w:r w:rsidRPr="00AB0058">
        <w:t xml:space="preserve">, ako aj zlepšenie vnímania cyklistov ako plnohodnotných účastníkov cestnej premávky. </w:t>
      </w:r>
    </w:p>
    <w:p w:rsidR="00F5325E" w:rsidRDefault="00AB0058" w:rsidP="00F5325E">
      <w:pPr>
        <w:rPr>
          <w:rFonts w:cs="Times New Roman"/>
        </w:rPr>
      </w:pPr>
      <w:r w:rsidRPr="00EE27DC">
        <w:rPr>
          <w:rFonts w:cs="Times New Roman"/>
        </w:rPr>
        <w:t xml:space="preserve">Súčasťou vízie je tiež výrazné </w:t>
      </w:r>
      <w:r w:rsidRPr="00B12FE2">
        <w:rPr>
          <w:rFonts w:cs="Times New Roman"/>
          <w:b/>
        </w:rPr>
        <w:t>posilnenie cykloturistiky ako dôležitého segmentu cestovného ruchu</w:t>
      </w:r>
      <w:r w:rsidRPr="00EE27DC">
        <w:rPr>
          <w:rFonts w:cs="Times New Roman"/>
        </w:rPr>
        <w:t xml:space="preserve"> s veľkým potenciálom najmä pre vidiecke oblasti, ich rozvoj, zvýšenie zamestnanosti a konkurencieschopnosti, teda ich </w:t>
      </w:r>
      <w:r w:rsidRPr="00B12FE2">
        <w:rPr>
          <w:rFonts w:cs="Times New Roman"/>
          <w:b/>
        </w:rPr>
        <w:t>trvalo udržateľný rozvoj</w:t>
      </w:r>
      <w:r w:rsidRPr="00EE27DC">
        <w:rPr>
          <w:rFonts w:cs="Times New Roman"/>
        </w:rPr>
        <w:t>.</w:t>
      </w:r>
    </w:p>
    <w:p w:rsidR="00EE2776" w:rsidRDefault="00EE2776" w:rsidP="0066795F">
      <w:pPr>
        <w:spacing w:after="360"/>
        <w:rPr>
          <w:rFonts w:cs="Times New Roman"/>
        </w:rPr>
      </w:pPr>
      <w:r>
        <w:rPr>
          <w:rFonts w:cs="Times New Roman"/>
        </w:rPr>
        <w:t xml:space="preserve">V súlade so základnou víziou </w:t>
      </w:r>
      <w:proofErr w:type="spellStart"/>
      <w:r>
        <w:rPr>
          <w:rFonts w:cs="Times New Roman"/>
        </w:rPr>
        <w:t>Cyklostratégie</w:t>
      </w:r>
      <w:proofErr w:type="spellEnd"/>
      <w:r>
        <w:rPr>
          <w:rFonts w:cs="Times New Roman"/>
        </w:rPr>
        <w:t xml:space="preserve"> a v snahe priblížiť</w:t>
      </w:r>
      <w:r w:rsidR="001A1BE2">
        <w:rPr>
          <w:rFonts w:cs="Times New Roman"/>
        </w:rPr>
        <w:t xml:space="preserve"> sa okolitým európskym krajinám</w:t>
      </w:r>
      <w:r>
        <w:rPr>
          <w:rFonts w:cs="Times New Roman"/>
        </w:rPr>
        <w:t xml:space="preserve"> je potrebné urobiť všetko </w:t>
      </w:r>
      <w:r w:rsidR="00F5325E">
        <w:rPr>
          <w:rFonts w:cs="Times New Roman"/>
        </w:rPr>
        <w:t>potrebné pre to</w:t>
      </w:r>
      <w:r>
        <w:rPr>
          <w:rFonts w:cs="Times New Roman"/>
        </w:rPr>
        <w:t xml:space="preserve">, aby sme </w:t>
      </w:r>
      <w:r w:rsidRPr="00F5325E">
        <w:rPr>
          <w:rFonts w:cs="Times New Roman"/>
          <w:b/>
        </w:rPr>
        <w:t>do r</w:t>
      </w:r>
      <w:r w:rsidR="00F5325E" w:rsidRPr="00F5325E">
        <w:rPr>
          <w:rFonts w:cs="Times New Roman"/>
          <w:b/>
        </w:rPr>
        <w:t>oku</w:t>
      </w:r>
      <w:r w:rsidRPr="00F5325E">
        <w:rPr>
          <w:rFonts w:cs="Times New Roman"/>
          <w:b/>
        </w:rPr>
        <w:t xml:space="preserve"> 2020</w:t>
      </w:r>
      <w:r>
        <w:rPr>
          <w:rFonts w:cs="Times New Roman"/>
        </w:rPr>
        <w:t xml:space="preserve"> dosiahli </w:t>
      </w:r>
      <w:r w:rsidRPr="00F5325E">
        <w:rPr>
          <w:rFonts w:cs="Times New Roman"/>
          <w:b/>
        </w:rPr>
        <w:t xml:space="preserve">10 % - </w:t>
      </w:r>
      <w:proofErr w:type="spellStart"/>
      <w:r w:rsidRPr="00F5325E">
        <w:rPr>
          <w:rFonts w:cs="Times New Roman"/>
          <w:b/>
        </w:rPr>
        <w:t>ný</w:t>
      </w:r>
      <w:proofErr w:type="spellEnd"/>
      <w:r>
        <w:rPr>
          <w:rFonts w:cs="Times New Roman"/>
        </w:rPr>
        <w:t xml:space="preserve"> </w:t>
      </w:r>
      <w:r w:rsidRPr="00F5325E">
        <w:rPr>
          <w:rFonts w:cs="Times New Roman"/>
          <w:b/>
        </w:rPr>
        <w:t>podiel cyklistickej dopravy na celkovej deľbe dopravnej práce</w:t>
      </w:r>
      <w:r>
        <w:rPr>
          <w:rFonts w:cs="Times New Roman"/>
        </w:rPr>
        <w:t>.</w:t>
      </w:r>
    </w:p>
    <w:p w:rsidR="005E1DD4" w:rsidRPr="00EE27DC" w:rsidRDefault="005E1DD4" w:rsidP="004578DE">
      <w:pPr>
        <w:pStyle w:val="Nadpis2"/>
      </w:pPr>
      <w:bookmarkStart w:id="57" w:name="_Toc347921368"/>
      <w:r>
        <w:t xml:space="preserve">Východiská </w:t>
      </w:r>
      <w:proofErr w:type="spellStart"/>
      <w:r w:rsidR="0038748F">
        <w:t>Cyklostratégie</w:t>
      </w:r>
      <w:bookmarkEnd w:id="57"/>
      <w:proofErr w:type="spellEnd"/>
    </w:p>
    <w:p w:rsidR="00C166B7" w:rsidRDefault="00FA2127" w:rsidP="006C1127">
      <w:pPr>
        <w:rPr>
          <w:rFonts w:cs="Times New Roman"/>
        </w:rPr>
      </w:pPr>
      <w:bookmarkStart w:id="58" w:name="_Toc336004036"/>
      <w:bookmarkStart w:id="59" w:name="_Toc336009331"/>
      <w:bookmarkStart w:id="60" w:name="_Toc336009421"/>
      <w:bookmarkStart w:id="61" w:name="_Toc336009499"/>
      <w:bookmarkStart w:id="62" w:name="_Toc336009581"/>
      <w:bookmarkStart w:id="63" w:name="_Toc336009663"/>
      <w:bookmarkStart w:id="64" w:name="_Toc336009742"/>
      <w:bookmarkEnd w:id="58"/>
      <w:bookmarkEnd w:id="59"/>
      <w:bookmarkEnd w:id="60"/>
      <w:bookmarkEnd w:id="61"/>
      <w:bookmarkEnd w:id="62"/>
      <w:bookmarkEnd w:id="63"/>
      <w:bookmarkEnd w:id="64"/>
      <w:r>
        <w:t>Hlavné</w:t>
      </w:r>
      <w:r w:rsidRPr="00AB0058">
        <w:t xml:space="preserve"> dôvod</w:t>
      </w:r>
      <w:r>
        <w:t>y</w:t>
      </w:r>
      <w:r w:rsidRPr="00AB0058">
        <w:t xml:space="preserve"> na podporu cyklistickej dopravy a</w:t>
      </w:r>
      <w:r>
        <w:t> </w:t>
      </w:r>
      <w:r w:rsidRPr="00AB0058">
        <w:t xml:space="preserve">cykloturistiky </w:t>
      </w:r>
      <w:r>
        <w:t>možno rozdeliť do 4 skupín</w:t>
      </w:r>
      <w:r w:rsidRPr="00AB0058">
        <w:t>:</w:t>
      </w:r>
    </w:p>
    <w:p w:rsidR="00F47F85" w:rsidRPr="00B12FE2" w:rsidRDefault="00F47F85" w:rsidP="0050688B">
      <w:pPr>
        <w:spacing w:after="80"/>
        <w:rPr>
          <w:b/>
        </w:rPr>
      </w:pPr>
      <w:r w:rsidRPr="00B12FE2">
        <w:rPr>
          <w:b/>
        </w:rPr>
        <w:t xml:space="preserve">Ekonomické </w:t>
      </w:r>
    </w:p>
    <w:p w:rsidR="003A411D" w:rsidRDefault="00F47F85" w:rsidP="007825CC">
      <w:pPr>
        <w:pStyle w:val="Default"/>
        <w:spacing w:after="120"/>
        <w:ind w:left="357"/>
        <w:jc w:val="both"/>
        <w:rPr>
          <w:rFonts w:ascii="Times New Roman" w:hAnsi="Times New Roman" w:cs="Times New Roman"/>
        </w:rPr>
      </w:pPr>
      <w:r w:rsidRPr="00AB0058">
        <w:rPr>
          <w:rFonts w:ascii="Times New Roman" w:hAnsi="Times New Roman" w:cs="Times New Roman"/>
        </w:rPr>
        <w:t>Neustály nárast cien pohonných hmôt a cien cestovného, stále častejšie dopravné zápchy a z toho prameniac</w:t>
      </w:r>
      <w:r w:rsidR="00FA2127">
        <w:rPr>
          <w:rFonts w:ascii="Times New Roman" w:hAnsi="Times New Roman" w:cs="Times New Roman"/>
        </w:rPr>
        <w:t xml:space="preserve">e časové straty </w:t>
      </w:r>
      <w:r w:rsidR="00083298">
        <w:rPr>
          <w:rFonts w:ascii="Times New Roman" w:hAnsi="Times New Roman" w:cs="Times New Roman"/>
        </w:rPr>
        <w:t>pri preprave autom</w:t>
      </w:r>
      <w:r w:rsidRPr="00AB0058">
        <w:rPr>
          <w:rFonts w:ascii="Times New Roman" w:hAnsi="Times New Roman" w:cs="Times New Roman"/>
        </w:rPr>
        <w:t xml:space="preserve"> </w:t>
      </w:r>
      <w:r w:rsidR="00083298">
        <w:rPr>
          <w:rFonts w:ascii="Times New Roman" w:hAnsi="Times New Roman" w:cs="Times New Roman"/>
        </w:rPr>
        <w:t>č</w:t>
      </w:r>
      <w:r w:rsidR="00FA2127">
        <w:rPr>
          <w:rFonts w:ascii="Times New Roman" w:hAnsi="Times New Roman" w:cs="Times New Roman"/>
        </w:rPr>
        <w:t xml:space="preserve">i </w:t>
      </w:r>
      <w:r w:rsidR="002C18CE">
        <w:rPr>
          <w:rFonts w:ascii="Times New Roman" w:hAnsi="Times New Roman" w:cs="Times New Roman"/>
        </w:rPr>
        <w:t>verejn</w:t>
      </w:r>
      <w:r w:rsidR="00083298">
        <w:rPr>
          <w:rFonts w:ascii="Times New Roman" w:hAnsi="Times New Roman" w:cs="Times New Roman"/>
        </w:rPr>
        <w:t>ou</w:t>
      </w:r>
      <w:r w:rsidR="002C18CE">
        <w:rPr>
          <w:rFonts w:ascii="Times New Roman" w:hAnsi="Times New Roman" w:cs="Times New Roman"/>
        </w:rPr>
        <w:t xml:space="preserve"> osobn</w:t>
      </w:r>
      <w:r w:rsidR="00083298">
        <w:rPr>
          <w:rFonts w:ascii="Times New Roman" w:hAnsi="Times New Roman" w:cs="Times New Roman"/>
        </w:rPr>
        <w:t>ou</w:t>
      </w:r>
      <w:r w:rsidRPr="00AB0058">
        <w:rPr>
          <w:rFonts w:ascii="Times New Roman" w:hAnsi="Times New Roman" w:cs="Times New Roman"/>
        </w:rPr>
        <w:t xml:space="preserve"> doprav</w:t>
      </w:r>
      <w:r w:rsidR="00083298">
        <w:rPr>
          <w:rFonts w:ascii="Times New Roman" w:hAnsi="Times New Roman" w:cs="Times New Roman"/>
        </w:rPr>
        <w:t xml:space="preserve">ou </w:t>
      </w:r>
      <w:r w:rsidR="00C166B7">
        <w:rPr>
          <w:rFonts w:ascii="Times New Roman" w:hAnsi="Times New Roman" w:cs="Times New Roman"/>
        </w:rPr>
        <w:t xml:space="preserve">čoraz viac </w:t>
      </w:r>
      <w:r w:rsidR="00083298">
        <w:rPr>
          <w:rFonts w:ascii="Times New Roman" w:hAnsi="Times New Roman" w:cs="Times New Roman"/>
        </w:rPr>
        <w:t>zv</w:t>
      </w:r>
      <w:r w:rsidR="00C166B7">
        <w:rPr>
          <w:rFonts w:ascii="Times New Roman" w:hAnsi="Times New Roman" w:cs="Times New Roman"/>
        </w:rPr>
        <w:t xml:space="preserve">ýrazňujú prednosti </w:t>
      </w:r>
      <w:r w:rsidR="002C18CE" w:rsidRPr="00AB0058">
        <w:rPr>
          <w:rFonts w:ascii="Times New Roman" w:hAnsi="Times New Roman" w:cs="Times New Roman"/>
        </w:rPr>
        <w:t>cyklisti</w:t>
      </w:r>
      <w:r w:rsidR="002C18CE">
        <w:rPr>
          <w:rFonts w:ascii="Times New Roman" w:hAnsi="Times New Roman" w:cs="Times New Roman"/>
        </w:rPr>
        <w:t>ck</w:t>
      </w:r>
      <w:r w:rsidR="00083298">
        <w:rPr>
          <w:rFonts w:ascii="Times New Roman" w:hAnsi="Times New Roman" w:cs="Times New Roman"/>
        </w:rPr>
        <w:t>ej</w:t>
      </w:r>
      <w:r w:rsidR="002C18CE">
        <w:rPr>
          <w:rFonts w:ascii="Times New Roman" w:hAnsi="Times New Roman" w:cs="Times New Roman"/>
        </w:rPr>
        <w:t xml:space="preserve"> doprav</w:t>
      </w:r>
      <w:r w:rsidR="00083298">
        <w:rPr>
          <w:rFonts w:ascii="Times New Roman" w:hAnsi="Times New Roman" w:cs="Times New Roman"/>
        </w:rPr>
        <w:t>y</w:t>
      </w:r>
      <w:r w:rsidR="006C1127">
        <w:rPr>
          <w:rFonts w:ascii="Times New Roman" w:hAnsi="Times New Roman" w:cs="Times New Roman"/>
        </w:rPr>
        <w:t>. Reálne sa prejavia</w:t>
      </w:r>
      <w:r w:rsidR="00C166B7">
        <w:rPr>
          <w:rFonts w:ascii="Times New Roman" w:hAnsi="Times New Roman" w:cs="Times New Roman"/>
        </w:rPr>
        <w:t xml:space="preserve"> tam, kde sú podmienky na jej bezpečné využívanie</w:t>
      </w:r>
      <w:r w:rsidR="002C18CE">
        <w:rPr>
          <w:rFonts w:ascii="Times New Roman" w:hAnsi="Times New Roman" w:cs="Times New Roman"/>
        </w:rPr>
        <w:t>.</w:t>
      </w:r>
      <w:r w:rsidR="002C18CE" w:rsidRPr="002C18CE">
        <w:rPr>
          <w:rFonts w:ascii="Times New Roman" w:hAnsi="Times New Roman" w:cs="Times New Roman"/>
        </w:rPr>
        <w:t xml:space="preserve"> </w:t>
      </w:r>
      <w:r w:rsidR="002C18CE">
        <w:rPr>
          <w:rFonts w:ascii="Times New Roman" w:hAnsi="Times New Roman" w:cs="Times New Roman"/>
        </w:rPr>
        <w:t xml:space="preserve">Zo </w:t>
      </w:r>
      <w:r w:rsidR="002C18CE" w:rsidRPr="00AB0058">
        <w:rPr>
          <w:rFonts w:ascii="Times New Roman" w:hAnsi="Times New Roman" w:cs="Times New Roman"/>
        </w:rPr>
        <w:t xml:space="preserve">všetkých jázd automobilom je </w:t>
      </w:r>
      <w:r w:rsidR="002C18CE">
        <w:rPr>
          <w:rFonts w:ascii="Times New Roman" w:hAnsi="Times New Roman" w:cs="Times New Roman"/>
        </w:rPr>
        <w:t xml:space="preserve">až </w:t>
      </w:r>
      <w:r w:rsidR="002C18CE" w:rsidRPr="00AB0058">
        <w:rPr>
          <w:rFonts w:ascii="Times New Roman" w:hAnsi="Times New Roman" w:cs="Times New Roman"/>
        </w:rPr>
        <w:t>30% kratších ako 3 km</w:t>
      </w:r>
      <w:r w:rsidR="003A411D">
        <w:rPr>
          <w:rFonts w:ascii="Times New Roman" w:hAnsi="Times New Roman" w:cs="Times New Roman"/>
        </w:rPr>
        <w:t>.</w:t>
      </w:r>
      <w:r w:rsidR="002C18CE" w:rsidRPr="00AB0058">
        <w:rPr>
          <w:rFonts w:ascii="Times New Roman" w:hAnsi="Times New Roman" w:cs="Times New Roman"/>
        </w:rPr>
        <w:t xml:space="preserve"> </w:t>
      </w:r>
      <w:r w:rsidR="003A411D">
        <w:rPr>
          <w:rFonts w:ascii="Times New Roman" w:hAnsi="Times New Roman" w:cs="Times New Roman"/>
        </w:rPr>
        <w:t>B</w:t>
      </w:r>
      <w:r w:rsidR="002C18CE" w:rsidRPr="00AB0058">
        <w:rPr>
          <w:rFonts w:ascii="Times New Roman" w:hAnsi="Times New Roman" w:cs="Times New Roman"/>
        </w:rPr>
        <w:t xml:space="preserve">icykel pritom môže byť </w:t>
      </w:r>
      <w:r w:rsidR="003A411D">
        <w:rPr>
          <w:rFonts w:ascii="Times New Roman" w:hAnsi="Times New Roman" w:cs="Times New Roman"/>
        </w:rPr>
        <w:t xml:space="preserve">v meste </w:t>
      </w:r>
      <w:r w:rsidR="002C18CE" w:rsidRPr="00AB0058">
        <w:rPr>
          <w:rFonts w:ascii="Times New Roman" w:hAnsi="Times New Roman" w:cs="Times New Roman"/>
        </w:rPr>
        <w:t>do vzdialenosti 5 km rýchlejší ako automobil</w:t>
      </w:r>
      <w:r w:rsidR="002C18CE">
        <w:rPr>
          <w:rFonts w:ascii="Times New Roman" w:hAnsi="Times New Roman" w:cs="Times New Roman"/>
        </w:rPr>
        <w:t xml:space="preserve">. </w:t>
      </w:r>
    </w:p>
    <w:p w:rsidR="007825CC" w:rsidRDefault="003A411D" w:rsidP="00B12FE2">
      <w:pPr>
        <w:pStyle w:val="Default"/>
        <w:ind w:left="360"/>
        <w:jc w:val="both"/>
        <w:rPr>
          <w:rFonts w:ascii="Times New Roman" w:hAnsi="Times New Roman" w:cs="Times New Roman"/>
        </w:rPr>
      </w:pPr>
      <w:r>
        <w:rPr>
          <w:rFonts w:ascii="Times New Roman" w:hAnsi="Times New Roman" w:cs="Times New Roman"/>
        </w:rPr>
        <w:t xml:space="preserve">Okrem užívateľov je cyklodoprava ekonomickou voľbou aj pre štát, regióny či mestá a obce. </w:t>
      </w:r>
      <w:r w:rsidR="003D2AD0">
        <w:rPr>
          <w:rFonts w:ascii="Times New Roman" w:hAnsi="Times New Roman" w:cs="Times New Roman"/>
        </w:rPr>
        <w:t xml:space="preserve">Rozvoj </w:t>
      </w:r>
      <w:proofErr w:type="spellStart"/>
      <w:r w:rsidR="003D2AD0">
        <w:rPr>
          <w:rFonts w:ascii="Times New Roman" w:hAnsi="Times New Roman" w:cs="Times New Roman"/>
        </w:rPr>
        <w:t>cykloinfraštruktúry</w:t>
      </w:r>
      <w:proofErr w:type="spellEnd"/>
      <w:r w:rsidR="003D2AD0">
        <w:rPr>
          <w:rFonts w:ascii="Times New Roman" w:hAnsi="Times New Roman" w:cs="Times New Roman"/>
        </w:rPr>
        <w:t xml:space="preserve"> nie je možný bez investovania verejných zdrojov, zároveň </w:t>
      </w:r>
      <w:r w:rsidR="00C13EBB">
        <w:rPr>
          <w:rFonts w:ascii="Times New Roman" w:hAnsi="Times New Roman" w:cs="Times New Roman"/>
        </w:rPr>
        <w:t>však predstavuje alternatívu v postupnej redukcii individuálnej automobilovej dopravy s dlhodobým cieľom znižovania počtu parkovacích plôch pre motorovú dopravu.</w:t>
      </w:r>
    </w:p>
    <w:p w:rsidR="007825CC" w:rsidRDefault="007825CC" w:rsidP="00B12FE2">
      <w:pPr>
        <w:pStyle w:val="Default"/>
        <w:ind w:left="360"/>
        <w:jc w:val="both"/>
        <w:rPr>
          <w:rFonts w:ascii="Times New Roman" w:hAnsi="Times New Roman" w:cs="Times New Roman"/>
        </w:rPr>
      </w:pPr>
    </w:p>
    <w:p w:rsidR="007825CC" w:rsidRDefault="007825CC" w:rsidP="007825CC">
      <w:pPr>
        <w:spacing w:after="0" w:line="276" w:lineRule="auto"/>
        <w:jc w:val="center"/>
      </w:pPr>
      <w:r w:rsidRPr="00874E24">
        <w:rPr>
          <w:rFonts w:cs="Times New Roman"/>
          <w:b/>
        </w:rPr>
        <w:t>Porovnanie potrebnej plochy pre auto a bicykel</w:t>
      </w:r>
    </w:p>
    <w:p w:rsidR="007825CC" w:rsidRPr="00B61B41" w:rsidRDefault="007825CC" w:rsidP="007825CC">
      <w:pPr>
        <w:jc w:val="center"/>
        <w:rPr>
          <w:rFonts w:cs="Times New Roman"/>
          <w:sz w:val="20"/>
          <w:szCs w:val="20"/>
        </w:rPr>
      </w:pPr>
      <w:r w:rsidRPr="0050688B">
        <w:rPr>
          <w:i/>
        </w:rPr>
        <w:t>Schematické znázornenie, vypočítané hodnoty sa môžu líšiť vplyvom prostredia a podmienok.</w:t>
      </w:r>
    </w:p>
    <w:p w:rsidR="00C166B7" w:rsidRDefault="00040C75" w:rsidP="007825CC">
      <w:pPr>
        <w:pStyle w:val="Default"/>
        <w:ind w:left="360"/>
        <w:jc w:val="center"/>
        <w:rPr>
          <w:rFonts w:ascii="Times New Roman" w:hAnsi="Times New Roman" w:cs="Times New Roman"/>
        </w:rPr>
      </w:pPr>
      <w:r>
        <w:rPr>
          <w:noProof/>
          <w:lang w:eastAsia="sk-SK"/>
        </w:rPr>
        <w:drawing>
          <wp:inline distT="0" distB="0" distL="0" distR="0">
            <wp:extent cx="4000500" cy="2691583"/>
            <wp:effectExtent l="0" t="0" r="0" b="0"/>
            <wp:docPr id="1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1580" cy="2692309"/>
                    </a:xfrm>
                    <a:prstGeom prst="rect">
                      <a:avLst/>
                    </a:prstGeom>
                    <a:noFill/>
                    <a:ln w="9525">
                      <a:noFill/>
                      <a:miter lim="800000"/>
                      <a:headEnd/>
                      <a:tailEnd/>
                    </a:ln>
                  </pic:spPr>
                </pic:pic>
              </a:graphicData>
            </a:graphic>
          </wp:inline>
        </w:drawing>
      </w:r>
    </w:p>
    <w:p w:rsidR="007825CC" w:rsidRPr="00BF0DD5" w:rsidRDefault="007825CC" w:rsidP="007825CC">
      <w:pPr>
        <w:spacing w:after="200" w:line="276" w:lineRule="auto"/>
        <w:jc w:val="center"/>
        <w:rPr>
          <w:i/>
        </w:rPr>
      </w:pPr>
      <w:r w:rsidRPr="00BF0DD5">
        <w:rPr>
          <w:rFonts w:cs="Times New Roman"/>
          <w:i/>
          <w:sz w:val="20"/>
          <w:szCs w:val="20"/>
        </w:rPr>
        <w:t xml:space="preserve">Zdroj: projekt </w:t>
      </w:r>
      <w:proofErr w:type="spellStart"/>
      <w:r w:rsidRPr="00BF0DD5">
        <w:rPr>
          <w:rFonts w:cs="Times New Roman"/>
          <w:i/>
          <w:sz w:val="20"/>
          <w:szCs w:val="20"/>
        </w:rPr>
        <w:t>Central</w:t>
      </w:r>
      <w:proofErr w:type="spellEnd"/>
      <w:r w:rsidRPr="00BF0DD5">
        <w:rPr>
          <w:rFonts w:cs="Times New Roman"/>
          <w:i/>
          <w:sz w:val="20"/>
          <w:szCs w:val="20"/>
        </w:rPr>
        <w:t xml:space="preserve"> </w:t>
      </w:r>
      <w:proofErr w:type="spellStart"/>
      <w:r w:rsidRPr="00BF0DD5">
        <w:rPr>
          <w:rFonts w:cs="Times New Roman"/>
          <w:i/>
          <w:sz w:val="20"/>
          <w:szCs w:val="20"/>
        </w:rPr>
        <w:t>MeetBike</w:t>
      </w:r>
      <w:proofErr w:type="spellEnd"/>
      <w:r w:rsidRPr="00BF0DD5">
        <w:rPr>
          <w:rFonts w:cs="Times New Roman"/>
          <w:i/>
          <w:sz w:val="20"/>
          <w:szCs w:val="20"/>
        </w:rPr>
        <w:t>; odborné nemecké publikácie pre cyklistickú dopravu</w:t>
      </w:r>
    </w:p>
    <w:p w:rsidR="00F47F85" w:rsidRDefault="004B07A0" w:rsidP="00B12FE2">
      <w:pPr>
        <w:pStyle w:val="Default"/>
        <w:ind w:left="360"/>
        <w:jc w:val="both"/>
        <w:rPr>
          <w:rFonts w:ascii="Times New Roman" w:hAnsi="Times New Roman" w:cs="Times New Roman"/>
        </w:rPr>
      </w:pPr>
      <w:r>
        <w:rPr>
          <w:rFonts w:ascii="Times New Roman" w:hAnsi="Times New Roman" w:cs="Times New Roman"/>
        </w:rPr>
        <w:lastRenderedPageBreak/>
        <w:t xml:space="preserve">Úplne iné ekonomické </w:t>
      </w:r>
      <w:r w:rsidR="00B1725E">
        <w:rPr>
          <w:rFonts w:ascii="Times New Roman" w:hAnsi="Times New Roman" w:cs="Times New Roman"/>
        </w:rPr>
        <w:t xml:space="preserve">dôvody </w:t>
      </w:r>
      <w:r>
        <w:rPr>
          <w:rFonts w:ascii="Times New Roman" w:hAnsi="Times New Roman" w:cs="Times New Roman"/>
        </w:rPr>
        <w:t xml:space="preserve">hovoria v prospech rozvoja cykloturistiky. Tá rozširuje možnosti poznávania krajiny a trávenia dovolenky na Slovensku, čo je príležitosť pre </w:t>
      </w:r>
      <w:r w:rsidR="00B1725E">
        <w:rPr>
          <w:rFonts w:ascii="Times New Roman" w:hAnsi="Times New Roman" w:cs="Times New Roman"/>
        </w:rPr>
        <w:t>rozvoj služieb a rast zamestnanosti najmä</w:t>
      </w:r>
      <w:r>
        <w:rPr>
          <w:rFonts w:ascii="Times New Roman" w:hAnsi="Times New Roman" w:cs="Times New Roman"/>
        </w:rPr>
        <w:t xml:space="preserve"> </w:t>
      </w:r>
      <w:r w:rsidR="00B1725E">
        <w:rPr>
          <w:rFonts w:ascii="Times New Roman" w:hAnsi="Times New Roman" w:cs="Times New Roman"/>
        </w:rPr>
        <w:t>v</w:t>
      </w:r>
      <w:r>
        <w:rPr>
          <w:rFonts w:ascii="Times New Roman" w:hAnsi="Times New Roman" w:cs="Times New Roman"/>
        </w:rPr>
        <w:t>o vidieckych oblastiach</w:t>
      </w:r>
      <w:r w:rsidR="00F47F85" w:rsidRPr="00AB0058">
        <w:rPr>
          <w:rFonts w:ascii="Times New Roman" w:hAnsi="Times New Roman" w:cs="Times New Roman"/>
        </w:rPr>
        <w:t xml:space="preserve">, </w:t>
      </w:r>
      <w:r w:rsidR="00B1725E">
        <w:rPr>
          <w:rFonts w:ascii="Times New Roman" w:hAnsi="Times New Roman" w:cs="Times New Roman"/>
        </w:rPr>
        <w:t xml:space="preserve">prevažne v malých a stredných podnikoch. </w:t>
      </w:r>
      <w:r w:rsidR="00F47F85" w:rsidRPr="00AB0058">
        <w:rPr>
          <w:rFonts w:ascii="Times New Roman" w:hAnsi="Times New Roman" w:cs="Times New Roman"/>
        </w:rPr>
        <w:t xml:space="preserve">Cykloturistika už aj v susednej Českej republike </w:t>
      </w:r>
      <w:r w:rsidR="00B1725E">
        <w:rPr>
          <w:rFonts w:ascii="Times New Roman" w:hAnsi="Times New Roman" w:cs="Times New Roman"/>
        </w:rPr>
        <w:t>tvorí</w:t>
      </w:r>
      <w:r w:rsidR="00F47F85" w:rsidRPr="00AB0058">
        <w:rPr>
          <w:rFonts w:ascii="Times New Roman" w:hAnsi="Times New Roman" w:cs="Times New Roman"/>
        </w:rPr>
        <w:t xml:space="preserve"> významný podiel na cestovnom ruchu a je prínosom pre ekonomiku štátu</w:t>
      </w:r>
      <w:r w:rsidR="00B1725E">
        <w:rPr>
          <w:rFonts w:ascii="Times New Roman" w:hAnsi="Times New Roman" w:cs="Times New Roman"/>
        </w:rPr>
        <w:t>, samospráv i podnikateľov</w:t>
      </w:r>
      <w:r w:rsidR="00F47F85" w:rsidRPr="00AB0058">
        <w:rPr>
          <w:rFonts w:ascii="Times New Roman" w:hAnsi="Times New Roman" w:cs="Times New Roman"/>
        </w:rPr>
        <w:t>. Zároveň ponúka alternatívu v podobe udržateľného rozvoja cestovného ruchu a</w:t>
      </w:r>
      <w:r w:rsidR="00A35861">
        <w:rPr>
          <w:rFonts w:ascii="Times New Roman" w:hAnsi="Times New Roman" w:cs="Times New Roman"/>
        </w:rPr>
        <w:t> </w:t>
      </w:r>
      <w:r w:rsidR="00F47F85" w:rsidRPr="00AB0058">
        <w:rPr>
          <w:rFonts w:ascii="Times New Roman" w:hAnsi="Times New Roman" w:cs="Times New Roman"/>
        </w:rPr>
        <w:t>zabezpečuje pracovné miesta v rôznych oblastiach služieb súvisiacich s bicyklovaním.</w:t>
      </w:r>
    </w:p>
    <w:p w:rsidR="00F47F85" w:rsidRPr="00B12FE2" w:rsidRDefault="00F47F85" w:rsidP="0050688B">
      <w:pPr>
        <w:spacing w:before="120" w:after="80"/>
        <w:rPr>
          <w:b/>
        </w:rPr>
      </w:pPr>
      <w:r w:rsidRPr="00B12FE2">
        <w:rPr>
          <w:b/>
        </w:rPr>
        <w:t xml:space="preserve">Ekologické </w:t>
      </w:r>
    </w:p>
    <w:p w:rsidR="00F47F85" w:rsidRPr="00AB0058" w:rsidRDefault="00F47F85" w:rsidP="00B12FE2">
      <w:pPr>
        <w:pStyle w:val="Default"/>
        <w:ind w:left="360"/>
        <w:jc w:val="both"/>
        <w:rPr>
          <w:rFonts w:ascii="Times New Roman" w:hAnsi="Times New Roman" w:cs="Times New Roman"/>
        </w:rPr>
      </w:pPr>
      <w:r w:rsidRPr="00AB0058">
        <w:rPr>
          <w:rFonts w:ascii="Times New Roman" w:hAnsi="Times New Roman" w:cs="Times New Roman"/>
        </w:rPr>
        <w:t>Bicykel je dopravným prostriedkom, ktorý neprodukuje žiadne škodlivé emisie do ovzdušia</w:t>
      </w:r>
      <w:r w:rsidR="00A01EB2">
        <w:rPr>
          <w:rFonts w:ascii="Times New Roman" w:hAnsi="Times New Roman" w:cs="Times New Roman"/>
        </w:rPr>
        <w:t>. J</w:t>
      </w:r>
      <w:r w:rsidRPr="00AB0058">
        <w:rPr>
          <w:rFonts w:ascii="Times New Roman" w:hAnsi="Times New Roman" w:cs="Times New Roman"/>
        </w:rPr>
        <w:t>eho prevádzk</w:t>
      </w:r>
      <w:r w:rsidR="00B1725E">
        <w:rPr>
          <w:rFonts w:ascii="Times New Roman" w:hAnsi="Times New Roman" w:cs="Times New Roman"/>
        </w:rPr>
        <w:t xml:space="preserve">u </w:t>
      </w:r>
      <w:r w:rsidR="00A01EB2">
        <w:rPr>
          <w:rFonts w:ascii="Times New Roman" w:hAnsi="Times New Roman" w:cs="Times New Roman"/>
        </w:rPr>
        <w:t xml:space="preserve">tiež </w:t>
      </w:r>
      <w:r w:rsidR="00B1725E">
        <w:rPr>
          <w:rFonts w:ascii="Times New Roman" w:hAnsi="Times New Roman" w:cs="Times New Roman"/>
        </w:rPr>
        <w:t>sprevádza podstatne menší</w:t>
      </w:r>
      <w:r w:rsidRPr="00AB0058">
        <w:rPr>
          <w:rFonts w:ascii="Times New Roman" w:hAnsi="Times New Roman" w:cs="Times New Roman"/>
        </w:rPr>
        <w:t xml:space="preserve"> hluk a vibrácie v</w:t>
      </w:r>
      <w:r w:rsidR="00A01EB2">
        <w:rPr>
          <w:rFonts w:ascii="Times New Roman" w:hAnsi="Times New Roman" w:cs="Times New Roman"/>
        </w:rPr>
        <w:t> porovnaní s motorovou dopravou</w:t>
      </w:r>
      <w:r w:rsidRPr="00AB0058">
        <w:rPr>
          <w:rFonts w:ascii="Times New Roman" w:hAnsi="Times New Roman" w:cs="Times New Roman"/>
        </w:rPr>
        <w:t>. Používanie bicykla si nevyžaduje spotrebu žiadnej energie (s výnimkou tej ľudskej) a prispieva tak hneď k dvom cieľom EK</w:t>
      </w:r>
      <w:r w:rsidR="00FE6BAD">
        <w:rPr>
          <w:rFonts w:ascii="Times New Roman" w:hAnsi="Times New Roman" w:cs="Times New Roman"/>
        </w:rPr>
        <w:t>:</w:t>
      </w:r>
      <w:r w:rsidRPr="00AB0058">
        <w:rPr>
          <w:rFonts w:ascii="Times New Roman" w:hAnsi="Times New Roman" w:cs="Times New Roman"/>
        </w:rPr>
        <w:t xml:space="preserve"> znižovať závislosť na fosílnych palivách a znižovať emisie skleníkových plynov. </w:t>
      </w:r>
    </w:p>
    <w:p w:rsidR="00AB0058" w:rsidRPr="00B12FE2" w:rsidRDefault="00AB0058" w:rsidP="0050688B">
      <w:pPr>
        <w:spacing w:before="120" w:after="60"/>
        <w:rPr>
          <w:b/>
        </w:rPr>
      </w:pPr>
      <w:r w:rsidRPr="00B12FE2">
        <w:rPr>
          <w:b/>
        </w:rPr>
        <w:t xml:space="preserve">Zdravotné </w:t>
      </w:r>
    </w:p>
    <w:p w:rsidR="00FE6BAD" w:rsidRDefault="00815C05" w:rsidP="00B12FE2">
      <w:pPr>
        <w:pStyle w:val="Default"/>
        <w:ind w:left="360"/>
        <w:jc w:val="both"/>
        <w:rPr>
          <w:rFonts w:ascii="Times New Roman" w:hAnsi="Times New Roman" w:cs="Times New Roman"/>
        </w:rPr>
      </w:pPr>
      <w:r>
        <w:rPr>
          <w:rFonts w:ascii="Times New Roman" w:hAnsi="Times New Roman" w:cs="Times New Roman"/>
        </w:rPr>
        <w:t xml:space="preserve">V jednotlivých krajinách EÚ od </w:t>
      </w:r>
      <w:r w:rsidR="00AB0058" w:rsidRPr="00AB0058">
        <w:rPr>
          <w:rFonts w:ascii="Times New Roman" w:hAnsi="Times New Roman" w:cs="Times New Roman"/>
        </w:rPr>
        <w:t xml:space="preserve">30 </w:t>
      </w:r>
      <w:r>
        <w:rPr>
          <w:rFonts w:ascii="Times New Roman" w:hAnsi="Times New Roman" w:cs="Times New Roman"/>
        </w:rPr>
        <w:t>do</w:t>
      </w:r>
      <w:r w:rsidR="00AB0058" w:rsidRPr="00AB0058">
        <w:rPr>
          <w:rFonts w:ascii="Times New Roman" w:hAnsi="Times New Roman" w:cs="Times New Roman"/>
        </w:rPr>
        <w:t xml:space="preserve"> 80% dospelej populácie trpí nadváhou (BMI viac ako 25). </w:t>
      </w:r>
      <w:r w:rsidR="00A01EB2">
        <w:rPr>
          <w:rFonts w:ascii="Times New Roman" w:hAnsi="Times New Roman" w:cs="Times New Roman"/>
        </w:rPr>
        <w:t>Čoraz vážnejší je problém detskej obezity, keď</w:t>
      </w:r>
      <w:r w:rsidR="00AB0058" w:rsidRPr="00AB0058">
        <w:rPr>
          <w:rFonts w:ascii="Times New Roman" w:hAnsi="Times New Roman" w:cs="Times New Roman"/>
        </w:rPr>
        <w:t xml:space="preserve"> </w:t>
      </w:r>
      <w:r w:rsidR="00A01EB2">
        <w:rPr>
          <w:rFonts w:ascii="Times New Roman" w:hAnsi="Times New Roman" w:cs="Times New Roman"/>
        </w:rPr>
        <w:t>cca</w:t>
      </w:r>
      <w:r w:rsidR="00AB0058" w:rsidRPr="00AB0058">
        <w:rPr>
          <w:rFonts w:ascii="Times New Roman" w:hAnsi="Times New Roman" w:cs="Times New Roman"/>
        </w:rPr>
        <w:t xml:space="preserve"> 20% detí trpí nadváhou a</w:t>
      </w:r>
      <w:r w:rsidR="00A01EB2">
        <w:rPr>
          <w:rFonts w:ascii="Times New Roman" w:hAnsi="Times New Roman" w:cs="Times New Roman"/>
        </w:rPr>
        <w:t> z nich</w:t>
      </w:r>
      <w:r w:rsidR="00AB0058" w:rsidRPr="00AB0058">
        <w:rPr>
          <w:rFonts w:ascii="Times New Roman" w:hAnsi="Times New Roman" w:cs="Times New Roman"/>
        </w:rPr>
        <w:t xml:space="preserve"> tretina je obézna. Pritom práve bicyklovanie je odporúčané ako výborný preventívny prostriedok, ktorý vedie k</w:t>
      </w:r>
      <w:r w:rsidR="00FE6BAD">
        <w:rPr>
          <w:rFonts w:ascii="Times New Roman" w:hAnsi="Times New Roman" w:cs="Times New Roman"/>
        </w:rPr>
        <w:t> </w:t>
      </w:r>
      <w:r w:rsidR="00AB0058" w:rsidRPr="00AB0058">
        <w:rPr>
          <w:rFonts w:ascii="Times New Roman" w:hAnsi="Times New Roman" w:cs="Times New Roman"/>
        </w:rPr>
        <w:t>50%</w:t>
      </w:r>
      <w:r w:rsidR="00A01EB2">
        <w:rPr>
          <w:rFonts w:ascii="Times New Roman" w:hAnsi="Times New Roman" w:cs="Times New Roman"/>
        </w:rPr>
        <w:t>-nému</w:t>
      </w:r>
      <w:r w:rsidR="00AB0058" w:rsidRPr="00AB0058">
        <w:rPr>
          <w:rFonts w:ascii="Times New Roman" w:hAnsi="Times New Roman" w:cs="Times New Roman"/>
        </w:rPr>
        <w:t xml:space="preserve"> zníženiu rizika srdcovo-cievnych ochorení, k</w:t>
      </w:r>
      <w:r w:rsidR="00FE6BAD">
        <w:rPr>
          <w:rFonts w:ascii="Times New Roman" w:hAnsi="Times New Roman" w:cs="Times New Roman"/>
        </w:rPr>
        <w:t> </w:t>
      </w:r>
      <w:r w:rsidR="00AB0058" w:rsidRPr="00AB0058">
        <w:rPr>
          <w:rFonts w:ascii="Times New Roman" w:hAnsi="Times New Roman" w:cs="Times New Roman"/>
        </w:rPr>
        <w:t>50%</w:t>
      </w:r>
      <w:r w:rsidR="00A01EB2">
        <w:rPr>
          <w:rFonts w:ascii="Times New Roman" w:hAnsi="Times New Roman" w:cs="Times New Roman"/>
        </w:rPr>
        <w:t>-nému</w:t>
      </w:r>
      <w:r w:rsidR="00AB0058" w:rsidRPr="00AB0058">
        <w:rPr>
          <w:rFonts w:ascii="Times New Roman" w:hAnsi="Times New Roman" w:cs="Times New Roman"/>
        </w:rPr>
        <w:t xml:space="preserve"> zníženiu rizika ochorenia na diabetes </w:t>
      </w:r>
      <w:proofErr w:type="spellStart"/>
      <w:r w:rsidR="00AB0058" w:rsidRPr="00AB0058">
        <w:rPr>
          <w:rFonts w:ascii="Times New Roman" w:hAnsi="Times New Roman" w:cs="Times New Roman"/>
        </w:rPr>
        <w:t>mellitus</w:t>
      </w:r>
      <w:proofErr w:type="spellEnd"/>
      <w:r w:rsidR="00AB0058" w:rsidRPr="00AB0058">
        <w:rPr>
          <w:rFonts w:ascii="Times New Roman" w:hAnsi="Times New Roman" w:cs="Times New Roman"/>
        </w:rPr>
        <w:t xml:space="preserve"> II.</w:t>
      </w:r>
      <w:r w:rsidR="00AB0058">
        <w:rPr>
          <w:rFonts w:ascii="Times New Roman" w:hAnsi="Times New Roman" w:cs="Times New Roman"/>
        </w:rPr>
        <w:t xml:space="preserve"> </w:t>
      </w:r>
      <w:r w:rsidR="00AB0058" w:rsidRPr="00AB0058">
        <w:rPr>
          <w:rFonts w:ascii="Times New Roman" w:hAnsi="Times New Roman" w:cs="Times New Roman"/>
        </w:rPr>
        <w:t>typu (cukrovk</w:t>
      </w:r>
      <w:r w:rsidR="00A01EB2">
        <w:rPr>
          <w:rFonts w:ascii="Times New Roman" w:hAnsi="Times New Roman" w:cs="Times New Roman"/>
        </w:rPr>
        <w:t>y</w:t>
      </w:r>
      <w:r w:rsidR="00AB0058" w:rsidRPr="00AB0058">
        <w:rPr>
          <w:rFonts w:ascii="Times New Roman" w:hAnsi="Times New Roman" w:cs="Times New Roman"/>
        </w:rPr>
        <w:t>),</w:t>
      </w:r>
      <w:r w:rsidR="00AB0058">
        <w:rPr>
          <w:rFonts w:ascii="Times New Roman" w:hAnsi="Times New Roman" w:cs="Times New Roman"/>
        </w:rPr>
        <w:t xml:space="preserve"> </w:t>
      </w:r>
      <w:r w:rsidR="00AB0058" w:rsidRPr="00AB0058">
        <w:rPr>
          <w:rFonts w:ascii="Times New Roman" w:hAnsi="Times New Roman" w:cs="Times New Roman"/>
        </w:rPr>
        <w:t>k</w:t>
      </w:r>
      <w:r w:rsidR="00FE6BAD">
        <w:rPr>
          <w:rFonts w:ascii="Times New Roman" w:hAnsi="Times New Roman" w:cs="Times New Roman"/>
        </w:rPr>
        <w:t> </w:t>
      </w:r>
      <w:r w:rsidR="00AB0058" w:rsidRPr="00AB0058">
        <w:rPr>
          <w:rFonts w:ascii="Times New Roman" w:hAnsi="Times New Roman" w:cs="Times New Roman"/>
        </w:rPr>
        <w:t>50%</w:t>
      </w:r>
      <w:r w:rsidR="00A01EB2">
        <w:rPr>
          <w:rFonts w:ascii="Times New Roman" w:hAnsi="Times New Roman" w:cs="Times New Roman"/>
        </w:rPr>
        <w:t>-nému</w:t>
      </w:r>
      <w:r w:rsidR="00AB0058" w:rsidRPr="00AB0058">
        <w:rPr>
          <w:rFonts w:ascii="Times New Roman" w:hAnsi="Times New Roman" w:cs="Times New Roman"/>
        </w:rPr>
        <w:t xml:space="preserve"> zníženiu rizika vzniku obezity a</w:t>
      </w:r>
      <w:r w:rsidR="00FE6BAD">
        <w:rPr>
          <w:rFonts w:ascii="Times New Roman" w:hAnsi="Times New Roman" w:cs="Times New Roman"/>
        </w:rPr>
        <w:t> </w:t>
      </w:r>
      <w:r w:rsidR="00AB0058" w:rsidRPr="00AB0058">
        <w:rPr>
          <w:rFonts w:ascii="Times New Roman" w:hAnsi="Times New Roman" w:cs="Times New Roman"/>
        </w:rPr>
        <w:t>k</w:t>
      </w:r>
      <w:r w:rsidR="00FE6BAD">
        <w:rPr>
          <w:rFonts w:ascii="Times New Roman" w:hAnsi="Times New Roman" w:cs="Times New Roman"/>
        </w:rPr>
        <w:t> </w:t>
      </w:r>
      <w:r w:rsidR="00AB0058" w:rsidRPr="00AB0058">
        <w:rPr>
          <w:rFonts w:ascii="Times New Roman" w:hAnsi="Times New Roman" w:cs="Times New Roman"/>
        </w:rPr>
        <w:t>30%</w:t>
      </w:r>
      <w:r w:rsidR="00A01EB2">
        <w:rPr>
          <w:rFonts w:ascii="Times New Roman" w:hAnsi="Times New Roman" w:cs="Times New Roman"/>
        </w:rPr>
        <w:t>-nému</w:t>
      </w:r>
      <w:r w:rsidR="00AB0058" w:rsidRPr="00AB0058">
        <w:rPr>
          <w:rFonts w:ascii="Times New Roman" w:hAnsi="Times New Roman" w:cs="Times New Roman"/>
        </w:rPr>
        <w:t xml:space="preserve"> zníženiu rizika vysokého krvného tlaku. Stačí len 30 minút rýchlejšej chôdze alebo jazdy na bicykli po väčšinu dní v týždni.</w:t>
      </w:r>
      <w:r w:rsidR="006D5A1D">
        <w:rPr>
          <w:rStyle w:val="Odkaznapoznmkupodiarou"/>
          <w:rFonts w:ascii="Times New Roman" w:hAnsi="Times New Roman" w:cs="Times New Roman"/>
        </w:rPr>
        <w:footnoteReference w:id="2"/>
      </w:r>
      <w:r w:rsidR="00CF2C95">
        <w:rPr>
          <w:rFonts w:ascii="Times New Roman" w:hAnsi="Times New Roman" w:cs="Times New Roman"/>
        </w:rPr>
        <w:t xml:space="preserve"> </w:t>
      </w:r>
      <w:r w:rsidR="00CF2C95" w:rsidRPr="00CF2C95">
        <w:rPr>
          <w:rFonts w:ascii="Times New Roman" w:hAnsi="Times New Roman" w:cs="Times New Roman"/>
        </w:rPr>
        <w:t>Exhaláty z dopravy v sídelných útvaroch sú považované za hlavnú príčinu porúch dychového aparátu a preto zastavenie rastu automobilizácie v mestách priaznivo ovplyvní zdravie obyvateľov.</w:t>
      </w:r>
    </w:p>
    <w:p w:rsidR="00AB0058" w:rsidRPr="00B12FE2" w:rsidRDefault="00AB0058" w:rsidP="0050688B">
      <w:pPr>
        <w:spacing w:before="120" w:after="60"/>
        <w:rPr>
          <w:b/>
        </w:rPr>
      </w:pPr>
      <w:r w:rsidRPr="00B12FE2">
        <w:rPr>
          <w:b/>
        </w:rPr>
        <w:t xml:space="preserve">Sociálne </w:t>
      </w:r>
    </w:p>
    <w:p w:rsidR="00CA40DD" w:rsidRDefault="00AB0058" w:rsidP="00CA40DD">
      <w:pPr>
        <w:pStyle w:val="Default"/>
        <w:spacing w:after="120"/>
        <w:ind w:left="357"/>
        <w:jc w:val="both"/>
        <w:rPr>
          <w:rFonts w:ascii="Times New Roman" w:hAnsi="Times New Roman" w:cs="Times New Roman"/>
        </w:rPr>
      </w:pPr>
      <w:r w:rsidRPr="00AB0058">
        <w:rPr>
          <w:rFonts w:ascii="Times New Roman" w:hAnsi="Times New Roman" w:cs="Times New Roman"/>
        </w:rPr>
        <w:t>Bicykel je vhodným a dostupným dopravným prostriedkom pre všetky sociálne vrstvy a</w:t>
      </w:r>
      <w:r w:rsidR="00F87041">
        <w:rPr>
          <w:rFonts w:ascii="Times New Roman" w:hAnsi="Times New Roman" w:cs="Times New Roman"/>
        </w:rPr>
        <w:t> </w:t>
      </w:r>
      <w:r w:rsidRPr="00AB0058">
        <w:rPr>
          <w:rFonts w:ascii="Times New Roman" w:hAnsi="Times New Roman" w:cs="Times New Roman"/>
        </w:rPr>
        <w:t xml:space="preserve">zároveň vedie k samostatnosti a podporuje nezávislosť detí a mladých ľudí. </w:t>
      </w:r>
      <w:r w:rsidR="0050688B">
        <w:rPr>
          <w:rFonts w:ascii="Times New Roman" w:hAnsi="Times New Roman" w:cs="Times New Roman"/>
        </w:rPr>
        <w:t>Pri návšteve</w:t>
      </w:r>
      <w:r w:rsidRPr="00AB0058">
        <w:rPr>
          <w:rFonts w:ascii="Times New Roman" w:hAnsi="Times New Roman" w:cs="Times New Roman"/>
        </w:rPr>
        <w:t xml:space="preserve"> mest</w:t>
      </w:r>
      <w:r w:rsidR="0050688B">
        <w:rPr>
          <w:rFonts w:ascii="Times New Roman" w:hAnsi="Times New Roman" w:cs="Times New Roman"/>
        </w:rPr>
        <w:t>a</w:t>
      </w:r>
      <w:r w:rsidRPr="00AB0058">
        <w:rPr>
          <w:rFonts w:ascii="Times New Roman" w:hAnsi="Times New Roman" w:cs="Times New Roman"/>
        </w:rPr>
        <w:t xml:space="preserve"> s klímou priateľskou voči cyklistom a s väčším počtom cyklistov v</w:t>
      </w:r>
      <w:r w:rsidR="0050688B">
        <w:rPr>
          <w:rFonts w:ascii="Times New Roman" w:hAnsi="Times New Roman" w:cs="Times New Roman"/>
        </w:rPr>
        <w:t> </w:t>
      </w:r>
      <w:r w:rsidRPr="00AB0058">
        <w:rPr>
          <w:rFonts w:ascii="Times New Roman" w:hAnsi="Times New Roman" w:cs="Times New Roman"/>
        </w:rPr>
        <w:t>uliciach</w:t>
      </w:r>
      <w:r w:rsidR="0050688B">
        <w:rPr>
          <w:rFonts w:ascii="Times New Roman" w:hAnsi="Times New Roman" w:cs="Times New Roman"/>
        </w:rPr>
        <w:t xml:space="preserve"> sa</w:t>
      </w:r>
      <w:r w:rsidRPr="00AB0058">
        <w:rPr>
          <w:rFonts w:ascii="Times New Roman" w:hAnsi="Times New Roman" w:cs="Times New Roman"/>
        </w:rPr>
        <w:t xml:space="preserve"> nedá nevšimnúť si, ako tento fenomén pozitívne vplýva na spoločenstvo a na kvalitu života. Bicyklovanie totiž dáva priestor k väčšej socializácii a</w:t>
      </w:r>
      <w:r w:rsidR="00F87041">
        <w:rPr>
          <w:rFonts w:ascii="Times New Roman" w:hAnsi="Times New Roman" w:cs="Times New Roman"/>
        </w:rPr>
        <w:t> </w:t>
      </w:r>
      <w:r w:rsidRPr="00AB0058">
        <w:rPr>
          <w:rFonts w:ascii="Times New Roman" w:hAnsi="Times New Roman" w:cs="Times New Roman"/>
        </w:rPr>
        <w:t>bližším kontaktom medzi ľuďmi.</w:t>
      </w:r>
    </w:p>
    <w:p w:rsidR="00362FF0" w:rsidRDefault="00CA40DD" w:rsidP="00CA40DD">
      <w:pPr>
        <w:pStyle w:val="Default"/>
        <w:ind w:left="360"/>
        <w:jc w:val="both"/>
        <w:rPr>
          <w:rFonts w:ascii="Times New Roman" w:hAnsi="Times New Roman" w:cs="Times New Roman"/>
        </w:rPr>
      </w:pPr>
      <w:r>
        <w:rPr>
          <w:rFonts w:ascii="Times New Roman" w:hAnsi="Times New Roman" w:cs="Times New Roman"/>
        </w:rPr>
        <w:t>Komplexné zh</w:t>
      </w:r>
      <w:r w:rsidRPr="00CA40DD">
        <w:rPr>
          <w:rFonts w:ascii="Times New Roman" w:hAnsi="Times New Roman" w:cs="Times New Roman"/>
        </w:rPr>
        <w:t>odnotenie silných a slabých stránok, príležitostí a</w:t>
      </w:r>
      <w:r>
        <w:rPr>
          <w:rFonts w:ascii="Times New Roman" w:hAnsi="Times New Roman" w:cs="Times New Roman"/>
        </w:rPr>
        <w:t> </w:t>
      </w:r>
      <w:r w:rsidRPr="00CA40DD">
        <w:rPr>
          <w:rFonts w:ascii="Times New Roman" w:hAnsi="Times New Roman" w:cs="Times New Roman"/>
        </w:rPr>
        <w:t>hrozieb</w:t>
      </w:r>
      <w:r>
        <w:rPr>
          <w:rFonts w:ascii="Times New Roman" w:hAnsi="Times New Roman" w:cs="Times New Roman"/>
        </w:rPr>
        <w:t xml:space="preserve"> cyklistickej dopravy a cykloturistiky je znázornené vo SWOT analýze v časti Príloha 1.</w:t>
      </w:r>
    </w:p>
    <w:p w:rsidR="00CA40DD" w:rsidRDefault="00CA40DD" w:rsidP="00040C75">
      <w:pPr>
        <w:spacing w:before="120" w:after="200" w:line="276" w:lineRule="auto"/>
        <w:jc w:val="left"/>
        <w:rPr>
          <w:b/>
          <w:szCs w:val="24"/>
        </w:rPr>
      </w:pPr>
    </w:p>
    <w:p w:rsidR="00CA40DD" w:rsidRDefault="00CA40DD" w:rsidP="00040C75">
      <w:pPr>
        <w:spacing w:before="120" w:after="200" w:line="276" w:lineRule="auto"/>
        <w:jc w:val="left"/>
        <w:rPr>
          <w:b/>
          <w:szCs w:val="24"/>
        </w:rPr>
      </w:pPr>
    </w:p>
    <w:p w:rsidR="00CA40DD" w:rsidRDefault="00CA40DD" w:rsidP="00040C75">
      <w:pPr>
        <w:spacing w:before="120" w:after="200" w:line="276" w:lineRule="auto"/>
        <w:jc w:val="left"/>
        <w:rPr>
          <w:b/>
          <w:szCs w:val="24"/>
        </w:rPr>
      </w:pPr>
    </w:p>
    <w:p w:rsidR="00CA40DD" w:rsidRPr="00874E24" w:rsidRDefault="00CA40DD" w:rsidP="00040C75">
      <w:pPr>
        <w:spacing w:before="120" w:after="200" w:line="276" w:lineRule="auto"/>
        <w:jc w:val="left"/>
        <w:rPr>
          <w:b/>
          <w:szCs w:val="24"/>
        </w:rPr>
      </w:pPr>
    </w:p>
    <w:p w:rsidR="00CA40DD" w:rsidRDefault="00CA40DD" w:rsidP="007825CC">
      <w:pPr>
        <w:spacing w:after="200" w:line="276" w:lineRule="auto"/>
        <w:jc w:val="center"/>
      </w:pPr>
    </w:p>
    <w:p w:rsidR="00874E24" w:rsidRDefault="00874E24" w:rsidP="007825CC">
      <w:pPr>
        <w:spacing w:after="200" w:line="276" w:lineRule="auto"/>
        <w:jc w:val="center"/>
      </w:pPr>
    </w:p>
    <w:p w:rsidR="00D05752" w:rsidRDefault="00D05752" w:rsidP="007C5285">
      <w:pPr>
        <w:pStyle w:val="Nadpis1"/>
      </w:pPr>
      <w:bookmarkStart w:id="65" w:name="_Toc347840664"/>
      <w:bookmarkStart w:id="66" w:name="_Toc336009822"/>
      <w:bookmarkStart w:id="67" w:name="_Toc336009901"/>
      <w:bookmarkStart w:id="68" w:name="_Toc336009985"/>
      <w:bookmarkStart w:id="69" w:name="_Toc336010338"/>
      <w:bookmarkStart w:id="70" w:name="_Toc336010419"/>
      <w:bookmarkStart w:id="71" w:name="_Toc336009823"/>
      <w:bookmarkStart w:id="72" w:name="_Toc336009902"/>
      <w:bookmarkStart w:id="73" w:name="_Toc336009986"/>
      <w:bookmarkStart w:id="74" w:name="_Toc336010339"/>
      <w:bookmarkStart w:id="75" w:name="_Toc336010420"/>
      <w:bookmarkStart w:id="76" w:name="_Toc336009824"/>
      <w:bookmarkStart w:id="77" w:name="_Toc336009903"/>
      <w:bookmarkStart w:id="78" w:name="_Toc336009987"/>
      <w:bookmarkStart w:id="79" w:name="_Toc336010340"/>
      <w:bookmarkStart w:id="80" w:name="_Toc336010421"/>
      <w:bookmarkStart w:id="81" w:name="_Toc336009825"/>
      <w:bookmarkStart w:id="82" w:name="_Toc336009904"/>
      <w:bookmarkStart w:id="83" w:name="_Toc336009988"/>
      <w:bookmarkStart w:id="84" w:name="_Toc336010341"/>
      <w:bookmarkStart w:id="85" w:name="_Toc336010422"/>
      <w:bookmarkStart w:id="86" w:name="_Toc34792136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lastRenderedPageBreak/>
        <w:t xml:space="preserve">Zhodnotenie súčasného stavu v oblasti </w:t>
      </w:r>
      <w:proofErr w:type="spellStart"/>
      <w:r>
        <w:t>cyklodopravy</w:t>
      </w:r>
      <w:proofErr w:type="spellEnd"/>
      <w:r>
        <w:t xml:space="preserve"> a cykloturistiky</w:t>
      </w:r>
      <w:bookmarkEnd w:id="86"/>
    </w:p>
    <w:p w:rsidR="00426228" w:rsidRDefault="00B92CB9" w:rsidP="00040C75">
      <w:pPr>
        <w:pStyle w:val="Nadpis2"/>
      </w:pPr>
      <w:bookmarkStart w:id="87" w:name="_Toc346612465"/>
      <w:bookmarkStart w:id="88" w:name="_Toc346612727"/>
      <w:bookmarkStart w:id="89" w:name="_Toc346612989"/>
      <w:bookmarkStart w:id="90" w:name="_Toc346613777"/>
      <w:bookmarkStart w:id="91" w:name="_Toc346614039"/>
      <w:bookmarkStart w:id="92" w:name="_Toc346614301"/>
      <w:bookmarkStart w:id="93" w:name="_Toc336004044"/>
      <w:bookmarkStart w:id="94" w:name="_Toc336009339"/>
      <w:bookmarkStart w:id="95" w:name="_Toc336009429"/>
      <w:bookmarkStart w:id="96" w:name="_Toc336009507"/>
      <w:bookmarkStart w:id="97" w:name="_Toc336009589"/>
      <w:bookmarkStart w:id="98" w:name="_Toc336009671"/>
      <w:bookmarkStart w:id="99" w:name="_Toc336009750"/>
      <w:bookmarkStart w:id="100" w:name="_Toc336009829"/>
      <w:bookmarkStart w:id="101" w:name="_Toc336009908"/>
      <w:bookmarkStart w:id="102" w:name="_Toc336009992"/>
      <w:bookmarkStart w:id="103" w:name="_Toc336010345"/>
      <w:bookmarkStart w:id="104" w:name="_Toc336009909"/>
      <w:bookmarkStart w:id="105" w:name="_Toc336009993"/>
      <w:bookmarkStart w:id="106" w:name="_Toc336010346"/>
      <w:bookmarkStart w:id="107" w:name="_Toc346612466"/>
      <w:bookmarkStart w:id="108" w:name="_Toc346612728"/>
      <w:bookmarkStart w:id="109" w:name="_Toc346612990"/>
      <w:bookmarkStart w:id="110" w:name="_Toc346613778"/>
      <w:bookmarkStart w:id="111" w:name="_Toc346614040"/>
      <w:bookmarkStart w:id="112" w:name="_Toc346614302"/>
      <w:bookmarkStart w:id="113" w:name="_Toc34792137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13E3F">
        <w:t>S</w:t>
      </w:r>
      <w:r w:rsidR="00426228" w:rsidRPr="00313E3F">
        <w:t>trategické</w:t>
      </w:r>
      <w:r w:rsidR="00426228" w:rsidRPr="00426228">
        <w:t xml:space="preserve"> dokumenty </w:t>
      </w:r>
      <w:r w:rsidR="00447BF9">
        <w:t>EÚ a SR</w:t>
      </w:r>
      <w:bookmarkEnd w:id="113"/>
    </w:p>
    <w:p w:rsidR="00735A36" w:rsidRPr="00B12FE2" w:rsidRDefault="00735A36" w:rsidP="00735A36">
      <w:pPr>
        <w:pStyle w:val="Odsekzoznamu"/>
        <w:numPr>
          <w:ilvl w:val="0"/>
          <w:numId w:val="7"/>
        </w:numPr>
        <w:rPr>
          <w:b/>
        </w:rPr>
      </w:pPr>
      <w:r w:rsidRPr="00B12FE2">
        <w:rPr>
          <w:b/>
        </w:rPr>
        <w:t>Biela kniha: Plán jednotného európskeho dopravného priestoru</w:t>
      </w:r>
    </w:p>
    <w:p w:rsidR="00735A36" w:rsidRPr="00B12FE2" w:rsidRDefault="00735A36" w:rsidP="00735A36">
      <w:pPr>
        <w:pStyle w:val="Odsekzoznamu"/>
        <w:numPr>
          <w:ilvl w:val="1"/>
          <w:numId w:val="7"/>
        </w:numPr>
        <w:rPr>
          <w:i/>
        </w:rPr>
      </w:pPr>
      <w:r w:rsidRPr="00B12FE2">
        <w:rPr>
          <w:i/>
        </w:rPr>
        <w:t>„Podpora pešej dopravy a cyklistickej dopravy by sa mala stať neoddeliteľnou súčasťou mestskej mobility a plánovania infraštruktúry.“</w:t>
      </w:r>
    </w:p>
    <w:p w:rsidR="00735A36" w:rsidRDefault="00735A36" w:rsidP="00735A36">
      <w:pPr>
        <w:pStyle w:val="Odsekzoznamu"/>
        <w:numPr>
          <w:ilvl w:val="1"/>
          <w:numId w:val="7"/>
        </w:numPr>
      </w:pPr>
      <w:r>
        <w:t>V jej zozname iniciatív pre oblasť bezpečnosti dopravy sú prvoradé úlohy vyplývajúce najmä z cieľa 1.4. – Konať v prospech bezpečnosti dopravy, zachrániť tisícky životov. Tu sa zdôrazňuje potreba venovať osobitnú pozornosť najzraniteľnejším skupinám, ako sú chodci, cyklisti a motocyklisti prostredníctvom bezpečnejšej infraštruktúry a technológie vozidiel.</w:t>
      </w:r>
    </w:p>
    <w:p w:rsidR="00735A36" w:rsidRDefault="00735A36" w:rsidP="00735A36">
      <w:pPr>
        <w:pStyle w:val="Odsekzoznamu"/>
        <w:ind w:left="1440"/>
      </w:pPr>
    </w:p>
    <w:p w:rsidR="00735A36" w:rsidRPr="00B12FE2" w:rsidRDefault="00735A36" w:rsidP="00735A36">
      <w:pPr>
        <w:pStyle w:val="Odsekzoznamu"/>
        <w:numPr>
          <w:ilvl w:val="0"/>
          <w:numId w:val="7"/>
        </w:numPr>
        <w:rPr>
          <w:b/>
        </w:rPr>
      </w:pPr>
      <w:r w:rsidRPr="00B12FE2">
        <w:rPr>
          <w:b/>
        </w:rPr>
        <w:t>Zelená kniha</w:t>
      </w:r>
    </w:p>
    <w:p w:rsidR="00735A36" w:rsidRDefault="00735A36" w:rsidP="00735A36">
      <w:pPr>
        <w:pStyle w:val="Odsekzoznamu"/>
        <w:numPr>
          <w:ilvl w:val="1"/>
          <w:numId w:val="7"/>
        </w:numPr>
      </w:pPr>
      <w:r>
        <w:t>Na ceste k novej kultúre mestskej mobility (2007) a jej Akčný plán (2009). EK tu identifikuje päť výziev, pred ktorými stoja európske mestá a ktorým je potrebné čeliť integrovaným prístupom. Prvá výzva sa týka plynulosti cestnej premávky, kde je možným riešením podpora environmentálne šetrných spôsobov dopravy ako je chôdza, cyklistika a verejná doprava.</w:t>
      </w:r>
    </w:p>
    <w:p w:rsidR="00735A36" w:rsidRPr="00735A36" w:rsidRDefault="00735A36" w:rsidP="00A72979">
      <w:pPr>
        <w:tabs>
          <w:tab w:val="left" w:pos="1134"/>
        </w:tabs>
        <w:spacing w:after="0"/>
      </w:pPr>
    </w:p>
    <w:p w:rsidR="00426228" w:rsidRPr="00B12FE2" w:rsidRDefault="00426228" w:rsidP="00341DE1">
      <w:pPr>
        <w:pStyle w:val="Odsekzoznamu"/>
        <w:numPr>
          <w:ilvl w:val="0"/>
          <w:numId w:val="7"/>
        </w:numPr>
      </w:pPr>
      <w:r w:rsidRPr="00B12FE2">
        <w:rPr>
          <w:b/>
        </w:rPr>
        <w:t>Uznesenie Európskeho parlamentu zo dňa 27.</w:t>
      </w:r>
      <w:r w:rsidR="00DF471A">
        <w:rPr>
          <w:b/>
        </w:rPr>
        <w:t xml:space="preserve"> </w:t>
      </w:r>
      <w:r w:rsidRPr="00B12FE2">
        <w:rPr>
          <w:b/>
        </w:rPr>
        <w:t>septembra 2011 o európskej bezpečnosti cestnej dopravy v rokoch 2011</w:t>
      </w:r>
      <w:r w:rsidR="00E1444C">
        <w:rPr>
          <w:b/>
        </w:rPr>
        <w:t xml:space="preserve"> – </w:t>
      </w:r>
      <w:r w:rsidRPr="00B12FE2">
        <w:rPr>
          <w:b/>
        </w:rPr>
        <w:t>2020 (2010/2235(INI))</w:t>
      </w:r>
    </w:p>
    <w:p w:rsidR="0045451D" w:rsidRPr="00B12FE2" w:rsidRDefault="00426228" w:rsidP="00A72979">
      <w:pPr>
        <w:pStyle w:val="Odsekzoznamu"/>
        <w:numPr>
          <w:ilvl w:val="2"/>
          <w:numId w:val="29"/>
        </w:numPr>
        <w:ind w:left="1418" w:hanging="284"/>
        <w:rPr>
          <w:i/>
        </w:rPr>
      </w:pPr>
      <w:r w:rsidRPr="00B12FE2">
        <w:rPr>
          <w:i/>
        </w:rPr>
        <w:t>„Dôrazne odporúča, aby zodpovedné orgány zaviedli obmedzenie rýchlosti na 30 km/hod. v obytných zónach a na všetkých jednoprúdových cestách v mestách, ktoré nemajú samostatný jazdný pruh pre cyklistov, a to k účinnejšej ochrane zraniteľných účastníkov cestnej premávky</w:t>
      </w:r>
      <w:r w:rsidR="0045451D">
        <w:rPr>
          <w:i/>
        </w:rPr>
        <w:t>.</w:t>
      </w:r>
      <w:r w:rsidR="0045451D" w:rsidRPr="00B12FE2">
        <w:rPr>
          <w:i/>
        </w:rPr>
        <w:t>“</w:t>
      </w:r>
    </w:p>
    <w:p w:rsidR="0045451D" w:rsidRPr="00B12FE2" w:rsidRDefault="0045451D" w:rsidP="00A72979">
      <w:pPr>
        <w:pStyle w:val="Odsekzoznamu"/>
        <w:numPr>
          <w:ilvl w:val="2"/>
          <w:numId w:val="29"/>
        </w:numPr>
        <w:ind w:left="1418" w:hanging="284"/>
        <w:rPr>
          <w:i/>
        </w:rPr>
      </w:pPr>
      <w:r w:rsidRPr="00B12FE2">
        <w:rPr>
          <w:i/>
        </w:rPr>
        <w:t>„</w:t>
      </w:r>
      <w:r w:rsidR="00426228" w:rsidRPr="00B12FE2">
        <w:rPr>
          <w:i/>
        </w:rPr>
        <w:t>Víta skutočnosť, že Komisia zameriava svoju pozornosť na najviac zraniteľné skupiny účastníkov cestnej premávky (užívatelia jednostopových vozidiel, chodci atď.), kde sú počty nehôd stále príliš vysoké; vyzýva členské štáty, Komisiu a priemysel, aby mali pri navrhovaní cestnej infraštruktúry a zariadení pre týchto účastníkov na pamäti to, aby budované cesty boli bezpečné pre všetkých užívateľov; žiada, aby pri projektovaní a údržbe ciest bola väčšia pozornosť venovaná opatreniam v oblasti infraštruktúry na ochranu cyklistov a chodcov, napr. opatrenia na oddelenie dopravy, rozširovanie siete cyklistických komunikácií a bezbariérových prí</w:t>
      </w:r>
      <w:r w:rsidRPr="00B12FE2">
        <w:rPr>
          <w:i/>
        </w:rPr>
        <w:t>stupov a priechodov pre chodcov</w:t>
      </w:r>
      <w:r>
        <w:rPr>
          <w:i/>
        </w:rPr>
        <w:t>.</w:t>
      </w:r>
      <w:r w:rsidRPr="00B12FE2">
        <w:rPr>
          <w:i/>
        </w:rPr>
        <w:t>“</w:t>
      </w:r>
    </w:p>
    <w:p w:rsidR="0045451D" w:rsidRDefault="0045451D" w:rsidP="00A72979">
      <w:pPr>
        <w:pStyle w:val="Odsekzoznamu"/>
        <w:numPr>
          <w:ilvl w:val="2"/>
          <w:numId w:val="29"/>
        </w:numPr>
        <w:ind w:left="1418" w:hanging="284"/>
        <w:rPr>
          <w:i/>
        </w:rPr>
      </w:pPr>
      <w:r w:rsidRPr="00B12FE2">
        <w:rPr>
          <w:i/>
        </w:rPr>
        <w:t>„</w:t>
      </w:r>
      <w:r w:rsidR="00426228" w:rsidRPr="00B12FE2">
        <w:rPr>
          <w:i/>
        </w:rPr>
        <w:t>Vyzýva Komisiu a členské štáty, aby podporovali cyklistiku a pešiu turistiku ako samostatný druh dopravy a neoddeliteľnú súčasť všetkých dopravných systémov.</w:t>
      </w:r>
      <w:r w:rsidRPr="00B12FE2">
        <w:rPr>
          <w:i/>
        </w:rPr>
        <w:t>“</w:t>
      </w:r>
    </w:p>
    <w:p w:rsidR="00735A36" w:rsidRPr="00B12FE2" w:rsidRDefault="00735A36" w:rsidP="00735A36">
      <w:pPr>
        <w:pStyle w:val="Odsekzoznamu"/>
        <w:ind w:left="2160"/>
        <w:rPr>
          <w:i/>
        </w:rPr>
      </w:pPr>
    </w:p>
    <w:p w:rsidR="00426228" w:rsidRDefault="00426228" w:rsidP="00EF4747">
      <w:pPr>
        <w:pStyle w:val="Odsekzoznamu"/>
        <w:numPr>
          <w:ilvl w:val="0"/>
          <w:numId w:val="35"/>
        </w:numPr>
        <w:ind w:left="709"/>
      </w:pPr>
      <w:r w:rsidRPr="00EF4747">
        <w:rPr>
          <w:b/>
        </w:rPr>
        <w:t>Usmernenie EÚ o fyzickej aktivite (október 2008)</w:t>
      </w:r>
      <w:r w:rsidR="00A14CC7">
        <w:t xml:space="preserve"> je d</w:t>
      </w:r>
      <w:r>
        <w:t>okument vyzývajúci k zvýšeniu fyzickej aktivity medzi deťmi, mládežou</w:t>
      </w:r>
      <w:r w:rsidR="00A14CC7">
        <w:t>,</w:t>
      </w:r>
      <w:r>
        <w:t xml:space="preserve"> ale aj dospelými, z dôvodu narastajúceho trendu sedavého</w:t>
      </w:r>
      <w:r w:rsidR="00A14CC7">
        <w:t>,</w:t>
      </w:r>
      <w:r>
        <w:t xml:space="preserve"> fyzicky nečinného spôsobu trávenia pracovného aj voľn</w:t>
      </w:r>
      <w:r w:rsidR="00A14CC7">
        <w:t xml:space="preserve">ého </w:t>
      </w:r>
      <w:r>
        <w:t>čas</w:t>
      </w:r>
      <w:r w:rsidR="00A14CC7">
        <w:t>u</w:t>
      </w:r>
      <w:r>
        <w:t xml:space="preserve">. </w:t>
      </w:r>
      <w:r w:rsidRPr="004C5E4F">
        <w:t xml:space="preserve">Podpora aktívnej cyklistickej dopravy má významný podiel na napĺňaní Politickej deklarácie stretnutia valného zhromaždenia OSN k chronickým neinfekčným ochoreniam a Akčného plánu Európskeho úradu </w:t>
      </w:r>
      <w:r w:rsidR="00423E31">
        <w:t>Svetovej zdravotn</w:t>
      </w:r>
      <w:r w:rsidR="000A37C3">
        <w:t>ícke</w:t>
      </w:r>
      <w:r w:rsidR="00423E31">
        <w:t>j organizácie</w:t>
      </w:r>
      <w:r w:rsidRPr="004C5E4F">
        <w:t xml:space="preserve"> k implementácii Európskej stratégie pre prevenciu a kontrolu neinfekčných ochorení na roky 2012</w:t>
      </w:r>
      <w:r w:rsidR="00632028" w:rsidRPr="004C5E4F">
        <w:t xml:space="preserve"> – </w:t>
      </w:r>
      <w:r w:rsidRPr="004C5E4F">
        <w:t>2016.</w:t>
      </w:r>
    </w:p>
    <w:p w:rsidR="00CF2C95" w:rsidRPr="004C5E4F" w:rsidRDefault="00CF2C95" w:rsidP="004C5E4F">
      <w:pPr>
        <w:pStyle w:val="Nadpis4"/>
        <w:numPr>
          <w:ilvl w:val="0"/>
          <w:numId w:val="0"/>
        </w:numPr>
        <w:spacing w:after="240"/>
        <w:ind w:left="862" w:hanging="862"/>
      </w:pPr>
      <w:r w:rsidRPr="004C5E4F">
        <w:lastRenderedPageBreak/>
        <w:t>Dokumenty dotýkajúce sa cyklistickej dopravy v</w:t>
      </w:r>
      <w:r w:rsidR="004C5E4F">
        <w:t> </w:t>
      </w:r>
      <w:r w:rsidRPr="004C5E4F">
        <w:t>SR</w:t>
      </w:r>
    </w:p>
    <w:p w:rsidR="00426228" w:rsidRDefault="00617F2B" w:rsidP="001A0961">
      <w:pPr>
        <w:spacing w:after="240"/>
      </w:pPr>
      <w:r>
        <w:t>Aj n</w:t>
      </w:r>
      <w:r w:rsidR="00426228">
        <w:t xml:space="preserve">a Slovensku </w:t>
      </w:r>
      <w:r w:rsidR="002D23BC">
        <w:t>sú</w:t>
      </w:r>
      <w:r>
        <w:t xml:space="preserve"> </w:t>
      </w:r>
      <w:r w:rsidR="00426228">
        <w:t xml:space="preserve">významné strategické dokumenty, ktoré sa </w:t>
      </w:r>
      <w:r>
        <w:t>dotýkajú</w:t>
      </w:r>
      <w:r w:rsidR="00043181">
        <w:t xml:space="preserve"> </w:t>
      </w:r>
      <w:r w:rsidR="00426228">
        <w:t>cyklistick</w:t>
      </w:r>
      <w:r w:rsidR="00043181">
        <w:t>ej</w:t>
      </w:r>
      <w:r w:rsidR="00426228">
        <w:t xml:space="preserve"> doprav</w:t>
      </w:r>
      <w:r>
        <w:t>y</w:t>
      </w:r>
      <w:r w:rsidR="00426228">
        <w:t>.</w:t>
      </w:r>
      <w:r>
        <w:t xml:space="preserve"> </w:t>
      </w:r>
      <w:r w:rsidR="00426228">
        <w:t xml:space="preserve">Ide o </w:t>
      </w:r>
      <w:r w:rsidR="00426228" w:rsidRPr="00F47B38">
        <w:t>Dopravnú politiku SR do roku 2015 a Stratégiu zvýšenia bezpečnosti cestnej premávky v Slovenskej republike pre roky 2011 až 2020</w:t>
      </w:r>
      <w:r w:rsidR="00426228">
        <w:t xml:space="preserve"> (Národný plán SR pre BECEP 2011 – 2020). </w:t>
      </w:r>
    </w:p>
    <w:p w:rsidR="00617F2B" w:rsidRDefault="00426228" w:rsidP="00EF4747">
      <w:pPr>
        <w:pStyle w:val="Odsekzoznamu"/>
        <w:numPr>
          <w:ilvl w:val="0"/>
          <w:numId w:val="35"/>
        </w:numPr>
      </w:pPr>
      <w:r w:rsidRPr="00EF4747">
        <w:rPr>
          <w:b/>
        </w:rPr>
        <w:t>Dopravná politika SR do roku 2015</w:t>
      </w:r>
      <w:r>
        <w:t xml:space="preserve"> obsahuje 2 špecifické ciele a 6 priorít, ktoré sa dotýkajú rozvoja a podpory cyklistickej dopravy</w:t>
      </w:r>
      <w:r w:rsidR="009A2730">
        <w:t>,</w:t>
      </w:r>
      <w:r>
        <w:t xml:space="preserve"> predovšetkým zabezpečeniu modernizácie a rozvoja infraštruktúry pre cyklistickú dopravu a znižovani</w:t>
      </w:r>
      <w:r w:rsidR="00860A62">
        <w:t>u</w:t>
      </w:r>
      <w:r>
        <w:t xml:space="preserve"> negatívnych dopadov dopravy na životné prostredie. </w:t>
      </w:r>
      <w:r w:rsidR="009A2730">
        <w:t>Konštatuje</w:t>
      </w:r>
      <w:r w:rsidR="00FE2D01">
        <w:t xml:space="preserve"> sa v nej</w:t>
      </w:r>
      <w:r w:rsidR="009A2730">
        <w:t xml:space="preserve">, že </w:t>
      </w:r>
      <w:r w:rsidR="002D23BC">
        <w:t>„</w:t>
      </w:r>
      <w:r w:rsidR="009A2730">
        <w:t>h</w:t>
      </w:r>
      <w:r w:rsidR="002D23BC">
        <w:t>lavným predpokladaným prínosom rozvoja infraštruktúry pre nemotorovú dopravu (peší pohyb, cyklistická doprava a pod.) je podstatný presun časti prepravných potrieb v osobnej doprave v rámci miest a obcí z individuálnej automobilovej dopravy do ekologicky čistej a ekonomicky efektívnej nemotorovej dopravy.“</w:t>
      </w:r>
    </w:p>
    <w:p w:rsidR="00426228" w:rsidRDefault="00FE2D01" w:rsidP="00EF4747">
      <w:pPr>
        <w:spacing w:after="240"/>
        <w:ind w:left="709"/>
      </w:pPr>
      <w:r>
        <w:t xml:space="preserve">Už v roku 2005 bolo v </w:t>
      </w:r>
      <w:r w:rsidR="00617F2B">
        <w:t>Dopravn</w:t>
      </w:r>
      <w:r>
        <w:t>ej</w:t>
      </w:r>
      <w:r w:rsidR="00617F2B">
        <w:t xml:space="preserve"> politik</w:t>
      </w:r>
      <w:r>
        <w:t>e</w:t>
      </w:r>
      <w:r w:rsidR="00617F2B">
        <w:t xml:space="preserve"> SR do r</w:t>
      </w:r>
      <w:r w:rsidR="009A2730">
        <w:t>oku</w:t>
      </w:r>
      <w:r w:rsidR="00617F2B">
        <w:t xml:space="preserve"> 2015 </w:t>
      </w:r>
      <w:r>
        <w:t>konštatované</w:t>
      </w:r>
      <w:r w:rsidR="00892ACF">
        <w:t xml:space="preserve">, že </w:t>
      </w:r>
      <w:r w:rsidR="00727393">
        <w:t>„</w:t>
      </w:r>
      <w:r w:rsidR="00892ACF">
        <w:t>s</w:t>
      </w:r>
      <w:r w:rsidR="00426228">
        <w:t xml:space="preserve">účasný stav infraštruktúry pre nemotorovú dopravu možno hodnotiť ako nevyhovujúci, pričom jej najväčším nedostatkom je neucelená sieť komunikácií pre nemotorovú dopravu s množstvom lokálnych diskontinuít, nekvalitná stavebná úprava, </w:t>
      </w:r>
      <w:r w:rsidR="0047742B">
        <w:t xml:space="preserve">nedostatočná </w:t>
      </w:r>
      <w:r w:rsidR="00426228">
        <w:t>nadväznosť na sieť hromadnej dopravy a nízka úroveň bezpečnosti chodcov a cyklistov.</w:t>
      </w:r>
      <w:r w:rsidR="00727393">
        <w:t>“</w:t>
      </w:r>
      <w:r w:rsidR="00043181">
        <w:t xml:space="preserve"> </w:t>
      </w:r>
      <w:r w:rsidR="00727393">
        <w:t>V </w:t>
      </w:r>
      <w:r>
        <w:t>súčasnosti</w:t>
      </w:r>
      <w:r w:rsidR="00727393">
        <w:t xml:space="preserve"> </w:t>
      </w:r>
      <w:r w:rsidR="00082DC9">
        <w:t>je možné</w:t>
      </w:r>
      <w:r w:rsidR="00727393">
        <w:t xml:space="preserve"> </w:t>
      </w:r>
      <w:r w:rsidR="00892ACF">
        <w:t xml:space="preserve">konštatovať, že sa dosiahlo minimálne zlepšenie, aj to iba vďaka entuziazmu a nasadeniu zanietených jednotlivcov, </w:t>
      </w:r>
      <w:r w:rsidR="00727393">
        <w:t>záujmových združení a mimovládnych organizácií</w:t>
      </w:r>
      <w:r w:rsidR="00892ACF">
        <w:t>. Dosiahnuť zásadnejšie zlepšenie je možné iba s aktívnou pomocou štátu a samospráv.</w:t>
      </w:r>
    </w:p>
    <w:p w:rsidR="00EF4747" w:rsidRDefault="00426228" w:rsidP="000D575F">
      <w:pPr>
        <w:pStyle w:val="Odsekzoznamu"/>
        <w:numPr>
          <w:ilvl w:val="0"/>
          <w:numId w:val="38"/>
        </w:numPr>
        <w:spacing w:before="120"/>
        <w:ind w:left="714" w:hanging="357"/>
      </w:pPr>
      <w:r w:rsidRPr="00EF4747">
        <w:rPr>
          <w:b/>
        </w:rPr>
        <w:t>Stratégia zvýšenia bezpečnosti cestnej premávky v Slovenskej republike pre roky 2011 až 2020</w:t>
      </w:r>
      <w:r>
        <w:t xml:space="preserve"> obsahuje 1 cieľ a 1 oblasť, ktoré sa priamo dotýkajú cyklistov a podpory cyklistickej dopravy. Ide o rámcový “Cieľ C</w:t>
      </w:r>
      <w:r w:rsidR="0070120C">
        <w:t xml:space="preserve"> –</w:t>
      </w:r>
      <w:r>
        <w:t xml:space="preserve"> Zníženie dopravnej nehodovosti u zraniteľných účastníkov cestnej premávky” a jeho oblasť “C2 – Zvýšenie úrovne bezpečnosti cyklistov”. Konkrétne opatrenia sú nasledovné:</w:t>
      </w:r>
    </w:p>
    <w:p w:rsidR="000D575F" w:rsidRPr="000D575F" w:rsidRDefault="000D575F" w:rsidP="000D575F">
      <w:pPr>
        <w:pStyle w:val="Odsekzoznamu"/>
        <w:spacing w:before="120"/>
        <w:ind w:left="714"/>
        <w:rPr>
          <w:sz w:val="12"/>
          <w:szCs w:val="4"/>
        </w:rPr>
      </w:pPr>
    </w:p>
    <w:p w:rsidR="00426228" w:rsidRDefault="00426228" w:rsidP="00EF4747">
      <w:pPr>
        <w:pStyle w:val="Odsekzoznamu"/>
        <w:numPr>
          <w:ilvl w:val="0"/>
          <w:numId w:val="36"/>
        </w:numPr>
        <w:spacing w:before="120" w:after="0"/>
        <w:ind w:left="1418" w:hanging="425"/>
      </w:pPr>
      <w:r>
        <w:t>Zadefinovanie kritérií a technických požiadaviek pre bezpečný pohyb cyklistov po pozemných komunikáciách (metodika na základe reálneho správania sa cyklistov)</w:t>
      </w:r>
      <w:r w:rsidR="000009AA">
        <w:t>.</w:t>
      </w:r>
    </w:p>
    <w:p w:rsidR="00426228" w:rsidRDefault="00426228" w:rsidP="00EF4747">
      <w:pPr>
        <w:pStyle w:val="Odsekzoznamu"/>
        <w:numPr>
          <w:ilvl w:val="0"/>
          <w:numId w:val="36"/>
        </w:numPr>
        <w:spacing w:before="120" w:after="0"/>
        <w:ind w:left="1418" w:hanging="425"/>
      </w:pPr>
      <w:r>
        <w:t>Podpora vytvárania cyklistických ciest v obciach a</w:t>
      </w:r>
      <w:r w:rsidR="000009AA">
        <w:t> </w:t>
      </w:r>
      <w:r>
        <w:t>mestách</w:t>
      </w:r>
      <w:r w:rsidR="000009AA">
        <w:t>.</w:t>
      </w:r>
    </w:p>
    <w:p w:rsidR="00426228" w:rsidRDefault="00426228" w:rsidP="00EF4747">
      <w:pPr>
        <w:pStyle w:val="Odsekzoznamu"/>
        <w:numPr>
          <w:ilvl w:val="0"/>
          <w:numId w:val="36"/>
        </w:numPr>
        <w:spacing w:before="120" w:after="0"/>
        <w:ind w:left="1418" w:hanging="425"/>
      </w:pPr>
      <w:r>
        <w:t>Podpora bezpečnej cyklistiky digitalizáciou informácií pre cyklistov</w:t>
      </w:r>
      <w:r w:rsidR="00860A62">
        <w:t xml:space="preserve"> - </w:t>
      </w:r>
      <w:r>
        <w:t>vytvorenie digitálnej mapy (GIS) siete komunikácií pre cyklistov</w:t>
      </w:r>
      <w:r w:rsidR="000009AA">
        <w:t>.</w:t>
      </w:r>
    </w:p>
    <w:p w:rsidR="00426228" w:rsidRDefault="00426228" w:rsidP="00EF4747">
      <w:pPr>
        <w:pStyle w:val="Odsekzoznamu"/>
        <w:numPr>
          <w:ilvl w:val="0"/>
          <w:numId w:val="36"/>
        </w:numPr>
        <w:spacing w:before="120" w:after="0"/>
        <w:ind w:left="1418" w:hanging="425"/>
      </w:pPr>
      <w:r>
        <w:t>Kampane a výchovné opatrenia zamerané na používanie cyklistických prílb a</w:t>
      </w:r>
      <w:r w:rsidR="00632028">
        <w:t> </w:t>
      </w:r>
      <w:r>
        <w:t>reflexných prvkov za zníženej viditeľnosti</w:t>
      </w:r>
      <w:r w:rsidR="000009AA">
        <w:t>.</w:t>
      </w:r>
    </w:p>
    <w:p w:rsidR="00426228" w:rsidRDefault="00426228" w:rsidP="00EF4747">
      <w:pPr>
        <w:pStyle w:val="Odsekzoznamu"/>
        <w:numPr>
          <w:ilvl w:val="0"/>
          <w:numId w:val="36"/>
        </w:numPr>
        <w:spacing w:before="120" w:after="0"/>
        <w:ind w:left="1418" w:hanging="425"/>
      </w:pPr>
      <w:r>
        <w:t>Vykonávanie účinného dohľadu nad dodržiavaním legislatívnych nariadení a</w:t>
      </w:r>
      <w:r w:rsidR="00632028">
        <w:t> </w:t>
      </w:r>
      <w:r>
        <w:t>obmedzení pri pohybe cyklistov</w:t>
      </w:r>
      <w:r w:rsidR="000009AA">
        <w:t>.</w:t>
      </w:r>
    </w:p>
    <w:p w:rsidR="00EF4747" w:rsidRDefault="00EF4747" w:rsidP="00EF4747">
      <w:pPr>
        <w:pStyle w:val="Odsekzoznamu"/>
        <w:spacing w:after="360"/>
      </w:pPr>
    </w:p>
    <w:p w:rsidR="00447BF9" w:rsidRDefault="00426228" w:rsidP="00EF4747">
      <w:pPr>
        <w:pStyle w:val="Odsekzoznamu"/>
        <w:numPr>
          <w:ilvl w:val="0"/>
          <w:numId w:val="37"/>
        </w:numPr>
      </w:pPr>
      <w:r w:rsidRPr="00EF4747">
        <w:rPr>
          <w:b/>
        </w:rPr>
        <w:t>Programové vyhlásenie vlády na roky 2012 až 2016</w:t>
      </w:r>
      <w:r>
        <w:t xml:space="preserve"> hovorí o záväzku vlády „...podporovať rozvoj nemotorovej, predovšetkým cyklistickej dopravy.“</w:t>
      </w:r>
    </w:p>
    <w:p w:rsidR="00447BF9" w:rsidRDefault="00447BF9">
      <w:pPr>
        <w:spacing w:after="200" w:line="276" w:lineRule="auto"/>
        <w:jc w:val="left"/>
      </w:pPr>
      <w:r>
        <w:br w:type="page"/>
      </w:r>
    </w:p>
    <w:p w:rsidR="00815C05" w:rsidRDefault="00815C05" w:rsidP="00040C75">
      <w:pPr>
        <w:pStyle w:val="Nadpis2"/>
      </w:pPr>
      <w:bookmarkStart w:id="114" w:name="_Toc346611945"/>
      <w:bookmarkStart w:id="115" w:name="_Toc346612206"/>
      <w:bookmarkStart w:id="116" w:name="_Toc346612468"/>
      <w:bookmarkStart w:id="117" w:name="_Toc346612730"/>
      <w:bookmarkStart w:id="118" w:name="_Toc346612992"/>
      <w:bookmarkStart w:id="119" w:name="_Toc346613780"/>
      <w:bookmarkStart w:id="120" w:name="_Toc346614042"/>
      <w:bookmarkStart w:id="121" w:name="_Toc346614304"/>
      <w:bookmarkStart w:id="122" w:name="_Toc346611946"/>
      <w:bookmarkStart w:id="123" w:name="_Toc346612207"/>
      <w:bookmarkStart w:id="124" w:name="_Toc346612469"/>
      <w:bookmarkStart w:id="125" w:name="_Toc346612731"/>
      <w:bookmarkStart w:id="126" w:name="_Toc346612993"/>
      <w:bookmarkStart w:id="127" w:name="_Toc346613781"/>
      <w:bookmarkStart w:id="128" w:name="_Toc346614043"/>
      <w:bookmarkStart w:id="129" w:name="_Toc346614305"/>
      <w:bookmarkStart w:id="130" w:name="_Toc34792137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lastRenderedPageBreak/>
        <w:t>Legislatíva, technické normy a technické podmienky</w:t>
      </w:r>
      <w:bookmarkEnd w:id="130"/>
    </w:p>
    <w:p w:rsidR="00815C05" w:rsidRDefault="00815C05" w:rsidP="004F7256">
      <w:pPr>
        <w:rPr>
          <w:rFonts w:cs="Times New Roman"/>
        </w:rPr>
      </w:pPr>
      <w:r w:rsidRPr="00685584">
        <w:t xml:space="preserve">Národná legislatíva týkajúca sa cyklistickej dopravy a cykloturistiky by mala poskytovať rámec, ktorý umožní a uľahčí </w:t>
      </w:r>
      <w:r w:rsidR="004F7256">
        <w:t xml:space="preserve">ich </w:t>
      </w:r>
      <w:r w:rsidRPr="00685584">
        <w:t>podporu a</w:t>
      </w:r>
      <w:r w:rsidR="00DF471A">
        <w:t xml:space="preserve"> rozvoj </w:t>
      </w:r>
      <w:r w:rsidRPr="00685584">
        <w:t xml:space="preserve">na všetkých úrovniach a vo všetkých aspektoch. </w:t>
      </w:r>
      <w:r w:rsidR="00F75D23">
        <w:t xml:space="preserve">Hoci zlepšenie bude potrebné aj na poli legislatívy, </w:t>
      </w:r>
      <w:r w:rsidR="004C5E4F">
        <w:t xml:space="preserve">už súčasné znenia zákonov i ďalších noriem základné predpoklady </w:t>
      </w:r>
      <w:r w:rsidR="00D364BD">
        <w:t xml:space="preserve">cyklistickej dopravy a cykloturistiky </w:t>
      </w:r>
      <w:r w:rsidR="00F75D23">
        <w:t>vytvárajú</w:t>
      </w:r>
      <w:r w:rsidR="00D364BD">
        <w:t>.</w:t>
      </w:r>
    </w:p>
    <w:p w:rsidR="00815C05" w:rsidRPr="00685584" w:rsidRDefault="00815C05" w:rsidP="00815C05">
      <w:pPr>
        <w:rPr>
          <w:rFonts w:cs="Times New Roman"/>
        </w:rPr>
      </w:pPr>
      <w:r>
        <w:t xml:space="preserve">Medzi </w:t>
      </w:r>
      <w:r w:rsidR="00354BC8">
        <w:t>právne predpisy</w:t>
      </w:r>
      <w:r>
        <w:t xml:space="preserve">, ktoré sa dotýkajú </w:t>
      </w:r>
      <w:proofErr w:type="spellStart"/>
      <w:r>
        <w:t>cyklodopravy</w:t>
      </w:r>
      <w:proofErr w:type="spellEnd"/>
      <w:r>
        <w:t xml:space="preserve"> a cykloturistiky patria najmä:</w:t>
      </w:r>
    </w:p>
    <w:p w:rsidR="00815C05" w:rsidRPr="008809BE" w:rsidRDefault="00815C05" w:rsidP="00F75D23">
      <w:pPr>
        <w:pStyle w:val="Odsekzoznamu"/>
        <w:numPr>
          <w:ilvl w:val="0"/>
          <w:numId w:val="1"/>
        </w:numPr>
        <w:contextualSpacing w:val="0"/>
        <w:rPr>
          <w:rFonts w:cs="Times New Roman"/>
          <w:szCs w:val="24"/>
        </w:rPr>
      </w:pPr>
      <w:r w:rsidRPr="008809BE">
        <w:rPr>
          <w:rFonts w:cs="Times New Roman"/>
          <w:b/>
          <w:szCs w:val="24"/>
        </w:rPr>
        <w:t>Zákon č. 135/1961 Zb. - Zákon o pozemných komunikáciách (</w:t>
      </w:r>
      <w:r w:rsidR="0004504D" w:rsidRPr="008809BE">
        <w:rPr>
          <w:rFonts w:cs="Times New Roman"/>
          <w:b/>
          <w:szCs w:val="24"/>
        </w:rPr>
        <w:t xml:space="preserve">cestný </w:t>
      </w:r>
      <w:r w:rsidRPr="008809BE">
        <w:rPr>
          <w:rFonts w:cs="Times New Roman"/>
          <w:b/>
          <w:szCs w:val="24"/>
        </w:rPr>
        <w:t>zákon</w:t>
      </w:r>
      <w:r w:rsidRPr="008809BE">
        <w:rPr>
          <w:rFonts w:cs="Times New Roman"/>
          <w:szCs w:val="24"/>
        </w:rPr>
        <w:t>)</w:t>
      </w:r>
      <w:r w:rsidR="00390DAE" w:rsidRPr="008809BE">
        <w:rPr>
          <w:rFonts w:cs="Times New Roman"/>
          <w:szCs w:val="24"/>
        </w:rPr>
        <w:t xml:space="preserve"> </w:t>
      </w:r>
      <w:r w:rsidR="00390DAE" w:rsidRPr="008809BE">
        <w:rPr>
          <w:rFonts w:cs="Times New Roman"/>
          <w:b/>
          <w:szCs w:val="24"/>
        </w:rPr>
        <w:t>v znení neskorších predpisov</w:t>
      </w:r>
      <w:r w:rsidRPr="008809BE">
        <w:rPr>
          <w:rFonts w:cs="Times New Roman"/>
          <w:szCs w:val="24"/>
        </w:rPr>
        <w:t>:</w:t>
      </w:r>
      <w:r w:rsidR="008809BE" w:rsidRPr="008809BE">
        <w:rPr>
          <w:rFonts w:cs="Times New Roman"/>
          <w:szCs w:val="24"/>
        </w:rPr>
        <w:t xml:space="preserve"> </w:t>
      </w:r>
      <w:r w:rsidR="00F75D23" w:rsidRPr="008809BE">
        <w:rPr>
          <w:rFonts w:cs="Times New Roman"/>
          <w:szCs w:val="24"/>
        </w:rPr>
        <w:t>D</w:t>
      </w:r>
      <w:r w:rsidRPr="008809BE">
        <w:rPr>
          <w:rFonts w:cs="Times New Roman"/>
          <w:szCs w:val="24"/>
        </w:rPr>
        <w:t>efinuje jednotlivé kategórie cestných komunikácií vrátane miestnych komunikácií, pričom cyklistické komunikácie sú nemotoristické miestne komunikácie</w:t>
      </w:r>
      <w:r w:rsidR="00133843" w:rsidRPr="008809BE">
        <w:rPr>
          <w:rFonts w:cs="Times New Roman"/>
          <w:szCs w:val="24"/>
        </w:rPr>
        <w:t xml:space="preserve"> v súlade s STN 73 6110</w:t>
      </w:r>
      <w:r w:rsidRPr="008809BE">
        <w:rPr>
          <w:rFonts w:cs="Times New Roman"/>
          <w:szCs w:val="24"/>
        </w:rPr>
        <w:t xml:space="preserve">. </w:t>
      </w:r>
    </w:p>
    <w:p w:rsidR="00815C05" w:rsidRPr="00F75D23" w:rsidRDefault="00815C05" w:rsidP="00F75D23">
      <w:pPr>
        <w:pStyle w:val="Odsekzoznamu"/>
        <w:numPr>
          <w:ilvl w:val="0"/>
          <w:numId w:val="1"/>
        </w:numPr>
        <w:ind w:left="714" w:hanging="357"/>
        <w:contextualSpacing w:val="0"/>
        <w:rPr>
          <w:rFonts w:cs="Times New Roman"/>
          <w:szCs w:val="24"/>
        </w:rPr>
      </w:pPr>
      <w:r w:rsidRPr="00F75D23">
        <w:rPr>
          <w:rFonts w:cs="Times New Roman"/>
          <w:b/>
          <w:szCs w:val="24"/>
        </w:rPr>
        <w:t>Zákon č. 8/2009 Z. z. o cestnej premávke a o zmene a doplnení niektorých zákonov</w:t>
      </w:r>
      <w:r w:rsidR="00390DAE">
        <w:rPr>
          <w:rFonts w:cs="Times New Roman"/>
          <w:b/>
          <w:szCs w:val="24"/>
        </w:rPr>
        <w:t xml:space="preserve"> v znení neskorších predpisov</w:t>
      </w:r>
      <w:r w:rsidRPr="00F75D23">
        <w:rPr>
          <w:rFonts w:cs="Times New Roman"/>
          <w:b/>
          <w:szCs w:val="24"/>
        </w:rPr>
        <w:t xml:space="preserve">: </w:t>
      </w:r>
      <w:r w:rsidRPr="00F75D23">
        <w:rPr>
          <w:rFonts w:cs="Times New Roman"/>
          <w:szCs w:val="24"/>
        </w:rPr>
        <w:t xml:space="preserve">Zákon a jeho vyhláška popisujú organizáciu dopravy a dopravné predpisy </w:t>
      </w:r>
      <w:r w:rsidR="00FE6C6F" w:rsidRPr="00F75D23">
        <w:rPr>
          <w:rFonts w:cs="Times New Roman"/>
          <w:szCs w:val="24"/>
        </w:rPr>
        <w:t xml:space="preserve">pre </w:t>
      </w:r>
      <w:r w:rsidRPr="00F75D23">
        <w:rPr>
          <w:rFonts w:cs="Times New Roman"/>
          <w:szCs w:val="24"/>
        </w:rPr>
        <w:t>všetkých účastníkov cestnej premávky. Tento zákon bol v </w:t>
      </w:r>
      <w:r w:rsidR="00FE6C6F" w:rsidRPr="00F75D23">
        <w:rPr>
          <w:rFonts w:cs="Times New Roman"/>
          <w:szCs w:val="24"/>
        </w:rPr>
        <w:t>ostatných</w:t>
      </w:r>
      <w:r w:rsidRPr="00F75D23">
        <w:rPr>
          <w:rFonts w:cs="Times New Roman"/>
          <w:szCs w:val="24"/>
        </w:rPr>
        <w:t xml:space="preserve"> rokoch viackrát novelizovaný.</w:t>
      </w:r>
    </w:p>
    <w:p w:rsidR="00815C05" w:rsidRPr="00CA1548" w:rsidRDefault="00815C05" w:rsidP="00815C05">
      <w:pPr>
        <w:pStyle w:val="Odsekzoznamu"/>
        <w:numPr>
          <w:ilvl w:val="0"/>
          <w:numId w:val="1"/>
        </w:numPr>
        <w:rPr>
          <w:rFonts w:cs="Times New Roman"/>
          <w:i/>
          <w:szCs w:val="24"/>
        </w:rPr>
      </w:pPr>
      <w:r w:rsidRPr="0063571D">
        <w:rPr>
          <w:rFonts w:cs="Times New Roman"/>
          <w:b/>
          <w:szCs w:val="24"/>
        </w:rPr>
        <w:t>Vyhláška Ministerstva vnútra Slovenskej republiky č. 9/2009 Z. </w:t>
      </w:r>
      <w:r w:rsidRPr="00CA1548">
        <w:rPr>
          <w:rFonts w:cs="Times New Roman"/>
          <w:b/>
          <w:szCs w:val="24"/>
        </w:rPr>
        <w:t>z., ktorou sa vykonáva zákon o cestnej premávke a o zmene a doplnení niektorých zákonov</w:t>
      </w:r>
      <w:r w:rsidR="00390DAE">
        <w:rPr>
          <w:rFonts w:cs="Times New Roman"/>
          <w:b/>
          <w:szCs w:val="24"/>
        </w:rPr>
        <w:t xml:space="preserve"> v znení neskorších predpisov</w:t>
      </w:r>
      <w:r w:rsidRPr="00CA1548">
        <w:rPr>
          <w:rFonts w:cs="Times New Roman"/>
          <w:b/>
          <w:szCs w:val="24"/>
        </w:rPr>
        <w:t>:</w:t>
      </w:r>
      <w:r>
        <w:rPr>
          <w:rFonts w:cs="Times New Roman"/>
          <w:b/>
          <w:szCs w:val="24"/>
        </w:rPr>
        <w:t xml:space="preserve"> </w:t>
      </w:r>
      <w:r>
        <w:rPr>
          <w:rFonts w:cs="Times New Roman"/>
          <w:szCs w:val="24"/>
        </w:rPr>
        <w:t>V</w:t>
      </w:r>
      <w:r w:rsidRPr="0063571D">
        <w:rPr>
          <w:rFonts w:cs="Times New Roman"/>
          <w:szCs w:val="24"/>
        </w:rPr>
        <w:t>yhláška bola naposledy zmenená novelou 361/2011 Z. z., ktorá nadobudla</w:t>
      </w:r>
      <w:r w:rsidRPr="00CA1548">
        <w:rPr>
          <w:rFonts w:cs="Times New Roman"/>
          <w:szCs w:val="24"/>
        </w:rPr>
        <w:t xml:space="preserve"> účinnosť 1. novembra 2011. Hlavne táto posledná zmena priniesla pre Slovenskú republiku nové prvky v organizácii cyklistickej dopravy</w:t>
      </w:r>
      <w:r w:rsidR="00903825">
        <w:rPr>
          <w:rFonts w:cs="Times New Roman"/>
          <w:szCs w:val="24"/>
        </w:rPr>
        <w:t xml:space="preserve"> (predovšetkým v oblasti cyklistického dopravného značenia)</w:t>
      </w:r>
      <w:r w:rsidRPr="00CA1548">
        <w:rPr>
          <w:rFonts w:cs="Times New Roman"/>
          <w:szCs w:val="24"/>
        </w:rPr>
        <w:t>.</w:t>
      </w:r>
      <w:r w:rsidRPr="00CA1548">
        <w:rPr>
          <w:rFonts w:cs="Times New Roman"/>
          <w:i/>
          <w:szCs w:val="24"/>
        </w:rPr>
        <w:t xml:space="preserve"> </w:t>
      </w:r>
    </w:p>
    <w:p w:rsidR="00815C05" w:rsidRPr="00685584" w:rsidRDefault="00815C05" w:rsidP="00815C05">
      <w:pPr>
        <w:pStyle w:val="Odsekzoznamu"/>
        <w:rPr>
          <w:rFonts w:cs="Times New Roman"/>
          <w:i/>
          <w:szCs w:val="24"/>
        </w:rPr>
      </w:pPr>
    </w:p>
    <w:p w:rsidR="00815C05" w:rsidRPr="00375152" w:rsidRDefault="00815C05" w:rsidP="00815C05">
      <w:pPr>
        <w:pStyle w:val="Odsekzoznamu"/>
        <w:numPr>
          <w:ilvl w:val="0"/>
          <w:numId w:val="1"/>
        </w:numPr>
        <w:rPr>
          <w:rFonts w:cs="Times New Roman"/>
          <w:b/>
          <w:i/>
          <w:szCs w:val="24"/>
        </w:rPr>
      </w:pPr>
      <w:r w:rsidRPr="00685584">
        <w:rPr>
          <w:rFonts w:cs="Times New Roman"/>
          <w:b/>
          <w:szCs w:val="24"/>
        </w:rPr>
        <w:t>Zákon č. 50/1976 Zb. o územnom plánovaní a stavebnom poriadku (stavebný zákon)</w:t>
      </w:r>
      <w:r w:rsidR="0004504D">
        <w:rPr>
          <w:rFonts w:cs="Times New Roman"/>
          <w:b/>
          <w:szCs w:val="24"/>
        </w:rPr>
        <w:t xml:space="preserve"> v znení neskorších predpisov</w:t>
      </w:r>
      <w:r>
        <w:rPr>
          <w:rFonts w:cs="Times New Roman"/>
          <w:b/>
          <w:szCs w:val="24"/>
        </w:rPr>
        <w:t>:</w:t>
      </w:r>
      <w:r w:rsidRPr="00685584">
        <w:rPr>
          <w:rFonts w:cs="Times New Roman"/>
          <w:b/>
          <w:szCs w:val="24"/>
        </w:rPr>
        <w:t xml:space="preserve"> </w:t>
      </w:r>
      <w:r w:rsidR="0004504D">
        <w:rPr>
          <w:bCs/>
        </w:rPr>
        <w:t>Stavebný zákon všeobecne upravuje pravidlá územného plánovania a povoľovania výstavby, čím sa priamo dotýka aj plánovania umiestňovania cyklistickej siete, povoľovania výstavby cyklistickej infraštruktúry a procesu jej schvaľovania.</w:t>
      </w:r>
      <w:r w:rsidRPr="00685584">
        <w:rPr>
          <w:rFonts w:cs="Times New Roman"/>
          <w:i/>
          <w:szCs w:val="24"/>
        </w:rPr>
        <w:t xml:space="preserve"> </w:t>
      </w:r>
    </w:p>
    <w:p w:rsidR="00815C05" w:rsidRPr="00375152" w:rsidRDefault="00815C05" w:rsidP="00815C05">
      <w:pPr>
        <w:pStyle w:val="Odsekzoznamu"/>
        <w:rPr>
          <w:rFonts w:cs="Times New Roman"/>
          <w:b/>
          <w:szCs w:val="24"/>
        </w:rPr>
      </w:pPr>
    </w:p>
    <w:p w:rsidR="00815C05" w:rsidRPr="00F75D23" w:rsidRDefault="00815C05" w:rsidP="00C0501B">
      <w:pPr>
        <w:pStyle w:val="Odsekzoznamu"/>
        <w:numPr>
          <w:ilvl w:val="0"/>
          <w:numId w:val="1"/>
        </w:numPr>
        <w:ind w:left="714" w:hanging="357"/>
        <w:contextualSpacing w:val="0"/>
        <w:rPr>
          <w:rFonts w:cs="Times New Roman"/>
          <w:szCs w:val="24"/>
        </w:rPr>
      </w:pPr>
      <w:r w:rsidRPr="00F75D23">
        <w:rPr>
          <w:rFonts w:cs="Times New Roman"/>
          <w:b/>
          <w:szCs w:val="24"/>
        </w:rPr>
        <w:t>Zákon č. 326/2005 Z. z. o lesoch</w:t>
      </w:r>
      <w:r w:rsidR="00390DAE" w:rsidRPr="00390DAE">
        <w:rPr>
          <w:rFonts w:cs="Times New Roman"/>
          <w:b/>
          <w:szCs w:val="24"/>
        </w:rPr>
        <w:t xml:space="preserve"> </w:t>
      </w:r>
      <w:r w:rsidR="00390DAE">
        <w:rPr>
          <w:rFonts w:cs="Times New Roman"/>
          <w:b/>
          <w:szCs w:val="24"/>
        </w:rPr>
        <w:t>v znení neskorších predpisov</w:t>
      </w:r>
      <w:r w:rsidRPr="00F75D23">
        <w:rPr>
          <w:rFonts w:cs="Times New Roman"/>
          <w:b/>
          <w:szCs w:val="24"/>
        </w:rPr>
        <w:t xml:space="preserve">: </w:t>
      </w:r>
      <w:r w:rsidRPr="00F75D23">
        <w:rPr>
          <w:rFonts w:cs="Times New Roman"/>
          <w:szCs w:val="24"/>
        </w:rPr>
        <w:t>Zákon vymedzuje terminológiu, popisuje štátne orgány, lesnú stráž.</w:t>
      </w:r>
      <w:r w:rsidR="00C0501B">
        <w:rPr>
          <w:rFonts w:cs="Times New Roman"/>
          <w:szCs w:val="24"/>
        </w:rPr>
        <w:t xml:space="preserve"> </w:t>
      </w:r>
      <w:hyperlink r:id="rId9" w:history="1">
        <w:r w:rsidR="00C0501B" w:rsidRPr="000009AA">
          <w:rPr>
            <w:rStyle w:val="Hypertextovprepojenie"/>
            <w:color w:val="auto"/>
            <w:u w:val="none"/>
          </w:rPr>
          <w:t>Definuje ich právomoci, jasne sa stanovujú povinnosti verejnosti pri využívaní lesov, definuje sa postup pri povoľovaní výnimiek zo zakázaných činností a vzťah voči vlastníkom a štátnym orgánom</w:t>
        </w:r>
      </w:hyperlink>
      <w:r w:rsidR="00C0501B" w:rsidRPr="000009AA">
        <w:t>.</w:t>
      </w:r>
      <w:r w:rsidRPr="00F75D23">
        <w:rPr>
          <w:rFonts w:cs="Times New Roman"/>
          <w:szCs w:val="24"/>
        </w:rPr>
        <w:t xml:space="preserve"> </w:t>
      </w:r>
    </w:p>
    <w:p w:rsidR="00815C05" w:rsidRPr="0063571D" w:rsidRDefault="00815C05" w:rsidP="00815C05">
      <w:pPr>
        <w:pStyle w:val="Odsekzoznamu"/>
        <w:numPr>
          <w:ilvl w:val="0"/>
          <w:numId w:val="1"/>
        </w:numPr>
        <w:rPr>
          <w:rFonts w:cs="Times New Roman"/>
          <w:szCs w:val="24"/>
        </w:rPr>
      </w:pPr>
      <w:r w:rsidRPr="00375152">
        <w:rPr>
          <w:rFonts w:cs="Times New Roman"/>
          <w:b/>
          <w:szCs w:val="24"/>
        </w:rPr>
        <w:t>Ostatné zákony</w:t>
      </w:r>
      <w:r w:rsidRPr="00375152">
        <w:rPr>
          <w:rFonts w:cs="Times New Roman"/>
          <w:szCs w:val="24"/>
        </w:rPr>
        <w:t xml:space="preserve">, ktoré </w:t>
      </w:r>
      <w:r w:rsidRPr="004D0576">
        <w:rPr>
          <w:rFonts w:cs="Times New Roman"/>
          <w:szCs w:val="24"/>
        </w:rPr>
        <w:t>sa okrajovo</w:t>
      </w:r>
      <w:r w:rsidRPr="0063571D">
        <w:rPr>
          <w:rFonts w:cs="Times New Roman"/>
          <w:szCs w:val="24"/>
        </w:rPr>
        <w:t xml:space="preserve"> dotýkajú problematiky </w:t>
      </w:r>
      <w:proofErr w:type="spellStart"/>
      <w:r w:rsidRPr="0063571D">
        <w:rPr>
          <w:rFonts w:cs="Times New Roman"/>
          <w:szCs w:val="24"/>
        </w:rPr>
        <w:t>cyklodopravy</w:t>
      </w:r>
      <w:proofErr w:type="spellEnd"/>
      <w:r w:rsidRPr="0063571D">
        <w:rPr>
          <w:rFonts w:cs="Times New Roman"/>
          <w:szCs w:val="24"/>
        </w:rPr>
        <w:t xml:space="preserve"> a</w:t>
      </w:r>
      <w:r w:rsidRPr="00CA1548">
        <w:rPr>
          <w:rFonts w:cs="Times New Roman"/>
          <w:szCs w:val="24"/>
        </w:rPr>
        <w:t> cykloturistiky:</w:t>
      </w:r>
    </w:p>
    <w:p w:rsidR="00815C05" w:rsidRPr="00EE27DC" w:rsidRDefault="00815C05" w:rsidP="00815C05">
      <w:pPr>
        <w:pStyle w:val="Odsekzoznamu"/>
        <w:numPr>
          <w:ilvl w:val="1"/>
          <w:numId w:val="1"/>
        </w:numPr>
        <w:rPr>
          <w:rFonts w:cs="Times New Roman"/>
          <w:i/>
          <w:szCs w:val="24"/>
        </w:rPr>
      </w:pPr>
      <w:r w:rsidRPr="000228F0">
        <w:rPr>
          <w:rFonts w:cs="Times New Roman"/>
          <w:szCs w:val="24"/>
        </w:rPr>
        <w:t>Zákon č. 543/2002 Z.</w:t>
      </w:r>
      <w:r>
        <w:rPr>
          <w:rFonts w:cs="Times New Roman"/>
          <w:szCs w:val="24"/>
        </w:rPr>
        <w:t> </w:t>
      </w:r>
      <w:r w:rsidRPr="000228F0">
        <w:rPr>
          <w:rFonts w:cs="Times New Roman"/>
          <w:szCs w:val="24"/>
        </w:rPr>
        <w:t xml:space="preserve">z. o ochrane prírody a krajiny </w:t>
      </w:r>
      <w:r w:rsidR="008809BE">
        <w:rPr>
          <w:rFonts w:cs="Times New Roman"/>
          <w:szCs w:val="24"/>
        </w:rPr>
        <w:t>v znení neskorších predpisov</w:t>
      </w:r>
    </w:p>
    <w:p w:rsidR="008809BE" w:rsidRPr="00EE27DC" w:rsidRDefault="00815C05" w:rsidP="008809BE">
      <w:pPr>
        <w:pStyle w:val="Odsekzoznamu"/>
        <w:numPr>
          <w:ilvl w:val="1"/>
          <w:numId w:val="1"/>
        </w:numPr>
        <w:rPr>
          <w:rFonts w:cs="Times New Roman"/>
          <w:i/>
          <w:szCs w:val="24"/>
        </w:rPr>
      </w:pPr>
      <w:r w:rsidRPr="00B12FE2">
        <w:rPr>
          <w:rFonts w:cs="Times New Roman"/>
          <w:szCs w:val="24"/>
        </w:rPr>
        <w:t>Zákon č. 91/2010 Z.</w:t>
      </w:r>
      <w:r>
        <w:rPr>
          <w:rFonts w:cs="Times New Roman"/>
          <w:szCs w:val="24"/>
        </w:rPr>
        <w:t> </w:t>
      </w:r>
      <w:r w:rsidRPr="000228F0">
        <w:rPr>
          <w:rFonts w:cs="Times New Roman"/>
          <w:szCs w:val="24"/>
        </w:rPr>
        <w:t xml:space="preserve">z. o podpore cestovného ruchu </w:t>
      </w:r>
      <w:r w:rsidR="008809BE">
        <w:rPr>
          <w:rFonts w:cs="Times New Roman"/>
          <w:szCs w:val="24"/>
        </w:rPr>
        <w:t>v znení neskorších predpisov</w:t>
      </w:r>
    </w:p>
    <w:p w:rsidR="00815C05" w:rsidRPr="00B12FE2" w:rsidRDefault="00815C05" w:rsidP="00354BC8">
      <w:pPr>
        <w:pStyle w:val="Odsekzoznamu"/>
        <w:numPr>
          <w:ilvl w:val="1"/>
          <w:numId w:val="1"/>
        </w:numPr>
        <w:rPr>
          <w:rFonts w:cs="Times New Roman"/>
          <w:i/>
          <w:szCs w:val="24"/>
        </w:rPr>
      </w:pPr>
      <w:r w:rsidRPr="00B12FE2">
        <w:rPr>
          <w:rFonts w:cs="Times New Roman"/>
          <w:szCs w:val="24"/>
        </w:rPr>
        <w:t>Zákon č.</w:t>
      </w:r>
      <w:r w:rsidR="00354BC8">
        <w:rPr>
          <w:rFonts w:cs="Times New Roman"/>
          <w:szCs w:val="24"/>
        </w:rPr>
        <w:t xml:space="preserve"> </w:t>
      </w:r>
      <w:r w:rsidRPr="00B12FE2">
        <w:rPr>
          <w:rFonts w:cs="Times New Roman"/>
          <w:szCs w:val="24"/>
        </w:rPr>
        <w:t>274/2009 Z.</w:t>
      </w:r>
      <w:r>
        <w:rPr>
          <w:rFonts w:cs="Times New Roman"/>
          <w:szCs w:val="24"/>
        </w:rPr>
        <w:t> </w:t>
      </w:r>
      <w:r w:rsidRPr="000228F0">
        <w:rPr>
          <w:rFonts w:cs="Times New Roman"/>
          <w:szCs w:val="24"/>
        </w:rPr>
        <w:t>z.</w:t>
      </w:r>
      <w:r w:rsidR="00354BC8">
        <w:rPr>
          <w:rFonts w:cs="Times New Roman"/>
          <w:szCs w:val="24"/>
        </w:rPr>
        <w:t xml:space="preserve"> </w:t>
      </w:r>
      <w:r w:rsidRPr="000228F0">
        <w:rPr>
          <w:rFonts w:cs="Times New Roman"/>
          <w:szCs w:val="24"/>
        </w:rPr>
        <w:t>o</w:t>
      </w:r>
      <w:r w:rsidR="00354BC8">
        <w:rPr>
          <w:rFonts w:cs="Times New Roman"/>
          <w:szCs w:val="24"/>
        </w:rPr>
        <w:t> </w:t>
      </w:r>
      <w:r w:rsidRPr="000228F0">
        <w:rPr>
          <w:rFonts w:cs="Times New Roman"/>
          <w:szCs w:val="24"/>
        </w:rPr>
        <w:t>poľovníctve</w:t>
      </w:r>
      <w:r w:rsidR="00354BC8">
        <w:rPr>
          <w:rFonts w:cs="Times New Roman"/>
          <w:szCs w:val="24"/>
        </w:rPr>
        <w:t xml:space="preserve"> a o zmene a doplnení niektorých zákonov</w:t>
      </w:r>
      <w:r w:rsidRPr="00EE27DC">
        <w:rPr>
          <w:rFonts w:cs="Times New Roman"/>
          <w:i/>
          <w:szCs w:val="24"/>
        </w:rPr>
        <w:t xml:space="preserve"> </w:t>
      </w:r>
      <w:r w:rsidR="008809BE">
        <w:rPr>
          <w:rFonts w:cs="Times New Roman"/>
          <w:szCs w:val="24"/>
        </w:rPr>
        <w:t>v znení neskorších predpisov</w:t>
      </w:r>
    </w:p>
    <w:p w:rsidR="00815C05" w:rsidRPr="00B12FE2" w:rsidRDefault="00815C05" w:rsidP="00815C05">
      <w:pPr>
        <w:pStyle w:val="Odsekzoznamu"/>
        <w:numPr>
          <w:ilvl w:val="1"/>
          <w:numId w:val="1"/>
        </w:numPr>
        <w:rPr>
          <w:rFonts w:cs="Times New Roman"/>
          <w:i/>
          <w:szCs w:val="24"/>
        </w:rPr>
      </w:pPr>
      <w:r w:rsidRPr="00B12FE2">
        <w:rPr>
          <w:rFonts w:cs="Times New Roman"/>
          <w:szCs w:val="24"/>
        </w:rPr>
        <w:t>Zákon č. 40/1964 Zb. - Občiansky zákonník</w:t>
      </w:r>
      <w:r w:rsidRPr="00B12FE2">
        <w:rPr>
          <w:rFonts w:cs="Times New Roman"/>
          <w:i/>
          <w:szCs w:val="24"/>
        </w:rPr>
        <w:t xml:space="preserve"> </w:t>
      </w:r>
      <w:r w:rsidR="008809BE">
        <w:rPr>
          <w:rFonts w:cs="Times New Roman"/>
          <w:szCs w:val="24"/>
        </w:rPr>
        <w:t>v znení neskorších predpisov</w:t>
      </w:r>
    </w:p>
    <w:p w:rsidR="00815C05" w:rsidRPr="00F75D23" w:rsidRDefault="00815C05" w:rsidP="00F75D23">
      <w:pPr>
        <w:pStyle w:val="Odsekzoznamu"/>
        <w:numPr>
          <w:ilvl w:val="1"/>
          <w:numId w:val="1"/>
        </w:numPr>
        <w:ind w:left="1434" w:hanging="357"/>
        <w:contextualSpacing w:val="0"/>
        <w:rPr>
          <w:rFonts w:cs="Times New Roman"/>
          <w:i/>
          <w:szCs w:val="24"/>
        </w:rPr>
      </w:pPr>
      <w:r w:rsidRPr="00F75D23">
        <w:rPr>
          <w:rFonts w:cs="Times New Roman"/>
          <w:szCs w:val="24"/>
        </w:rPr>
        <w:t>Zákon č. 364/2004 Z. z. o</w:t>
      </w:r>
      <w:r w:rsidR="00354BC8">
        <w:rPr>
          <w:rFonts w:cs="Times New Roman"/>
          <w:szCs w:val="24"/>
        </w:rPr>
        <w:t> </w:t>
      </w:r>
      <w:r w:rsidRPr="00F75D23">
        <w:rPr>
          <w:rFonts w:cs="Times New Roman"/>
          <w:szCs w:val="24"/>
        </w:rPr>
        <w:t>vodách</w:t>
      </w:r>
      <w:r w:rsidR="00354BC8">
        <w:rPr>
          <w:rFonts w:cs="Times New Roman"/>
          <w:szCs w:val="24"/>
        </w:rPr>
        <w:t xml:space="preserve"> </w:t>
      </w:r>
      <w:r w:rsidR="00354BC8">
        <w:t>a o zmene zákona Slovenskej národnej rady č. 372/1990 Zb. o priestupkoch v znení neskorších predpisov (vodný zákon)</w:t>
      </w:r>
    </w:p>
    <w:p w:rsidR="00815C05" w:rsidRPr="00071AF6" w:rsidRDefault="00815C05" w:rsidP="00815C05">
      <w:pPr>
        <w:pStyle w:val="Odsekzoznamu"/>
        <w:numPr>
          <w:ilvl w:val="0"/>
          <w:numId w:val="1"/>
        </w:numPr>
        <w:rPr>
          <w:rFonts w:cs="Times New Roman"/>
          <w:b/>
          <w:szCs w:val="24"/>
        </w:rPr>
      </w:pPr>
      <w:r w:rsidRPr="00071AF6">
        <w:rPr>
          <w:rFonts w:cs="Times New Roman"/>
          <w:b/>
          <w:szCs w:val="24"/>
        </w:rPr>
        <w:t xml:space="preserve">Technické normy a technické podmienky  </w:t>
      </w:r>
    </w:p>
    <w:p w:rsidR="00815C05" w:rsidRDefault="00815C05" w:rsidP="00815C05">
      <w:pPr>
        <w:pStyle w:val="Odsekzoznamu"/>
        <w:rPr>
          <w:rFonts w:cs="Times New Roman"/>
          <w:szCs w:val="24"/>
        </w:rPr>
      </w:pPr>
      <w:r w:rsidRPr="00DB7983">
        <w:rPr>
          <w:rFonts w:cs="Times New Roman"/>
          <w:szCs w:val="24"/>
        </w:rPr>
        <w:t xml:space="preserve">Na Slovensku </w:t>
      </w:r>
      <w:r>
        <w:rPr>
          <w:rFonts w:cs="Times New Roman"/>
          <w:szCs w:val="24"/>
        </w:rPr>
        <w:t>existujú</w:t>
      </w:r>
      <w:r w:rsidRPr="00DB7983">
        <w:rPr>
          <w:rFonts w:cs="Times New Roman"/>
          <w:szCs w:val="24"/>
        </w:rPr>
        <w:t xml:space="preserve"> dve základné (najvýznamnejšie) technické normy dotýkajúce sa plánovania, výstavby a značenia cyklistickej infraštruktúry: </w:t>
      </w:r>
    </w:p>
    <w:p w:rsidR="00815C05" w:rsidRPr="00B12FE2" w:rsidRDefault="00815C05" w:rsidP="00815C05">
      <w:pPr>
        <w:pStyle w:val="Odsekzoznamu"/>
        <w:numPr>
          <w:ilvl w:val="1"/>
          <w:numId w:val="1"/>
        </w:numPr>
        <w:rPr>
          <w:rFonts w:cs="Times New Roman"/>
          <w:szCs w:val="24"/>
        </w:rPr>
      </w:pPr>
      <w:r w:rsidRPr="00B12FE2">
        <w:rPr>
          <w:rFonts w:cs="Times New Roman"/>
          <w:szCs w:val="24"/>
        </w:rPr>
        <w:t xml:space="preserve">STN 73 6110 Projektovanie miestnych komunikácií </w:t>
      </w:r>
    </w:p>
    <w:p w:rsidR="00815C05" w:rsidRPr="00B12FE2" w:rsidRDefault="00815C05" w:rsidP="00F75D23">
      <w:pPr>
        <w:pStyle w:val="Odsekzoznamu"/>
        <w:numPr>
          <w:ilvl w:val="1"/>
          <w:numId w:val="1"/>
        </w:numPr>
        <w:spacing w:after="240"/>
        <w:ind w:left="1434" w:hanging="357"/>
        <w:contextualSpacing w:val="0"/>
        <w:rPr>
          <w:rFonts w:cs="Times New Roman"/>
          <w:szCs w:val="24"/>
        </w:rPr>
      </w:pPr>
      <w:r w:rsidRPr="00B12FE2">
        <w:rPr>
          <w:rFonts w:cs="Times New Roman"/>
          <w:szCs w:val="24"/>
        </w:rPr>
        <w:t xml:space="preserve">STN 01 8028 Cykloturistické značenie </w:t>
      </w:r>
    </w:p>
    <w:p w:rsidR="00815C05" w:rsidRDefault="00815C05" w:rsidP="00815C05">
      <w:r>
        <w:rPr>
          <w:rFonts w:cs="Times New Roman"/>
          <w:szCs w:val="24"/>
        </w:rPr>
        <w:lastRenderedPageBreak/>
        <w:t xml:space="preserve">V záujme rozvoja cyklistickej dopravy a cykloturistiky je potrebné spracovať </w:t>
      </w:r>
      <w:r w:rsidRPr="004402B0">
        <w:rPr>
          <w:rFonts w:cs="Times New Roman"/>
          <w:b/>
          <w:szCs w:val="24"/>
        </w:rPr>
        <w:t>komplexnú a ucelenú technickú normu</w:t>
      </w:r>
      <w:r w:rsidR="00DF471A" w:rsidRPr="004402B0">
        <w:rPr>
          <w:rFonts w:cs="Times New Roman"/>
          <w:b/>
          <w:szCs w:val="24"/>
        </w:rPr>
        <w:t xml:space="preserve"> alebo</w:t>
      </w:r>
      <w:r w:rsidRPr="004402B0">
        <w:rPr>
          <w:rFonts w:cs="Times New Roman"/>
          <w:b/>
          <w:szCs w:val="24"/>
        </w:rPr>
        <w:t xml:space="preserve"> technický predpis</w:t>
      </w:r>
      <w:r w:rsidRPr="004701E2">
        <w:rPr>
          <w:rFonts w:cs="Times New Roman"/>
          <w:szCs w:val="24"/>
        </w:rPr>
        <w:t>, ktor</w:t>
      </w:r>
      <w:r w:rsidR="00DF471A">
        <w:rPr>
          <w:rFonts w:cs="Times New Roman"/>
          <w:szCs w:val="24"/>
        </w:rPr>
        <w:t>ý</w:t>
      </w:r>
      <w:r w:rsidRPr="004701E2">
        <w:rPr>
          <w:rFonts w:cs="Times New Roman"/>
          <w:szCs w:val="24"/>
        </w:rPr>
        <w:t xml:space="preserve"> </w:t>
      </w:r>
      <w:r>
        <w:rPr>
          <w:rFonts w:cs="Times New Roman"/>
          <w:szCs w:val="24"/>
        </w:rPr>
        <w:t>bude obsahovať postupy</w:t>
      </w:r>
      <w:r w:rsidRPr="004701E2">
        <w:rPr>
          <w:rFonts w:cs="Times New Roman"/>
          <w:szCs w:val="24"/>
        </w:rPr>
        <w:t xml:space="preserve"> pre plánovanie a výstavbu cyklistickej infraštruktúry v</w:t>
      </w:r>
      <w:r>
        <w:rPr>
          <w:rFonts w:cs="Times New Roman"/>
          <w:szCs w:val="24"/>
        </w:rPr>
        <w:t> </w:t>
      </w:r>
      <w:r w:rsidRPr="004701E2">
        <w:rPr>
          <w:rFonts w:cs="Times New Roman"/>
          <w:szCs w:val="24"/>
        </w:rPr>
        <w:t>intraviláne</w:t>
      </w:r>
      <w:r>
        <w:rPr>
          <w:rFonts w:cs="Times New Roman"/>
          <w:szCs w:val="24"/>
        </w:rPr>
        <w:t xml:space="preserve"> a </w:t>
      </w:r>
      <w:r w:rsidRPr="004701E2">
        <w:rPr>
          <w:rFonts w:cs="Times New Roman"/>
          <w:szCs w:val="24"/>
        </w:rPr>
        <w:t>v extraviláne.</w:t>
      </w:r>
    </w:p>
    <w:p w:rsidR="00001BE5" w:rsidRDefault="00001BE5" w:rsidP="00040C75">
      <w:pPr>
        <w:pStyle w:val="Nadpis2"/>
      </w:pPr>
      <w:bookmarkStart w:id="131" w:name="_Toc346611948"/>
      <w:bookmarkStart w:id="132" w:name="_Toc346612209"/>
      <w:bookmarkStart w:id="133" w:name="_Toc346612471"/>
      <w:bookmarkStart w:id="134" w:name="_Toc346612733"/>
      <w:bookmarkStart w:id="135" w:name="_Toc346612995"/>
      <w:bookmarkStart w:id="136" w:name="_Toc346613783"/>
      <w:bookmarkStart w:id="137" w:name="_Toc346614045"/>
      <w:bookmarkStart w:id="138" w:name="_Toc346614307"/>
      <w:bookmarkStart w:id="139" w:name="_Toc347921372"/>
      <w:bookmarkEnd w:id="131"/>
      <w:bookmarkEnd w:id="132"/>
      <w:bookmarkEnd w:id="133"/>
      <w:bookmarkEnd w:id="134"/>
      <w:bookmarkEnd w:id="135"/>
      <w:bookmarkEnd w:id="136"/>
      <w:bookmarkEnd w:id="137"/>
      <w:bookmarkEnd w:id="138"/>
      <w:r w:rsidRPr="00001BE5">
        <w:t>Cyklistická infraštruktúra</w:t>
      </w:r>
      <w:bookmarkEnd w:id="139"/>
    </w:p>
    <w:p w:rsidR="00260E6A" w:rsidRDefault="00260E6A" w:rsidP="00B12FE2">
      <w:pPr>
        <w:pStyle w:val="Nadpis3"/>
      </w:pPr>
      <w:bookmarkStart w:id="140" w:name="_Toc347921373"/>
      <w:r w:rsidRPr="00260E6A">
        <w:t>Cyklistická infraštruktúra v mestách</w:t>
      </w:r>
      <w:bookmarkEnd w:id="140"/>
    </w:p>
    <w:p w:rsidR="005229E4" w:rsidRDefault="008C5063" w:rsidP="00B12FE2">
      <w:r>
        <w:rPr>
          <w:rFonts w:cs="Times New Roman"/>
        </w:rPr>
        <w:t>Podľa p</w:t>
      </w:r>
      <w:r w:rsidRPr="00AB0058">
        <w:rPr>
          <w:rFonts w:cs="Times New Roman"/>
        </w:rPr>
        <w:t>ríručk</w:t>
      </w:r>
      <w:r>
        <w:rPr>
          <w:rFonts w:cs="Times New Roman"/>
        </w:rPr>
        <w:t>y</w:t>
      </w:r>
      <w:r w:rsidRPr="00AB0058">
        <w:rPr>
          <w:rFonts w:cs="Times New Roman"/>
        </w:rPr>
        <w:t xml:space="preserve"> Európskej komisie pre cyklistiku </w:t>
      </w:r>
      <w:r w:rsidRPr="00B12FE2">
        <w:rPr>
          <w:rFonts w:cs="Times New Roman"/>
        </w:rPr>
        <w:t>„</w:t>
      </w:r>
      <w:r w:rsidR="00CA4FC3">
        <w:rPr>
          <w:rFonts w:cs="Times New Roman"/>
        </w:rPr>
        <w:t>v</w:t>
      </w:r>
      <w:r w:rsidRPr="00B12FE2">
        <w:rPr>
          <w:rFonts w:cs="Times New Roman"/>
        </w:rPr>
        <w:t xml:space="preserve"> mestách je možné prepraviť na pruhu širokom 3,5 metra (bežný jazdný pruh) za 1</w:t>
      </w:r>
      <w:r>
        <w:rPr>
          <w:rFonts w:cs="Times New Roman"/>
        </w:rPr>
        <w:t> </w:t>
      </w:r>
      <w:r w:rsidRPr="00B12FE2">
        <w:rPr>
          <w:rFonts w:cs="Times New Roman"/>
        </w:rPr>
        <w:t>hodinu 22 000 osôb koľajovým vozidlom, 19 000 ľudí pešo a 14 000 osôb na bicykli, ale len 9 000 ľudí autobusom a 2 000 ľudí automobilom.“</w:t>
      </w:r>
      <w:r>
        <w:rPr>
          <w:rFonts w:cs="Times New Roman"/>
        </w:rPr>
        <w:t xml:space="preserve"> </w:t>
      </w:r>
      <w:r w:rsidR="00BD6C7C">
        <w:t>Mno</w:t>
      </w:r>
      <w:r w:rsidR="00461B91">
        <w:t>ho</w:t>
      </w:r>
      <w:r w:rsidR="00BD6C7C">
        <w:t xml:space="preserve"> slovenských miest a obcí nemá ani jediný kilometer cyklistických chodníkov.</w:t>
      </w:r>
      <w:r w:rsidR="00CA4FC3">
        <w:t xml:space="preserve"> </w:t>
      </w:r>
      <w:r w:rsidR="008A2A3F">
        <w:t xml:space="preserve">Aj tam, kde </w:t>
      </w:r>
      <w:r w:rsidR="00461B91">
        <w:t>s</w:t>
      </w:r>
      <w:r w:rsidR="008A2A3F">
        <w:t xml:space="preserve">ú, ich využiteľnosť nezriedka sťažujú </w:t>
      </w:r>
      <w:r w:rsidR="00AA12AD">
        <w:t>nevyhovujúce</w:t>
      </w:r>
      <w:r w:rsidR="00AA12AD" w:rsidRPr="001E37BF">
        <w:t xml:space="preserve"> </w:t>
      </w:r>
      <w:r w:rsidR="007423C7" w:rsidRPr="001E37BF">
        <w:t xml:space="preserve">technické </w:t>
      </w:r>
      <w:r w:rsidR="00AA12AD">
        <w:t>riešenia</w:t>
      </w:r>
      <w:r w:rsidR="008A2A3F">
        <w:t xml:space="preserve">. </w:t>
      </w:r>
      <w:r w:rsidR="007423C7" w:rsidRPr="001E37BF">
        <w:t xml:space="preserve">To súvisí s neexistenciou kvalitného a podrobného technického </w:t>
      </w:r>
      <w:r w:rsidR="00BD6C7C">
        <w:t>predpisu</w:t>
      </w:r>
      <w:r w:rsidR="007423C7" w:rsidRPr="001E37BF">
        <w:t>, ktorý by sa venoval</w:t>
      </w:r>
      <w:r w:rsidR="00B56A8F" w:rsidRPr="001E37BF">
        <w:t xml:space="preserve"> navrhovaniu a projektovaniu cyklistickej infraštruktúry, </w:t>
      </w:r>
      <w:r w:rsidR="000B4237">
        <w:t xml:space="preserve">a minimálnej </w:t>
      </w:r>
      <w:r w:rsidR="00AA12AD">
        <w:t xml:space="preserve">pozornosti venovanej </w:t>
      </w:r>
      <w:r w:rsidR="000B4237">
        <w:t>cyklistickej doprave</w:t>
      </w:r>
      <w:r w:rsidR="00B56A8F" w:rsidRPr="001E37BF">
        <w:t>.</w:t>
      </w:r>
      <w:r w:rsidR="00920835">
        <w:t xml:space="preserve"> </w:t>
      </w:r>
    </w:p>
    <w:p w:rsidR="007423C7" w:rsidRPr="001E37BF" w:rsidRDefault="008A2A3F" w:rsidP="00B12FE2">
      <w:r>
        <w:t xml:space="preserve">Ešte rozšírenejším </w:t>
      </w:r>
      <w:r w:rsidRPr="001E37BF">
        <w:t>problémom v mestských aglomeráciách</w:t>
      </w:r>
      <w:r>
        <w:t xml:space="preserve"> na Slovensku </w:t>
      </w:r>
      <w:r w:rsidR="00637ACF">
        <w:t xml:space="preserve">je </w:t>
      </w:r>
      <w:r>
        <w:t xml:space="preserve">zlý technický stav </w:t>
      </w:r>
      <w:r w:rsidR="00D65685">
        <w:t>cestn</w:t>
      </w:r>
      <w:r>
        <w:t>ej infraštruktúry ako celku</w:t>
      </w:r>
      <w:r w:rsidR="005229E4">
        <w:t>, k</w:t>
      </w:r>
      <w:r w:rsidR="00D65685">
        <w:t xml:space="preserve">eďže pri neexistencii siete segregovaných </w:t>
      </w:r>
      <w:proofErr w:type="spellStart"/>
      <w:r w:rsidR="00D65685">
        <w:t>cyklokomunikácií</w:t>
      </w:r>
      <w:proofErr w:type="spellEnd"/>
      <w:r w:rsidR="00D65685">
        <w:t xml:space="preserve"> sú cyklisti odkázaní na pohyb po cestách, kde dominuje automobilová doprava</w:t>
      </w:r>
      <w:r w:rsidR="005229E4">
        <w:t>.</w:t>
      </w:r>
      <w:r w:rsidR="00D65685">
        <w:t xml:space="preserve"> </w:t>
      </w:r>
      <w:r w:rsidR="005229E4">
        <w:t>N</w:t>
      </w:r>
      <w:r w:rsidR="00461B91">
        <w:t>erovnosť, miestami až rozpad</w:t>
      </w:r>
      <w:r w:rsidR="005229E4">
        <w:t xml:space="preserve"> vozoviek</w:t>
      </w:r>
      <w:r w:rsidR="00E47FF8">
        <w:t xml:space="preserve">, ako aj časté zasahovanie parkujúcich vozidiel do priechodového prierezu cyklistických trás, </w:t>
      </w:r>
      <w:r w:rsidR="005229E4">
        <w:t xml:space="preserve"> nielenže zhoršuje komfort jazdy na bicykli, ale zvyšuje riziko nehôd a zranení, čo mnoho ľudí od pravidelného využívania bicykla odrádza</w:t>
      </w:r>
      <w:r w:rsidRPr="001E37BF">
        <w:t>.</w:t>
      </w:r>
    </w:p>
    <w:p w:rsidR="0070120C" w:rsidRDefault="00E102D8" w:rsidP="0070120C">
      <w:r>
        <w:t xml:space="preserve">Doterajšie podceňovanie potenciálu </w:t>
      </w:r>
      <w:proofErr w:type="spellStart"/>
      <w:r>
        <w:t>cyklomobility</w:t>
      </w:r>
      <w:proofErr w:type="spellEnd"/>
      <w:r>
        <w:t xml:space="preserve"> v SR odráža i fakt, že nebol</w:t>
      </w:r>
      <w:r w:rsidR="007A0FC4">
        <w:t>i</w:t>
      </w:r>
      <w:r>
        <w:t xml:space="preserve"> z</w:t>
      </w:r>
      <w:r w:rsidR="007A0FC4">
        <w:t>bierané</w:t>
      </w:r>
      <w:r>
        <w:t xml:space="preserve"> ani základné údaje o</w:t>
      </w:r>
      <w:r w:rsidR="007A0FC4">
        <w:t xml:space="preserve"> cyklistickej infraštruktúre. </w:t>
      </w:r>
      <w:r w:rsidR="00461B91">
        <w:t>Na</w:t>
      </w:r>
      <w:r w:rsidR="00AE5F84">
        <w:t xml:space="preserve"> účely analýzy stavu </w:t>
      </w:r>
      <w:proofErr w:type="spellStart"/>
      <w:r w:rsidR="00AE5F84">
        <w:t>cykl</w:t>
      </w:r>
      <w:r w:rsidR="007A0FC4">
        <w:t>o</w:t>
      </w:r>
      <w:r w:rsidR="00AE5F84">
        <w:t>infraštruktúry</w:t>
      </w:r>
      <w:proofErr w:type="spellEnd"/>
      <w:r w:rsidR="00AE5F84">
        <w:t xml:space="preserve"> v mestách bol </w:t>
      </w:r>
      <w:r w:rsidR="00133843">
        <w:t>v r</w:t>
      </w:r>
      <w:r w:rsidR="00461B91">
        <w:t>oku</w:t>
      </w:r>
      <w:r w:rsidR="00133843">
        <w:t xml:space="preserve"> 2012 </w:t>
      </w:r>
      <w:r w:rsidR="00AE5F84">
        <w:t xml:space="preserve">vykonaný prieskum, v ktorom </w:t>
      </w:r>
      <w:r w:rsidR="006F7770">
        <w:t xml:space="preserve">Výskumný ústav dopravný </w:t>
      </w:r>
      <w:r w:rsidR="00AE5F84">
        <w:t>oslov</w:t>
      </w:r>
      <w:r w:rsidR="006F7770">
        <w:t>il</w:t>
      </w:r>
      <w:r w:rsidR="00AE5F84">
        <w:t xml:space="preserve"> 138 slovenských miest. Prieskumu sa zúčastnilo </w:t>
      </w:r>
      <w:r w:rsidR="000C1F95">
        <w:t>67</w:t>
      </w:r>
      <w:r w:rsidR="00AE5F84">
        <w:t xml:space="preserve"> miest</w:t>
      </w:r>
      <w:r w:rsidR="006F7770">
        <w:t xml:space="preserve">, súhrnná </w:t>
      </w:r>
      <w:r w:rsidR="00142779">
        <w:t xml:space="preserve">dĺžka </w:t>
      </w:r>
      <w:r w:rsidR="006F7770">
        <w:t xml:space="preserve">ich </w:t>
      </w:r>
      <w:r w:rsidR="00142779">
        <w:t xml:space="preserve">cyklistických komunikácií </w:t>
      </w:r>
      <w:r w:rsidR="006F7770">
        <w:t>predstavu</w:t>
      </w:r>
      <w:r w:rsidR="00142779">
        <w:t xml:space="preserve">je </w:t>
      </w:r>
      <w:r w:rsidR="006F7770">
        <w:t>necelých</w:t>
      </w:r>
      <w:r w:rsidR="00142779">
        <w:t xml:space="preserve"> 150 km</w:t>
      </w:r>
      <w:r w:rsidR="004402B0">
        <w:t xml:space="preserve">. </w:t>
      </w:r>
    </w:p>
    <w:p w:rsidR="00F75D23" w:rsidRDefault="00682E66" w:rsidP="006313A7">
      <w:r>
        <w:t xml:space="preserve">Až tri pätiny tvoria </w:t>
      </w:r>
      <w:r w:rsidR="00237374">
        <w:t>samostatn</w:t>
      </w:r>
      <w:r>
        <w:t>é</w:t>
      </w:r>
      <w:r w:rsidR="00237374">
        <w:t xml:space="preserve"> </w:t>
      </w:r>
      <w:r>
        <w:t>k</w:t>
      </w:r>
      <w:r w:rsidR="00237374">
        <w:t>omunikáci</w:t>
      </w:r>
      <w:r>
        <w:t>e</w:t>
      </w:r>
      <w:r w:rsidR="00B56A8F" w:rsidRPr="00B56A8F">
        <w:t xml:space="preserve"> </w:t>
      </w:r>
      <w:r w:rsidR="00F4534E">
        <w:t>–</w:t>
      </w:r>
      <w:r w:rsidR="00B56A8F" w:rsidRPr="00B56A8F">
        <w:t xml:space="preserve"> </w:t>
      </w:r>
      <w:r>
        <w:t xml:space="preserve">buď výhradne pre cyklistov (15%) alebo častejšie pre chodcov i cyklistov, a to s oddelenou prevádzkou (23%) i zmiešanou prevádzkou (22%). </w:t>
      </w:r>
      <w:r w:rsidR="00C87CDB">
        <w:t>Tretinu súhrnnej dĺžky tvoria chodníky</w:t>
      </w:r>
      <w:r w:rsidR="00276444">
        <w:t xml:space="preserve"> vybudované v pridruženom dopravnom priestore</w:t>
      </w:r>
      <w:r w:rsidR="00C87CDB">
        <w:t xml:space="preserve">, z toho na </w:t>
      </w:r>
      <w:r w:rsidR="001854F4">
        <w:t xml:space="preserve">takmer </w:t>
      </w:r>
      <w:r w:rsidR="00C87CDB">
        <w:t>1</w:t>
      </w:r>
      <w:r w:rsidR="001854F4">
        <w:t>6</w:t>
      </w:r>
      <w:r w:rsidR="00C87CDB">
        <w:t>% je pohyb cyklistov oddelený, na vyše 18%</w:t>
      </w:r>
      <w:r w:rsidR="00C03D92">
        <w:t xml:space="preserve"> je zmiešaný s pohybom chodcov. Iba </w:t>
      </w:r>
      <w:r w:rsidR="00237374">
        <w:t xml:space="preserve">6% </w:t>
      </w:r>
      <w:r w:rsidR="00C03D92">
        <w:t xml:space="preserve">dĺžky </w:t>
      </w:r>
      <w:proofErr w:type="spellStart"/>
      <w:r w:rsidR="00C03D92">
        <w:t>cyklo</w:t>
      </w:r>
      <w:r w:rsidR="00237374">
        <w:t>komunikáci</w:t>
      </w:r>
      <w:r w:rsidR="00C03D92">
        <w:t>í</w:t>
      </w:r>
      <w:proofErr w:type="spellEnd"/>
      <w:r w:rsidR="00C03D92">
        <w:t xml:space="preserve"> v mestách zúčastnených v prieskume je</w:t>
      </w:r>
      <w:r w:rsidR="00237374">
        <w:t xml:space="preserve"> v hlavnom dopravnom priestore (cyklistický pruh, pás</w:t>
      </w:r>
      <w:r w:rsidR="003F449F">
        <w:t xml:space="preserve">, </w:t>
      </w:r>
      <w:r w:rsidR="00237374">
        <w:t>koridor).</w:t>
      </w:r>
    </w:p>
    <w:p w:rsidR="006313A7" w:rsidRDefault="00F75D23" w:rsidP="006313A7">
      <w:pPr>
        <w:spacing w:after="0"/>
        <w:rPr>
          <w:b/>
        </w:rPr>
      </w:pPr>
      <w:r>
        <w:t xml:space="preserve">Graf 1: </w:t>
      </w:r>
      <w:r w:rsidRPr="00F75D23">
        <w:rPr>
          <w:b/>
        </w:rPr>
        <w:t>Rozdelenie cyklistických komunikácií v mestách SR</w:t>
      </w:r>
    </w:p>
    <w:p w:rsidR="00F75D23" w:rsidRPr="006313A7" w:rsidRDefault="00327580" w:rsidP="006313A7">
      <w:r>
        <w:rPr>
          <w:noProof/>
          <w:lang w:eastAsia="sk-SK"/>
        </w:rPr>
        <w:drawing>
          <wp:inline distT="0" distB="0" distL="0" distR="0">
            <wp:extent cx="4200525" cy="2409825"/>
            <wp:effectExtent l="1905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8DE" w:rsidRPr="003F449F" w:rsidRDefault="004578DE" w:rsidP="004578DE">
      <w:pPr>
        <w:rPr>
          <w:i/>
          <w:sz w:val="22"/>
        </w:rPr>
      </w:pPr>
      <w:r w:rsidRPr="003F449F">
        <w:rPr>
          <w:i/>
          <w:sz w:val="22"/>
        </w:rPr>
        <w:t>Zdroj: Výskumný ústav dopravný, prieskum zrealizovaný pre MDVRR SR</w:t>
      </w:r>
    </w:p>
    <w:p w:rsidR="003F449F" w:rsidRDefault="003F449F" w:rsidP="004402B0">
      <w:r>
        <w:lastRenderedPageBreak/>
        <w:t>Komplexnejšie údaje o dĺžke a</w:t>
      </w:r>
      <w:r w:rsidR="00E102D8">
        <w:t xml:space="preserve"> štruktúre </w:t>
      </w:r>
      <w:proofErr w:type="spellStart"/>
      <w:r w:rsidR="00E102D8">
        <w:t>cyklokomunikácií</w:t>
      </w:r>
      <w:proofErr w:type="spellEnd"/>
      <w:r w:rsidR="00E102D8">
        <w:t xml:space="preserve"> v slovenských mestách a obciach budú vôbec</w:t>
      </w:r>
      <w:r w:rsidR="007A0FC4">
        <w:t xml:space="preserve"> prvýkrát </w:t>
      </w:r>
      <w:r w:rsidR="00DA78D1">
        <w:t xml:space="preserve">zisťované </w:t>
      </w:r>
      <w:r w:rsidR="007A0FC4">
        <w:t xml:space="preserve">v roku 2013. Na tento účel </w:t>
      </w:r>
      <w:r w:rsidR="00822C8D">
        <w:t xml:space="preserve">sa využije </w:t>
      </w:r>
      <w:r w:rsidR="007A0FC4">
        <w:t>štatistický výkaz Miestne komunikácie,</w:t>
      </w:r>
      <w:r w:rsidR="00822C8D">
        <w:t xml:space="preserve"> ktoré vypĺňajú všetky obce raz za tri roky. MDVRR SR tak zabezpečí východiskovú bázu údajov, ktoré budú využiteľné aj pri tvorbe cieľov a indikátorov na</w:t>
      </w:r>
      <w:r w:rsidR="007A0FC4">
        <w:t xml:space="preserve"> </w:t>
      </w:r>
      <w:r w:rsidR="00822C8D">
        <w:t>ďalšie obdobie, čo je obzvlášť dôležité v súvislosti s prípravou Partnerskej dohody SR s EÚ na programové obdobie 2014 – 2020.</w:t>
      </w:r>
    </w:p>
    <w:p w:rsidR="004402B0" w:rsidRDefault="004402B0" w:rsidP="004402B0">
      <w:r>
        <w:t xml:space="preserve">Vysoká rozdrobenosť pozemkov na území Slovenskej republiky a s tým súvisiace náklady s ich majetkovo-právnym </w:t>
      </w:r>
      <w:proofErr w:type="spellStart"/>
      <w:r>
        <w:t>vysporiadaním</w:t>
      </w:r>
      <w:proofErr w:type="spellEnd"/>
      <w:r>
        <w:t xml:space="preserve">, rozmanitosť terénu, predovšetkým v horských oblastiach majú za následok zvýšené náklady pri realizácií a budovaní cyklistických komunikácií. V prvých rokoch </w:t>
      </w:r>
      <w:r w:rsidR="004D0576">
        <w:t>rozvoja</w:t>
      </w:r>
      <w:r>
        <w:t xml:space="preserve"> cyklistickej infraštruktúry </w:t>
      </w:r>
      <w:r w:rsidR="004D0576">
        <w:t xml:space="preserve">je preto </w:t>
      </w:r>
      <w:r w:rsidR="00BB141B">
        <w:t xml:space="preserve">reálnejšie dosiahnuť podstatné rozšírenie ponuky </w:t>
      </w:r>
      <w:proofErr w:type="spellStart"/>
      <w:r w:rsidR="00BB141B">
        <w:t>cyklokomunikácií</w:t>
      </w:r>
      <w:proofErr w:type="spellEnd"/>
      <w:r w:rsidR="00BB141B">
        <w:t xml:space="preserve"> </w:t>
      </w:r>
      <w:r>
        <w:t>realizáci</w:t>
      </w:r>
      <w:r w:rsidR="00BB141B">
        <w:t>o</w:t>
      </w:r>
      <w:r>
        <w:t xml:space="preserve">u </w:t>
      </w:r>
      <w:proofErr w:type="spellStart"/>
      <w:r>
        <w:t>cyklopruhov</w:t>
      </w:r>
      <w:proofErr w:type="spellEnd"/>
      <w:r>
        <w:t xml:space="preserve"> a </w:t>
      </w:r>
      <w:proofErr w:type="spellStart"/>
      <w:r>
        <w:t>cyklokoridorov</w:t>
      </w:r>
      <w:proofErr w:type="spellEnd"/>
      <w:r>
        <w:t xml:space="preserve"> na existujúcich komunikáciách spolu s príslušným dopravným značením a doplnkovou </w:t>
      </w:r>
      <w:proofErr w:type="spellStart"/>
      <w:r>
        <w:t>cykloinfraštruktúrou</w:t>
      </w:r>
      <w:proofErr w:type="spellEnd"/>
      <w:r>
        <w:t>.</w:t>
      </w:r>
      <w:r w:rsidR="00BB141B">
        <w:t xml:space="preserve"> Aj potenciál takýchto lacnejších a rýchlejšie realizovateľných opatrení totiž zostáva na Slovensku doteraz nevyužitý.</w:t>
      </w:r>
    </w:p>
    <w:p w:rsidR="000009AA" w:rsidRPr="000009AA" w:rsidRDefault="000009AA" w:rsidP="000009AA">
      <w:pPr>
        <w:rPr>
          <w:rFonts w:eastAsia="Calibri" w:cs="Times New Roman"/>
        </w:rPr>
      </w:pPr>
      <w:r w:rsidRPr="000009AA">
        <w:rPr>
          <w:rFonts w:eastAsia="Calibri" w:cs="Times New Roman"/>
        </w:rPr>
        <w:t>Európska únia vo svojej stratégii podporuje rozvoj a rozšírenie “</w:t>
      </w:r>
      <w:proofErr w:type="spellStart"/>
      <w:r w:rsidRPr="000009AA">
        <w:rPr>
          <w:rFonts w:eastAsia="Calibri" w:cs="Times New Roman"/>
        </w:rPr>
        <w:t>cargo</w:t>
      </w:r>
      <w:proofErr w:type="spellEnd"/>
      <w:r w:rsidRPr="000009AA">
        <w:rPr>
          <w:rFonts w:eastAsia="Calibri" w:cs="Times New Roman"/>
        </w:rPr>
        <w:t>” bicyklov na prepravu väčších nákl</w:t>
      </w:r>
      <w:r w:rsidRPr="000009AA">
        <w:t>adov a pre zásobovanie v zónach</w:t>
      </w:r>
      <w:r w:rsidRPr="000009AA">
        <w:rPr>
          <w:rFonts w:eastAsia="Calibri" w:cs="Times New Roman"/>
        </w:rPr>
        <w:t xml:space="preserve"> uzavretých pre motorovú dopravu či </w:t>
      </w:r>
      <w:proofErr w:type="spellStart"/>
      <w:r w:rsidRPr="000009AA">
        <w:rPr>
          <w:rFonts w:eastAsia="Calibri" w:cs="Times New Roman"/>
        </w:rPr>
        <w:t>ukľudnených</w:t>
      </w:r>
      <w:proofErr w:type="spellEnd"/>
      <w:r w:rsidRPr="000009AA">
        <w:rPr>
          <w:rFonts w:eastAsia="Calibri" w:cs="Times New Roman"/>
        </w:rPr>
        <w:t xml:space="preserve"> zónach s vylúčením motorovej dopravy. Nákladné bicykle šetria životné prostredie, vylučujú nutné zásobovanie motorovými vozidlami z peších zón a tým znižujú nehodovosť</w:t>
      </w:r>
      <w:r w:rsidRPr="000009AA">
        <w:t xml:space="preserve">. </w:t>
      </w:r>
      <w:r w:rsidRPr="000009AA">
        <w:rPr>
          <w:rFonts w:eastAsia="Calibri" w:cs="Times New Roman"/>
        </w:rPr>
        <w:t xml:space="preserve">Najmä pešie zóny sú svojím stiesneným priestorom vyslovene nevhodné na zásobovanie súčasným spôsobom, nehovoriac o znečisťovaní a zaberaní miesta pre parkovanie.  </w:t>
      </w:r>
    </w:p>
    <w:p w:rsidR="00A2773A" w:rsidRPr="00A2773A" w:rsidRDefault="00A2773A" w:rsidP="0070120C">
      <w:pPr>
        <w:pStyle w:val="Nadpis4"/>
        <w:numPr>
          <w:ilvl w:val="0"/>
          <w:numId w:val="0"/>
        </w:numPr>
        <w:spacing w:after="120"/>
        <w:ind w:left="862" w:hanging="862"/>
      </w:pPr>
      <w:r w:rsidRPr="00A2773A">
        <w:t xml:space="preserve">Územnoplánovacia dokumentácia miest z pohľadu </w:t>
      </w:r>
      <w:proofErr w:type="spellStart"/>
      <w:r w:rsidRPr="000228F0">
        <w:t>cyklodopravy</w:t>
      </w:r>
      <w:proofErr w:type="spellEnd"/>
    </w:p>
    <w:p w:rsidR="00A2773A" w:rsidRDefault="00A2773A" w:rsidP="0070120C">
      <w:pPr>
        <w:spacing w:after="0"/>
      </w:pPr>
      <w:r w:rsidRPr="00A2773A">
        <w:t>Mestá často nemajú v záväzných častiach územných plánov vôbec riešenú problematiku cyklistickej dopravy. Z</w:t>
      </w:r>
      <w:r w:rsidR="000C1F95">
        <w:t>o</w:t>
      </w:r>
      <w:r w:rsidRPr="00A2773A">
        <w:t xml:space="preserve"> </w:t>
      </w:r>
      <w:r w:rsidR="000C1F95">
        <w:t>67</w:t>
      </w:r>
      <w:r w:rsidR="00AE5F84">
        <w:t xml:space="preserve"> miest</w:t>
      </w:r>
      <w:r w:rsidRPr="00A2773A">
        <w:t xml:space="preserve"> </w:t>
      </w:r>
      <w:r w:rsidR="004D0576">
        <w:t xml:space="preserve">zapojených v prieskume </w:t>
      </w:r>
      <w:r w:rsidR="00920835">
        <w:t xml:space="preserve">má iba </w:t>
      </w:r>
      <w:r w:rsidR="005167EB" w:rsidRPr="00A2773A">
        <w:t>2</w:t>
      </w:r>
      <w:r w:rsidR="005167EB">
        <w:t>9</w:t>
      </w:r>
      <w:r w:rsidR="005167EB" w:rsidRPr="00A2773A">
        <w:t xml:space="preserve"> </w:t>
      </w:r>
      <w:r w:rsidRPr="00A2773A">
        <w:t>v územnom pláne mesta zmienku o cyklistickej doprave. Iba štyri mestá</w:t>
      </w:r>
      <w:r w:rsidR="004D0576">
        <w:t xml:space="preserve"> -</w:t>
      </w:r>
      <w:r w:rsidRPr="00A2773A">
        <w:t xml:space="preserve"> Trnava, Moldava nad Bodvou, Piešťany a Banská Bystrica</w:t>
      </w:r>
      <w:r w:rsidR="004D0576">
        <w:t xml:space="preserve"> -</w:t>
      </w:r>
      <w:r w:rsidRPr="00A2773A">
        <w:t xml:space="preserve"> majú vypracovaný samostatný </w:t>
      </w:r>
      <w:proofErr w:type="spellStart"/>
      <w:r w:rsidRPr="00A2773A">
        <w:t>Generel</w:t>
      </w:r>
      <w:proofErr w:type="spellEnd"/>
      <w:r w:rsidRPr="00A2773A">
        <w:t xml:space="preserve"> nemotorovej dopravy a </w:t>
      </w:r>
      <w:r w:rsidR="005167EB" w:rsidRPr="00A2773A">
        <w:t>1</w:t>
      </w:r>
      <w:r w:rsidR="005167EB">
        <w:t>9</w:t>
      </w:r>
      <w:r w:rsidR="005167EB" w:rsidRPr="00A2773A">
        <w:t xml:space="preserve"> </w:t>
      </w:r>
      <w:r w:rsidRPr="00A2773A">
        <w:t xml:space="preserve">miest má spracovanú technickú štúdiu cyklotrás. </w:t>
      </w:r>
      <w:r w:rsidR="004D0576">
        <w:t>Š</w:t>
      </w:r>
      <w:r w:rsidRPr="00A2773A">
        <w:t>túdi</w:t>
      </w:r>
      <w:r w:rsidR="004D0576">
        <w:t>o</w:t>
      </w:r>
      <w:r w:rsidRPr="00A2773A">
        <w:t xml:space="preserve">u statickej dopravy pre bicykle </w:t>
      </w:r>
      <w:r w:rsidR="004D0576">
        <w:t xml:space="preserve">disponujú </w:t>
      </w:r>
      <w:r w:rsidRPr="00A2773A">
        <w:t xml:space="preserve">iba Moldava nad Bodvou a Banská Bystrica. Pozíciu </w:t>
      </w:r>
      <w:proofErr w:type="spellStart"/>
      <w:r w:rsidRPr="00A2773A">
        <w:t>cyklokoordinátora</w:t>
      </w:r>
      <w:proofErr w:type="spellEnd"/>
      <w:r w:rsidRPr="00A2773A">
        <w:t xml:space="preserve"> majú v súčasnosti na mestskom úrade zriadenú mestá Banská Bystrica</w:t>
      </w:r>
      <w:r w:rsidR="000B4237">
        <w:t xml:space="preserve">, Bratislava </w:t>
      </w:r>
      <w:r w:rsidR="000B4237" w:rsidRPr="00A2773A">
        <w:t>a Trnava</w:t>
      </w:r>
      <w:r w:rsidRPr="00A2773A">
        <w:t>.</w:t>
      </w:r>
    </w:p>
    <w:p w:rsidR="0070120C" w:rsidRPr="00A2773A" w:rsidRDefault="0070120C" w:rsidP="0070120C">
      <w:pPr>
        <w:spacing w:after="0"/>
      </w:pPr>
    </w:p>
    <w:p w:rsidR="00300D72" w:rsidRPr="001B0C47" w:rsidRDefault="00115083" w:rsidP="00B16FCF">
      <w:pPr>
        <w:pStyle w:val="Nadpis3"/>
      </w:pPr>
      <w:bookmarkStart w:id="141" w:name="_Toc345667200"/>
      <w:bookmarkStart w:id="142" w:name="_Toc345943288"/>
      <w:bookmarkStart w:id="143" w:name="_Toc347921374"/>
      <w:bookmarkEnd w:id="141"/>
      <w:bookmarkEnd w:id="142"/>
      <w:r w:rsidRPr="001B0C47">
        <w:t>Cykloturistická infraštruktúra</w:t>
      </w:r>
      <w:bookmarkEnd w:id="143"/>
    </w:p>
    <w:p w:rsidR="0070120C" w:rsidRDefault="00924BBF" w:rsidP="00B12FE2">
      <w:r w:rsidRPr="00C90A6B">
        <w:rPr>
          <w:rFonts w:eastAsia="Times New Roman" w:cs="Times New Roman"/>
          <w:b/>
          <w:szCs w:val="24"/>
        </w:rPr>
        <w:t>Cykloturistická trasa (cyklotrasa)</w:t>
      </w:r>
      <w:r>
        <w:rPr>
          <w:rFonts w:eastAsia="Times New Roman" w:cs="Times New Roman"/>
          <w:szCs w:val="24"/>
        </w:rPr>
        <w:t xml:space="preserve"> je</w:t>
      </w:r>
      <w:r w:rsidRPr="00C90A6B">
        <w:rPr>
          <w:rFonts w:eastAsia="Times New Roman" w:cs="Times New Roman"/>
          <w:szCs w:val="24"/>
        </w:rPr>
        <w:t xml:space="preserve"> </w:t>
      </w:r>
      <w:r>
        <w:rPr>
          <w:rFonts w:eastAsia="Times New Roman" w:cs="Times New Roman"/>
          <w:szCs w:val="24"/>
        </w:rPr>
        <w:t xml:space="preserve">vyznačenie ťahu pre </w:t>
      </w:r>
      <w:proofErr w:type="spellStart"/>
      <w:r>
        <w:rPr>
          <w:rFonts w:eastAsia="Times New Roman" w:cs="Times New Roman"/>
          <w:szCs w:val="24"/>
        </w:rPr>
        <w:t>cykloturistov</w:t>
      </w:r>
      <w:proofErr w:type="spellEnd"/>
      <w:r>
        <w:rPr>
          <w:rFonts w:eastAsia="Times New Roman" w:cs="Times New Roman"/>
          <w:szCs w:val="24"/>
        </w:rPr>
        <w:t xml:space="preserve"> v teréne po existujúcich pozemných komunikáciách označených podľa STN 01 8028</w:t>
      </w:r>
      <w:r w:rsidR="0070120C">
        <w:rPr>
          <w:rFonts w:eastAsia="Times New Roman" w:cs="Times New Roman"/>
          <w:szCs w:val="24"/>
        </w:rPr>
        <w:t>.</w:t>
      </w:r>
      <w:r w:rsidRPr="00C90A6B">
        <w:rPr>
          <w:rFonts w:eastAsia="Times New Roman" w:cs="Times New Roman"/>
          <w:szCs w:val="24"/>
        </w:rPr>
        <w:t xml:space="preserve"> </w:t>
      </w:r>
      <w:r w:rsidR="0070120C">
        <w:rPr>
          <w:rFonts w:eastAsia="Times New Roman" w:cs="Times New Roman"/>
          <w:szCs w:val="24"/>
        </w:rPr>
        <w:t>C</w:t>
      </w:r>
      <w:r>
        <w:rPr>
          <w:rFonts w:eastAsia="Times New Roman" w:cs="Times New Roman"/>
          <w:szCs w:val="24"/>
        </w:rPr>
        <w:t>yklotrasa môže byť vedená intravilánom, extravilánom, v lesnom</w:t>
      </w:r>
      <w:r w:rsidRPr="00C90A6B">
        <w:rPr>
          <w:rFonts w:eastAsia="Times New Roman" w:cs="Times New Roman"/>
          <w:szCs w:val="24"/>
        </w:rPr>
        <w:t>, horskom alebo poľnom prostredí.</w:t>
      </w:r>
      <w:r>
        <w:rPr>
          <w:rFonts w:eastAsia="Times New Roman" w:cs="Times New Roman"/>
          <w:szCs w:val="24"/>
        </w:rPr>
        <w:t xml:space="preserve"> </w:t>
      </w:r>
      <w:r w:rsidR="00115083" w:rsidRPr="003E1681">
        <w:t xml:space="preserve">Zároveň musí byť na cykloturistických trasách, po </w:t>
      </w:r>
      <w:r w:rsidR="0070120C">
        <w:t xml:space="preserve">ich </w:t>
      </w:r>
      <w:r w:rsidR="00115083" w:rsidRPr="003E1681">
        <w:t xml:space="preserve">zákonnej legalizácii v zmysle slovenskej legislatívy, osadené orientačné cykloturistické značenie. </w:t>
      </w:r>
    </w:p>
    <w:p w:rsidR="00115083" w:rsidRPr="003E1681" w:rsidRDefault="00115083" w:rsidP="00B12FE2">
      <w:r w:rsidRPr="003E1681">
        <w:t xml:space="preserve">Na Slovensku je vyznačených 530 cykloturistických trás v celkovej dĺžke </w:t>
      </w:r>
      <w:r w:rsidR="0073596E">
        <w:t xml:space="preserve">vyše </w:t>
      </w:r>
      <w:r w:rsidR="00920835">
        <w:t>10 000</w:t>
      </w:r>
      <w:r w:rsidRPr="003E1681">
        <w:t xml:space="preserve"> kilometrov. Hlavné os</w:t>
      </w:r>
      <w:r w:rsidR="00FE2D01">
        <w:t>i</w:t>
      </w:r>
      <w:r w:rsidRPr="003E1681">
        <w:t xml:space="preserve"> tvoria národné diaľkové </w:t>
      </w:r>
      <w:proofErr w:type="spellStart"/>
      <w:r w:rsidRPr="003E1681">
        <w:t>cyklomagistrály</w:t>
      </w:r>
      <w:proofErr w:type="spellEnd"/>
      <w:r w:rsidR="00541A7A">
        <w:t xml:space="preserve"> </w:t>
      </w:r>
      <w:r w:rsidR="00E12330">
        <w:t xml:space="preserve">v dĺžke </w:t>
      </w:r>
      <w:r w:rsidR="00541A7A">
        <w:t>2</w:t>
      </w:r>
      <w:r w:rsidR="000D6DC6">
        <w:t xml:space="preserve"> </w:t>
      </w:r>
      <w:r w:rsidR="00541A7A">
        <w:t>926 km</w:t>
      </w:r>
      <w:r w:rsidR="00E12330">
        <w:t xml:space="preserve"> (Príloha 6</w:t>
      </w:r>
      <w:r w:rsidR="00541A7A">
        <w:t>)</w:t>
      </w:r>
      <w:r w:rsidRPr="003E1681">
        <w:t xml:space="preserve">, medzinárodné trasy a trasy </w:t>
      </w:r>
      <w:proofErr w:type="spellStart"/>
      <w:r w:rsidRPr="003E1681">
        <w:t>Eurovelo</w:t>
      </w:r>
      <w:proofErr w:type="spellEnd"/>
      <w:r w:rsidR="008C6DF2">
        <w:t xml:space="preserve"> (</w:t>
      </w:r>
      <w:r w:rsidR="00E12330">
        <w:t>Príloha 5), z ktorých</w:t>
      </w:r>
      <w:r w:rsidR="008C6DF2">
        <w:t xml:space="preserve"> je</w:t>
      </w:r>
      <w:r w:rsidR="000D6DC6">
        <w:t xml:space="preserve"> na území SR </w:t>
      </w:r>
      <w:r w:rsidR="00E12330">
        <w:t xml:space="preserve">zatiaľ </w:t>
      </w:r>
      <w:r w:rsidR="008C6DF2">
        <w:t>vyznačených 82,6 km</w:t>
      </w:r>
      <w:r w:rsidR="000D6DC6" w:rsidRPr="009C292F">
        <w:t xml:space="preserve">. </w:t>
      </w:r>
      <w:r w:rsidR="00EF3C1D" w:rsidRPr="009C292F">
        <w:rPr>
          <w:szCs w:val="24"/>
        </w:rPr>
        <w:t>D</w:t>
      </w:r>
      <w:r w:rsidR="00EF3C1D" w:rsidRPr="009C292F">
        <w:rPr>
          <w:rFonts w:eastAsia="Calibri" w:cs="Times New Roman"/>
          <w:szCs w:val="24"/>
        </w:rPr>
        <w:t xml:space="preserve">efinujú </w:t>
      </w:r>
      <w:r w:rsidR="00EF3C1D" w:rsidRPr="009C292F">
        <w:rPr>
          <w:szCs w:val="24"/>
        </w:rPr>
        <w:t xml:space="preserve">ich </w:t>
      </w:r>
      <w:r w:rsidR="00EF3C1D" w:rsidRPr="009C292F">
        <w:rPr>
          <w:rFonts w:eastAsia="Calibri" w:cs="Times New Roman"/>
          <w:szCs w:val="24"/>
        </w:rPr>
        <w:t>územné plány a </w:t>
      </w:r>
      <w:proofErr w:type="spellStart"/>
      <w:r w:rsidR="00EF3C1D" w:rsidRPr="009C292F">
        <w:rPr>
          <w:rFonts w:eastAsia="Calibri" w:cs="Times New Roman"/>
          <w:szCs w:val="24"/>
        </w:rPr>
        <w:t>Generely</w:t>
      </w:r>
      <w:proofErr w:type="spellEnd"/>
      <w:r w:rsidR="00EF3C1D" w:rsidRPr="009C292F">
        <w:rPr>
          <w:rFonts w:eastAsia="Calibri" w:cs="Times New Roman"/>
          <w:szCs w:val="24"/>
        </w:rPr>
        <w:t xml:space="preserve"> cyklistickej dopravy, ktoré rešpektujú širšie vzťahy a hlavné národné koridory.</w:t>
      </w:r>
      <w:r w:rsidR="00EF3C1D" w:rsidRPr="009C292F">
        <w:rPr>
          <w:szCs w:val="24"/>
        </w:rPr>
        <w:t xml:space="preserve"> </w:t>
      </w:r>
      <w:r w:rsidR="00541A7A" w:rsidRPr="009C292F">
        <w:t xml:space="preserve">Regionálne </w:t>
      </w:r>
      <w:r w:rsidR="00541A7A">
        <w:t>a miestne trasy tvoria 70 % všetkých cykloturistických trás v dĺžke takmer 7</w:t>
      </w:r>
      <w:r w:rsidR="00E12330">
        <w:t xml:space="preserve"> </w:t>
      </w:r>
      <w:r w:rsidR="00541A7A">
        <w:t>000 km.</w:t>
      </w:r>
    </w:p>
    <w:p w:rsidR="000009AA" w:rsidRDefault="000009AA" w:rsidP="00E12330">
      <w:pPr>
        <w:pStyle w:val="Obyajntext"/>
        <w:spacing w:after="120"/>
        <w:jc w:val="both"/>
        <w:rPr>
          <w:rFonts w:ascii="Times New Roman" w:hAnsi="Times New Roman" w:cs="Times New Roman"/>
          <w:sz w:val="24"/>
          <w:szCs w:val="24"/>
        </w:rPr>
      </w:pPr>
    </w:p>
    <w:p w:rsidR="00E12330" w:rsidRDefault="00E21A20" w:rsidP="00E12330">
      <w:pPr>
        <w:pStyle w:val="Obyajntext"/>
        <w:spacing w:after="120"/>
        <w:jc w:val="both"/>
        <w:rPr>
          <w:rFonts w:ascii="Times New Roman" w:hAnsi="Times New Roman" w:cs="Times New Roman"/>
          <w:sz w:val="24"/>
          <w:szCs w:val="24"/>
        </w:rPr>
      </w:pPr>
      <w:r w:rsidRPr="002E4F3B">
        <w:rPr>
          <w:rFonts w:ascii="Times New Roman" w:hAnsi="Times New Roman" w:cs="Times New Roman"/>
          <w:sz w:val="24"/>
          <w:szCs w:val="24"/>
        </w:rPr>
        <w:lastRenderedPageBreak/>
        <w:t xml:space="preserve">O sieť cyklotrás sa </w:t>
      </w:r>
      <w:r w:rsidR="00E12330">
        <w:rPr>
          <w:rFonts w:ascii="Times New Roman" w:hAnsi="Times New Roman" w:cs="Times New Roman"/>
          <w:sz w:val="24"/>
          <w:szCs w:val="24"/>
        </w:rPr>
        <w:t xml:space="preserve">na Slovensku </w:t>
      </w:r>
      <w:r w:rsidRPr="002E4F3B">
        <w:rPr>
          <w:rFonts w:ascii="Times New Roman" w:hAnsi="Times New Roman" w:cs="Times New Roman"/>
          <w:sz w:val="24"/>
          <w:szCs w:val="24"/>
        </w:rPr>
        <w:t>stará 74 subjektov, prevažne občianskych združení</w:t>
      </w:r>
      <w:r w:rsidR="004730D6">
        <w:rPr>
          <w:rFonts w:ascii="Times New Roman" w:hAnsi="Times New Roman" w:cs="Times New Roman"/>
          <w:sz w:val="24"/>
          <w:szCs w:val="24"/>
        </w:rPr>
        <w:t>.</w:t>
      </w:r>
      <w:r w:rsidR="005561B9">
        <w:rPr>
          <w:rStyle w:val="Odkaznapoznmkupodiarou"/>
          <w:rFonts w:ascii="Times New Roman" w:hAnsi="Times New Roman" w:cs="Times New Roman"/>
          <w:sz w:val="24"/>
          <w:szCs w:val="24"/>
        </w:rPr>
        <w:footnoteReference w:id="3"/>
      </w:r>
      <w:r w:rsidR="00BD3F93">
        <w:rPr>
          <w:rFonts w:ascii="Times New Roman" w:hAnsi="Times New Roman" w:cs="Times New Roman"/>
          <w:sz w:val="24"/>
          <w:szCs w:val="24"/>
        </w:rPr>
        <w:t xml:space="preserve"> Rozhodujúcu časť siete cyklotrás spravujú združenia zastrešené Slovenským </w:t>
      </w:r>
      <w:proofErr w:type="spellStart"/>
      <w:r w:rsidR="00BD3F93">
        <w:rPr>
          <w:rFonts w:ascii="Times New Roman" w:hAnsi="Times New Roman" w:cs="Times New Roman"/>
          <w:sz w:val="24"/>
          <w:szCs w:val="24"/>
        </w:rPr>
        <w:t>cykloklubom</w:t>
      </w:r>
      <w:proofErr w:type="spellEnd"/>
      <w:r w:rsidR="00BD3F93">
        <w:rPr>
          <w:rFonts w:ascii="Times New Roman" w:hAnsi="Times New Roman" w:cs="Times New Roman"/>
          <w:sz w:val="24"/>
          <w:szCs w:val="24"/>
        </w:rPr>
        <w:t xml:space="preserve">. </w:t>
      </w:r>
      <w:r w:rsidRPr="00E12330">
        <w:rPr>
          <w:rFonts w:ascii="Times New Roman" w:hAnsi="Times New Roman" w:cs="Times New Roman"/>
          <w:sz w:val="24"/>
          <w:szCs w:val="24"/>
        </w:rPr>
        <w:t xml:space="preserve">V malej miere správu nad cykloturistickými trasami na seba prevzali samosprávy – mesto Bratislava, mesto Vysoké Tatry, mesto Spišská Belá, Združenie obcí Tokajského regiónu, obec Píla, mesto Skalica. </w:t>
      </w:r>
    </w:p>
    <w:p w:rsidR="00E21A20" w:rsidRPr="00E12330" w:rsidRDefault="00E21A20" w:rsidP="00E12330">
      <w:pPr>
        <w:pStyle w:val="Obyajntext"/>
        <w:jc w:val="both"/>
        <w:rPr>
          <w:rFonts w:ascii="Times New Roman" w:hAnsi="Times New Roman" w:cs="Times New Roman"/>
          <w:sz w:val="24"/>
          <w:szCs w:val="24"/>
        </w:rPr>
      </w:pPr>
      <w:r w:rsidRPr="00E12330">
        <w:rPr>
          <w:rFonts w:ascii="Times New Roman" w:hAnsi="Times New Roman" w:cs="Times New Roman"/>
          <w:sz w:val="24"/>
          <w:szCs w:val="24"/>
        </w:rPr>
        <w:t>Najviac cyklotrás je vyznačených v horskom alebo lesnom prostredí Žilinského (112 trás)</w:t>
      </w:r>
      <w:r w:rsidR="00BD3F93">
        <w:rPr>
          <w:rFonts w:ascii="Times New Roman" w:hAnsi="Times New Roman" w:cs="Times New Roman"/>
          <w:sz w:val="24"/>
          <w:szCs w:val="24"/>
        </w:rPr>
        <w:t xml:space="preserve"> a</w:t>
      </w:r>
      <w:r w:rsidRPr="00E12330">
        <w:rPr>
          <w:rFonts w:ascii="Times New Roman" w:hAnsi="Times New Roman" w:cs="Times New Roman"/>
          <w:sz w:val="24"/>
          <w:szCs w:val="24"/>
        </w:rPr>
        <w:t xml:space="preserve"> Banskobystrického </w:t>
      </w:r>
      <w:r w:rsidR="00BD3F93">
        <w:rPr>
          <w:rFonts w:ascii="Times New Roman" w:hAnsi="Times New Roman" w:cs="Times New Roman"/>
          <w:sz w:val="24"/>
          <w:szCs w:val="24"/>
        </w:rPr>
        <w:t xml:space="preserve">kraja </w:t>
      </w:r>
      <w:r w:rsidRPr="00E12330">
        <w:rPr>
          <w:rFonts w:ascii="Times New Roman" w:hAnsi="Times New Roman" w:cs="Times New Roman"/>
          <w:sz w:val="24"/>
          <w:szCs w:val="24"/>
        </w:rPr>
        <w:t xml:space="preserve">(106 trás). </w:t>
      </w:r>
      <w:r w:rsidR="00BE6EC8">
        <w:rPr>
          <w:rFonts w:ascii="Times New Roman" w:hAnsi="Times New Roman" w:cs="Times New Roman"/>
          <w:sz w:val="24"/>
          <w:szCs w:val="24"/>
        </w:rPr>
        <w:t xml:space="preserve">Oba stredoslovenské kraje dominujú aj dĺžkou cyklotrás – v každom kraji je vyše dvetisíc kilometrov, spolu ponúkajú 43% z celkovej dĺžky na území celého Slovenska. </w:t>
      </w:r>
    </w:p>
    <w:p w:rsidR="00BE6EC8" w:rsidRDefault="00BE6EC8" w:rsidP="00115083">
      <w:pPr>
        <w:spacing w:after="0"/>
        <w:ind w:left="720" w:hanging="720"/>
        <w:rPr>
          <w:sz w:val="20"/>
          <w:szCs w:val="20"/>
        </w:rPr>
      </w:pPr>
    </w:p>
    <w:p w:rsidR="003E1681" w:rsidRPr="00BE6EC8" w:rsidRDefault="00BE6EC8" w:rsidP="00BE6EC8">
      <w:pPr>
        <w:ind w:left="720" w:hanging="720"/>
        <w:rPr>
          <w:rFonts w:cs="Times New Roman"/>
          <w:szCs w:val="24"/>
        </w:rPr>
      </w:pPr>
      <w:r w:rsidRPr="00BE6EC8">
        <w:rPr>
          <w:szCs w:val="24"/>
        </w:rPr>
        <w:t xml:space="preserve">Tabuľka </w:t>
      </w:r>
      <w:r w:rsidR="0025434D" w:rsidRPr="00BE6EC8">
        <w:rPr>
          <w:szCs w:val="24"/>
        </w:rPr>
        <w:fldChar w:fldCharType="begin"/>
      </w:r>
      <w:r w:rsidRPr="00BE6EC8">
        <w:rPr>
          <w:szCs w:val="24"/>
        </w:rPr>
        <w:instrText xml:space="preserve"> SEQ Tabuľka \* ARABIC </w:instrText>
      </w:r>
      <w:r w:rsidR="0025434D" w:rsidRPr="00BE6EC8">
        <w:rPr>
          <w:szCs w:val="24"/>
        </w:rPr>
        <w:fldChar w:fldCharType="separate"/>
      </w:r>
      <w:r w:rsidR="00711DAF">
        <w:rPr>
          <w:noProof/>
          <w:szCs w:val="24"/>
        </w:rPr>
        <w:t>1</w:t>
      </w:r>
      <w:r w:rsidR="0025434D" w:rsidRPr="00BE6EC8">
        <w:rPr>
          <w:noProof/>
          <w:szCs w:val="24"/>
        </w:rPr>
        <w:fldChar w:fldCharType="end"/>
      </w:r>
      <w:r w:rsidRPr="00BE6EC8">
        <w:rPr>
          <w:szCs w:val="24"/>
        </w:rPr>
        <w:t xml:space="preserve">: </w:t>
      </w:r>
      <w:r w:rsidRPr="00BE6EC8">
        <w:rPr>
          <w:b/>
          <w:szCs w:val="24"/>
        </w:rPr>
        <w:t>Cykl</w:t>
      </w:r>
      <w:r w:rsidR="006A644B">
        <w:rPr>
          <w:b/>
          <w:szCs w:val="24"/>
        </w:rPr>
        <w:t>oturisti</w:t>
      </w:r>
      <w:r w:rsidRPr="00BE6EC8">
        <w:rPr>
          <w:b/>
          <w:szCs w:val="24"/>
        </w:rPr>
        <w:t>cké trasy podľa krajov</w:t>
      </w:r>
    </w:p>
    <w:tbl>
      <w:tblPr>
        <w:tblW w:w="7938" w:type="dxa"/>
        <w:tblInd w:w="212" w:type="dxa"/>
        <w:tblCellMar>
          <w:left w:w="70" w:type="dxa"/>
          <w:right w:w="70" w:type="dxa"/>
        </w:tblCellMar>
        <w:tblLook w:val="04A0"/>
      </w:tblPr>
      <w:tblGrid>
        <w:gridCol w:w="2552"/>
        <w:gridCol w:w="1842"/>
        <w:gridCol w:w="1701"/>
        <w:gridCol w:w="1843"/>
      </w:tblGrid>
      <w:tr w:rsidR="00FE7A5D" w:rsidRPr="00FE7A5D" w:rsidTr="00183E3C">
        <w:trPr>
          <w:cantSplit/>
          <w:trHeight w:val="198"/>
        </w:trPr>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FE7A5D" w:rsidRPr="00FD4F5B" w:rsidRDefault="00FE7A5D" w:rsidP="00BE6EC8">
            <w:pPr>
              <w:keepNext/>
              <w:spacing w:before="120" w:after="40"/>
              <w:rPr>
                <w:rFonts w:eastAsia="Times New Roman" w:cs="Times New Roman"/>
                <w:b/>
                <w:color w:val="000000"/>
              </w:rPr>
            </w:pPr>
            <w:r w:rsidRPr="00FD4F5B">
              <w:rPr>
                <w:rFonts w:eastAsia="Times New Roman" w:cs="Times New Roman"/>
                <w:b/>
                <w:color w:val="000000"/>
                <w:sz w:val="22"/>
              </w:rPr>
              <w:t>Samosprávny kraj</w:t>
            </w:r>
          </w:p>
        </w:tc>
        <w:tc>
          <w:tcPr>
            <w:tcW w:w="1842"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FE7A5D" w:rsidRPr="00FD4F5B" w:rsidRDefault="00920835" w:rsidP="00BE6EC8">
            <w:pPr>
              <w:keepNext/>
              <w:spacing w:before="120" w:after="40"/>
              <w:jc w:val="center"/>
              <w:rPr>
                <w:rFonts w:eastAsia="Times New Roman" w:cs="Times New Roman"/>
                <w:b/>
                <w:color w:val="000000"/>
              </w:rPr>
            </w:pPr>
            <w:r w:rsidRPr="00FD4F5B">
              <w:rPr>
                <w:rFonts w:eastAsia="Times New Roman" w:cs="Times New Roman"/>
                <w:b/>
                <w:color w:val="000000"/>
                <w:sz w:val="22"/>
              </w:rPr>
              <w:t>P</w:t>
            </w:r>
            <w:r w:rsidR="00FE7A5D" w:rsidRPr="00FD4F5B">
              <w:rPr>
                <w:rFonts w:eastAsia="Times New Roman" w:cs="Times New Roman"/>
                <w:b/>
                <w:color w:val="000000"/>
                <w:sz w:val="22"/>
              </w:rPr>
              <w:t>očet správcov</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FE7A5D" w:rsidRPr="00FD4F5B" w:rsidRDefault="00920835" w:rsidP="00BE6EC8">
            <w:pPr>
              <w:keepNext/>
              <w:spacing w:before="120" w:after="40"/>
              <w:jc w:val="center"/>
              <w:rPr>
                <w:rFonts w:eastAsia="Times New Roman" w:cs="Times New Roman"/>
                <w:b/>
                <w:color w:val="000000"/>
              </w:rPr>
            </w:pPr>
            <w:r w:rsidRPr="00FD4F5B">
              <w:rPr>
                <w:rFonts w:eastAsia="Times New Roman" w:cs="Times New Roman"/>
                <w:b/>
                <w:color w:val="000000"/>
                <w:sz w:val="22"/>
              </w:rPr>
              <w:t>P</w:t>
            </w:r>
            <w:r w:rsidR="00FE7A5D" w:rsidRPr="00FD4F5B">
              <w:rPr>
                <w:rFonts w:eastAsia="Times New Roman" w:cs="Times New Roman"/>
                <w:b/>
                <w:color w:val="000000"/>
                <w:sz w:val="22"/>
              </w:rPr>
              <w:t>očet trás</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FE7A5D" w:rsidRPr="00FD4F5B" w:rsidRDefault="00920835" w:rsidP="00BE6EC8">
            <w:pPr>
              <w:keepNext/>
              <w:spacing w:before="120" w:after="40"/>
              <w:jc w:val="center"/>
              <w:rPr>
                <w:rFonts w:eastAsia="Times New Roman" w:cs="Times New Roman"/>
                <w:b/>
                <w:color w:val="000000"/>
              </w:rPr>
            </w:pPr>
            <w:r w:rsidRPr="00FD4F5B">
              <w:rPr>
                <w:rFonts w:eastAsia="Times New Roman" w:cs="Times New Roman"/>
                <w:b/>
                <w:color w:val="000000"/>
                <w:sz w:val="22"/>
              </w:rPr>
              <w:t>D</w:t>
            </w:r>
            <w:r w:rsidR="00FE7A5D" w:rsidRPr="00FD4F5B">
              <w:rPr>
                <w:rFonts w:eastAsia="Times New Roman" w:cs="Times New Roman"/>
                <w:b/>
                <w:color w:val="000000"/>
                <w:sz w:val="22"/>
              </w:rPr>
              <w:t>ĺžka</w:t>
            </w:r>
            <w:r w:rsidRPr="00FD4F5B">
              <w:rPr>
                <w:rFonts w:eastAsia="Times New Roman" w:cs="Times New Roman"/>
                <w:b/>
                <w:color w:val="000000"/>
                <w:sz w:val="22"/>
                <w:lang w:val="en-US"/>
              </w:rPr>
              <w:t xml:space="preserve"> [km]</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Bratislavský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12</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41</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920835" w:rsidP="006C1D7E">
            <w:pPr>
              <w:keepNext/>
              <w:spacing w:before="120" w:after="0"/>
              <w:jc w:val="right"/>
              <w:rPr>
                <w:rFonts w:eastAsia="Times New Roman" w:cs="Times New Roman"/>
              </w:rPr>
            </w:pPr>
            <w:r w:rsidRPr="00FD4F5B">
              <w:rPr>
                <w:rFonts w:eastAsia="Times New Roman" w:cs="Times New Roman"/>
                <w:sz w:val="22"/>
              </w:rPr>
              <w:t>749</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Trnavský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7</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56</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rPr>
            </w:pPr>
            <w:r w:rsidRPr="00FD4F5B">
              <w:rPr>
                <w:rFonts w:eastAsia="Times New Roman" w:cs="Times New Roman"/>
                <w:sz w:val="22"/>
              </w:rPr>
              <w:t>804</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Nitriansky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6</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21</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920835" w:rsidP="006C1D7E">
            <w:pPr>
              <w:keepNext/>
              <w:spacing w:before="120" w:after="0"/>
              <w:jc w:val="right"/>
              <w:rPr>
                <w:rFonts w:eastAsia="Times New Roman" w:cs="Times New Roman"/>
              </w:rPr>
            </w:pPr>
            <w:r w:rsidRPr="00FD4F5B">
              <w:rPr>
                <w:rFonts w:eastAsia="Times New Roman" w:cs="Times New Roman"/>
                <w:sz w:val="22"/>
              </w:rPr>
              <w:t>387</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Trenčiansky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6</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64</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rPr>
            </w:pPr>
            <w:r w:rsidRPr="00FD4F5B">
              <w:rPr>
                <w:rFonts w:eastAsia="Times New Roman" w:cs="Times New Roman"/>
                <w:sz w:val="22"/>
              </w:rPr>
              <w:t>1</w:t>
            </w:r>
            <w:r w:rsidR="00BE6EC8">
              <w:rPr>
                <w:rFonts w:eastAsia="Times New Roman" w:cs="Times New Roman"/>
                <w:sz w:val="22"/>
              </w:rPr>
              <w:t xml:space="preserve"> </w:t>
            </w:r>
            <w:r w:rsidRPr="00FD4F5B">
              <w:rPr>
                <w:rFonts w:eastAsia="Times New Roman" w:cs="Times New Roman"/>
                <w:sz w:val="22"/>
              </w:rPr>
              <w:t>17</w:t>
            </w:r>
            <w:r w:rsidR="00920835" w:rsidRPr="00FD4F5B">
              <w:rPr>
                <w:rFonts w:eastAsia="Times New Roman" w:cs="Times New Roman"/>
                <w:sz w:val="22"/>
              </w:rPr>
              <w:t>8</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Žilinský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6</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112</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1D5F96" w:rsidP="006C1D7E">
            <w:pPr>
              <w:keepNext/>
              <w:spacing w:before="120" w:after="0"/>
              <w:jc w:val="right"/>
              <w:rPr>
                <w:rFonts w:eastAsia="Times New Roman" w:cs="Times New Roman"/>
              </w:rPr>
            </w:pPr>
            <w:r w:rsidRPr="00FD4F5B">
              <w:rPr>
                <w:rFonts w:eastAsia="Times New Roman" w:cs="Times New Roman"/>
                <w:sz w:val="22"/>
              </w:rPr>
              <w:t>2</w:t>
            </w:r>
            <w:r w:rsidR="00BE6EC8">
              <w:rPr>
                <w:rFonts w:eastAsia="Times New Roman" w:cs="Times New Roman"/>
                <w:sz w:val="22"/>
              </w:rPr>
              <w:t xml:space="preserve"> </w:t>
            </w:r>
            <w:r w:rsidRPr="00FD4F5B">
              <w:rPr>
                <w:rFonts w:eastAsia="Times New Roman" w:cs="Times New Roman"/>
                <w:sz w:val="22"/>
              </w:rPr>
              <w:t>200</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Banskobystrický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11</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106</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rPr>
            </w:pPr>
            <w:r w:rsidRPr="00FD4F5B">
              <w:rPr>
                <w:rFonts w:eastAsia="Times New Roman" w:cs="Times New Roman"/>
                <w:sz w:val="22"/>
              </w:rPr>
              <w:t>2</w:t>
            </w:r>
            <w:r w:rsidR="00BE6EC8">
              <w:rPr>
                <w:rFonts w:eastAsia="Times New Roman" w:cs="Times New Roman"/>
                <w:sz w:val="22"/>
              </w:rPr>
              <w:t xml:space="preserve"> </w:t>
            </w:r>
            <w:r w:rsidRPr="00FD4F5B">
              <w:rPr>
                <w:rFonts w:eastAsia="Times New Roman" w:cs="Times New Roman"/>
                <w:sz w:val="22"/>
              </w:rPr>
              <w:t>1</w:t>
            </w:r>
            <w:r w:rsidR="00920835" w:rsidRPr="00FD4F5B">
              <w:rPr>
                <w:rFonts w:eastAsia="Times New Roman" w:cs="Times New Roman"/>
                <w:sz w:val="22"/>
              </w:rPr>
              <w:t>40</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Prešovský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13</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76</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rPr>
            </w:pPr>
            <w:r w:rsidRPr="00FD4F5B">
              <w:rPr>
                <w:rFonts w:eastAsia="Times New Roman" w:cs="Times New Roman"/>
                <w:sz w:val="22"/>
              </w:rPr>
              <w:t>1</w:t>
            </w:r>
            <w:r w:rsidR="00BE6EC8">
              <w:rPr>
                <w:rFonts w:eastAsia="Times New Roman" w:cs="Times New Roman"/>
                <w:sz w:val="22"/>
              </w:rPr>
              <w:t xml:space="preserve"> </w:t>
            </w:r>
            <w:r w:rsidRPr="00FD4F5B">
              <w:rPr>
                <w:rFonts w:eastAsia="Times New Roman" w:cs="Times New Roman"/>
                <w:sz w:val="22"/>
              </w:rPr>
              <w:t>3</w:t>
            </w:r>
            <w:r w:rsidR="00920835" w:rsidRPr="00FD4F5B">
              <w:rPr>
                <w:rFonts w:eastAsia="Times New Roman" w:cs="Times New Roman"/>
                <w:sz w:val="22"/>
              </w:rPr>
              <w:t>50</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FE7A5D" w:rsidRPr="00FD4F5B" w:rsidRDefault="00FE7A5D" w:rsidP="00FD4F5B">
            <w:pPr>
              <w:keepNext/>
              <w:spacing w:before="120" w:after="0"/>
              <w:rPr>
                <w:rFonts w:eastAsia="Times New Roman" w:cs="Times New Roman"/>
                <w:color w:val="000000"/>
              </w:rPr>
            </w:pPr>
            <w:r w:rsidRPr="00FD4F5B">
              <w:rPr>
                <w:rFonts w:eastAsia="Times New Roman" w:cs="Times New Roman"/>
                <w:color w:val="000000"/>
                <w:sz w:val="22"/>
              </w:rPr>
              <w:t xml:space="preserve">Košický </w:t>
            </w:r>
            <w:r w:rsidR="00FD4F5B">
              <w:rPr>
                <w:rFonts w:eastAsia="Times New Roman" w:cs="Times New Roman"/>
                <w:color w:val="000000"/>
                <w:sz w:val="22"/>
              </w:rPr>
              <w:t>kraj</w:t>
            </w:r>
          </w:p>
        </w:tc>
        <w:tc>
          <w:tcPr>
            <w:tcW w:w="1842"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13</w:t>
            </w:r>
          </w:p>
        </w:tc>
        <w:tc>
          <w:tcPr>
            <w:tcW w:w="1701" w:type="dxa"/>
            <w:tcBorders>
              <w:top w:val="nil"/>
              <w:left w:val="nil"/>
              <w:bottom w:val="single" w:sz="4" w:space="0" w:color="auto"/>
              <w:right w:val="single" w:sz="4" w:space="0" w:color="auto"/>
            </w:tcBorders>
            <w:shd w:val="clear" w:color="auto" w:fill="auto"/>
            <w:noWrap/>
            <w:vAlign w:val="center"/>
          </w:tcPr>
          <w:p w:rsidR="00FE7A5D" w:rsidRPr="00FD4F5B" w:rsidRDefault="00FE7A5D" w:rsidP="006C1D7E">
            <w:pPr>
              <w:keepNext/>
              <w:spacing w:before="120" w:after="0"/>
              <w:jc w:val="right"/>
              <w:rPr>
                <w:rFonts w:eastAsia="Times New Roman" w:cs="Times New Roman"/>
                <w:color w:val="000000"/>
              </w:rPr>
            </w:pPr>
            <w:r w:rsidRPr="00FD4F5B">
              <w:rPr>
                <w:rFonts w:eastAsia="Times New Roman" w:cs="Times New Roman"/>
                <w:color w:val="000000"/>
                <w:sz w:val="22"/>
              </w:rPr>
              <w:t>54</w:t>
            </w:r>
          </w:p>
        </w:tc>
        <w:tc>
          <w:tcPr>
            <w:tcW w:w="1843" w:type="dxa"/>
            <w:tcBorders>
              <w:top w:val="nil"/>
              <w:left w:val="nil"/>
              <w:bottom w:val="single" w:sz="4" w:space="0" w:color="auto"/>
              <w:right w:val="single" w:sz="4" w:space="0" w:color="auto"/>
            </w:tcBorders>
            <w:shd w:val="clear" w:color="auto" w:fill="auto"/>
            <w:noWrap/>
            <w:vAlign w:val="center"/>
          </w:tcPr>
          <w:p w:rsidR="00FE7A5D" w:rsidRPr="00FD4F5B" w:rsidRDefault="00B21212" w:rsidP="006C1D7E">
            <w:pPr>
              <w:keepNext/>
              <w:spacing w:before="120" w:after="0"/>
              <w:jc w:val="right"/>
              <w:rPr>
                <w:rFonts w:eastAsia="Times New Roman" w:cs="Times New Roman"/>
              </w:rPr>
            </w:pPr>
            <w:r w:rsidRPr="00FD4F5B">
              <w:rPr>
                <w:rFonts w:eastAsia="Times New Roman" w:cs="Times New Roman"/>
                <w:sz w:val="22"/>
              </w:rPr>
              <w:t>1</w:t>
            </w:r>
            <w:r w:rsidR="00BE6EC8">
              <w:rPr>
                <w:rFonts w:eastAsia="Times New Roman" w:cs="Times New Roman"/>
                <w:sz w:val="22"/>
              </w:rPr>
              <w:t xml:space="preserve"> </w:t>
            </w:r>
            <w:r w:rsidRPr="00FD4F5B">
              <w:rPr>
                <w:rFonts w:eastAsia="Times New Roman" w:cs="Times New Roman"/>
                <w:sz w:val="22"/>
              </w:rPr>
              <w:t>291</w:t>
            </w:r>
          </w:p>
        </w:tc>
      </w:tr>
      <w:tr w:rsidR="00FE7A5D" w:rsidRPr="00FE7A5D" w:rsidTr="00183E3C">
        <w:trPr>
          <w:cantSplit/>
          <w:trHeight w:val="198"/>
        </w:trPr>
        <w:tc>
          <w:tcPr>
            <w:tcW w:w="2552"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FE7A5D" w:rsidRPr="00FD4F5B" w:rsidRDefault="00920835" w:rsidP="00BE6EC8">
            <w:pPr>
              <w:keepNext/>
              <w:spacing w:before="120" w:after="60"/>
              <w:rPr>
                <w:rFonts w:eastAsia="Times New Roman" w:cs="Times New Roman"/>
                <w:b/>
                <w:color w:val="000000"/>
              </w:rPr>
            </w:pPr>
            <w:r w:rsidRPr="00FD4F5B">
              <w:rPr>
                <w:rFonts w:eastAsia="Times New Roman" w:cs="Times New Roman"/>
                <w:b/>
                <w:color w:val="000000"/>
                <w:sz w:val="22"/>
              </w:rPr>
              <w:t>Spolu</w:t>
            </w:r>
          </w:p>
        </w:tc>
        <w:tc>
          <w:tcPr>
            <w:tcW w:w="1842" w:type="dxa"/>
            <w:tcBorders>
              <w:top w:val="nil"/>
              <w:left w:val="nil"/>
              <w:bottom w:val="single" w:sz="4" w:space="0" w:color="auto"/>
              <w:right w:val="single" w:sz="4" w:space="0" w:color="auto"/>
            </w:tcBorders>
            <w:shd w:val="clear" w:color="auto" w:fill="EAF1DD" w:themeFill="accent3" w:themeFillTint="33"/>
            <w:noWrap/>
            <w:vAlign w:val="center"/>
          </w:tcPr>
          <w:p w:rsidR="00FE7A5D" w:rsidRPr="00FD4F5B" w:rsidRDefault="00FE7A5D" w:rsidP="00BE6EC8">
            <w:pPr>
              <w:keepNext/>
              <w:spacing w:before="120" w:after="60"/>
              <w:jc w:val="right"/>
              <w:rPr>
                <w:rFonts w:eastAsia="Times New Roman" w:cs="Times New Roman"/>
                <w:b/>
                <w:color w:val="000000"/>
              </w:rPr>
            </w:pPr>
            <w:r w:rsidRPr="00FD4F5B">
              <w:rPr>
                <w:rFonts w:eastAsia="Times New Roman" w:cs="Times New Roman"/>
                <w:b/>
                <w:color w:val="000000"/>
                <w:sz w:val="22"/>
              </w:rPr>
              <w:t>74</w:t>
            </w:r>
          </w:p>
        </w:tc>
        <w:tc>
          <w:tcPr>
            <w:tcW w:w="1701" w:type="dxa"/>
            <w:tcBorders>
              <w:top w:val="nil"/>
              <w:left w:val="nil"/>
              <w:bottom w:val="single" w:sz="4" w:space="0" w:color="auto"/>
              <w:right w:val="single" w:sz="4" w:space="0" w:color="auto"/>
            </w:tcBorders>
            <w:shd w:val="clear" w:color="auto" w:fill="EAF1DD" w:themeFill="accent3" w:themeFillTint="33"/>
            <w:noWrap/>
            <w:vAlign w:val="center"/>
          </w:tcPr>
          <w:p w:rsidR="00FE7A5D" w:rsidRPr="00FD4F5B" w:rsidRDefault="00FE7A5D" w:rsidP="00BE6EC8">
            <w:pPr>
              <w:keepNext/>
              <w:spacing w:before="120" w:after="60"/>
              <w:jc w:val="right"/>
              <w:rPr>
                <w:rFonts w:eastAsia="Times New Roman" w:cs="Times New Roman"/>
                <w:b/>
                <w:color w:val="000000"/>
              </w:rPr>
            </w:pPr>
            <w:r w:rsidRPr="00FD4F5B">
              <w:rPr>
                <w:rFonts w:eastAsia="Times New Roman" w:cs="Times New Roman"/>
                <w:b/>
                <w:color w:val="000000"/>
                <w:sz w:val="22"/>
              </w:rPr>
              <w:t>530</w:t>
            </w:r>
          </w:p>
        </w:tc>
        <w:tc>
          <w:tcPr>
            <w:tcW w:w="1843" w:type="dxa"/>
            <w:tcBorders>
              <w:top w:val="nil"/>
              <w:left w:val="nil"/>
              <w:bottom w:val="single" w:sz="4" w:space="0" w:color="auto"/>
              <w:right w:val="single" w:sz="4" w:space="0" w:color="auto"/>
            </w:tcBorders>
            <w:shd w:val="clear" w:color="auto" w:fill="EAF1DD" w:themeFill="accent3" w:themeFillTint="33"/>
            <w:noWrap/>
            <w:vAlign w:val="center"/>
          </w:tcPr>
          <w:p w:rsidR="00FE7A5D" w:rsidRPr="00FD4F5B" w:rsidRDefault="00B21212" w:rsidP="0007616D">
            <w:pPr>
              <w:keepNext/>
              <w:spacing w:before="120" w:after="60"/>
              <w:jc w:val="right"/>
              <w:rPr>
                <w:rFonts w:eastAsia="Times New Roman" w:cs="Times New Roman"/>
                <w:b/>
              </w:rPr>
            </w:pPr>
            <w:r w:rsidRPr="00FD4F5B">
              <w:rPr>
                <w:rFonts w:eastAsia="Times New Roman" w:cs="Times New Roman"/>
                <w:b/>
                <w:sz w:val="22"/>
              </w:rPr>
              <w:t>10</w:t>
            </w:r>
            <w:r w:rsidR="00D84327" w:rsidRPr="00FD4F5B">
              <w:rPr>
                <w:rFonts w:eastAsia="Times New Roman" w:cs="Times New Roman"/>
                <w:b/>
                <w:sz w:val="22"/>
              </w:rPr>
              <w:t xml:space="preserve"> </w:t>
            </w:r>
            <w:r w:rsidRPr="00FD4F5B">
              <w:rPr>
                <w:rFonts w:eastAsia="Times New Roman" w:cs="Times New Roman"/>
                <w:b/>
                <w:sz w:val="22"/>
              </w:rPr>
              <w:t>09</w:t>
            </w:r>
            <w:r w:rsidR="0007616D">
              <w:rPr>
                <w:rFonts w:eastAsia="Times New Roman" w:cs="Times New Roman"/>
                <w:b/>
                <w:sz w:val="22"/>
              </w:rPr>
              <w:t>9</w:t>
            </w:r>
          </w:p>
        </w:tc>
      </w:tr>
    </w:tbl>
    <w:p w:rsidR="0063571D" w:rsidRPr="00BE6EC8" w:rsidRDefault="0063571D" w:rsidP="00BE6EC8">
      <w:pPr>
        <w:pStyle w:val="Popis"/>
        <w:spacing w:before="60"/>
        <w:rPr>
          <w:b w:val="0"/>
          <w:bCs w:val="0"/>
          <w:sz w:val="24"/>
          <w:szCs w:val="22"/>
        </w:rPr>
      </w:pPr>
      <w:r w:rsidRPr="00BE6EC8">
        <w:rPr>
          <w:b w:val="0"/>
          <w:i/>
          <w:sz w:val="22"/>
          <w:szCs w:val="22"/>
        </w:rPr>
        <w:t xml:space="preserve"> </w:t>
      </w:r>
      <w:r w:rsidR="00BE6EC8" w:rsidRPr="00BE6EC8">
        <w:rPr>
          <w:b w:val="0"/>
          <w:i/>
          <w:sz w:val="22"/>
          <w:szCs w:val="22"/>
        </w:rPr>
        <w:t>Z</w:t>
      </w:r>
      <w:r w:rsidRPr="00BE6EC8">
        <w:rPr>
          <w:b w:val="0"/>
          <w:i/>
          <w:sz w:val="22"/>
          <w:szCs w:val="22"/>
        </w:rPr>
        <w:t xml:space="preserve">droj: </w:t>
      </w:r>
      <w:r w:rsidRPr="00BE6EC8">
        <w:rPr>
          <w:rFonts w:cs="Times New Roman"/>
          <w:b w:val="0"/>
          <w:i/>
          <w:sz w:val="22"/>
          <w:szCs w:val="22"/>
        </w:rPr>
        <w:t xml:space="preserve">Slovenský </w:t>
      </w:r>
      <w:proofErr w:type="spellStart"/>
      <w:r w:rsidRPr="00BE6EC8">
        <w:rPr>
          <w:rFonts w:cs="Times New Roman"/>
          <w:b w:val="0"/>
          <w:i/>
          <w:sz w:val="22"/>
          <w:szCs w:val="22"/>
        </w:rPr>
        <w:t>cykloklub</w:t>
      </w:r>
      <w:proofErr w:type="spellEnd"/>
      <w:r w:rsidRPr="00BE6EC8">
        <w:rPr>
          <w:rFonts w:cs="Times New Roman"/>
          <w:b w:val="0"/>
          <w:i/>
          <w:sz w:val="22"/>
          <w:szCs w:val="22"/>
        </w:rPr>
        <w:t>, Ž</w:t>
      </w:r>
      <w:r w:rsidR="00DA78D1">
        <w:rPr>
          <w:rFonts w:cs="Times New Roman"/>
          <w:b w:val="0"/>
          <w:i/>
          <w:sz w:val="22"/>
          <w:szCs w:val="22"/>
        </w:rPr>
        <w:t>ilinský samosprávny kraj</w:t>
      </w:r>
    </w:p>
    <w:p w:rsidR="00E90E16" w:rsidRDefault="00F87041" w:rsidP="008E6065">
      <w:pPr>
        <w:spacing w:after="60"/>
      </w:pPr>
      <w:r>
        <w:t>C</w:t>
      </w:r>
      <w:r w:rsidR="00E90E16" w:rsidRPr="00E90E16">
        <w:t>ykloturistické trasy sa rozdeľujú nasledovn</w:t>
      </w:r>
      <w:r w:rsidR="008E6065">
        <w:t>e</w:t>
      </w:r>
      <w:r w:rsidR="00E90E16" w:rsidRPr="00E90E16">
        <w:t xml:space="preserve">: </w:t>
      </w:r>
    </w:p>
    <w:p w:rsidR="00E90E16" w:rsidRPr="00E90E16" w:rsidRDefault="00E90E16" w:rsidP="00341DE1">
      <w:pPr>
        <w:pStyle w:val="Default"/>
        <w:numPr>
          <w:ilvl w:val="0"/>
          <w:numId w:val="1"/>
        </w:numPr>
        <w:rPr>
          <w:rFonts w:ascii="Times New Roman" w:hAnsi="Times New Roman" w:cs="Times New Roman"/>
          <w:color w:val="auto"/>
        </w:rPr>
      </w:pPr>
      <w:r w:rsidRPr="00E90E16">
        <w:rPr>
          <w:rFonts w:ascii="Times New Roman" w:hAnsi="Times New Roman" w:cs="Times New Roman"/>
          <w:color w:val="auto"/>
        </w:rPr>
        <w:t xml:space="preserve">podľa charakteru terénu: </w:t>
      </w:r>
      <w:r w:rsidR="008E6065">
        <w:rPr>
          <w:rFonts w:ascii="Times New Roman" w:hAnsi="Times New Roman" w:cs="Times New Roman"/>
          <w:color w:val="auto"/>
        </w:rPr>
        <w:tab/>
      </w:r>
      <w:r w:rsidR="008E6065">
        <w:rPr>
          <w:rFonts w:ascii="Times New Roman" w:hAnsi="Times New Roman" w:cs="Times New Roman"/>
          <w:color w:val="auto"/>
        </w:rPr>
        <w:tab/>
      </w:r>
      <w:r w:rsidR="008E6065">
        <w:rPr>
          <w:rFonts w:ascii="Times New Roman" w:hAnsi="Times New Roman" w:cs="Times New Roman"/>
          <w:color w:val="auto"/>
        </w:rPr>
        <w:tab/>
      </w:r>
      <w:r w:rsidR="008E6065">
        <w:rPr>
          <w:rFonts w:ascii="Times New Roman" w:hAnsi="Times New Roman" w:cs="Times New Roman"/>
          <w:color w:val="auto"/>
        </w:rPr>
        <w:tab/>
      </w:r>
      <w:r w:rsidRPr="00E90E16">
        <w:rPr>
          <w:rFonts w:ascii="Times New Roman" w:hAnsi="Times New Roman" w:cs="Times New Roman"/>
          <w:color w:val="auto"/>
        </w:rPr>
        <w:t xml:space="preserve">cestná a horská cykloturistika, </w:t>
      </w:r>
    </w:p>
    <w:p w:rsidR="008E6065" w:rsidRDefault="00E90E16" w:rsidP="00341DE1">
      <w:pPr>
        <w:pStyle w:val="Default"/>
        <w:numPr>
          <w:ilvl w:val="0"/>
          <w:numId w:val="1"/>
        </w:numPr>
        <w:rPr>
          <w:rFonts w:ascii="Times New Roman" w:hAnsi="Times New Roman" w:cs="Times New Roman"/>
          <w:color w:val="auto"/>
        </w:rPr>
      </w:pPr>
      <w:r w:rsidRPr="00E90E16">
        <w:rPr>
          <w:rFonts w:ascii="Times New Roman" w:hAnsi="Times New Roman" w:cs="Times New Roman"/>
          <w:color w:val="auto"/>
        </w:rPr>
        <w:t xml:space="preserve">podľa </w:t>
      </w:r>
      <w:r w:rsidR="008E6065">
        <w:rPr>
          <w:rFonts w:ascii="Times New Roman" w:hAnsi="Times New Roman" w:cs="Times New Roman"/>
          <w:color w:val="auto"/>
        </w:rPr>
        <w:t xml:space="preserve">dôležitosti vyjadrenej </w:t>
      </w:r>
      <w:r w:rsidRPr="00E90E16">
        <w:rPr>
          <w:rFonts w:ascii="Times New Roman" w:hAnsi="Times New Roman" w:cs="Times New Roman"/>
          <w:color w:val="auto"/>
        </w:rPr>
        <w:t>farebn</w:t>
      </w:r>
      <w:r w:rsidR="008E6065">
        <w:rPr>
          <w:rFonts w:ascii="Times New Roman" w:hAnsi="Times New Roman" w:cs="Times New Roman"/>
          <w:color w:val="auto"/>
        </w:rPr>
        <w:t>ým</w:t>
      </w:r>
      <w:r w:rsidRPr="00E90E16">
        <w:rPr>
          <w:rFonts w:ascii="Times New Roman" w:hAnsi="Times New Roman" w:cs="Times New Roman"/>
          <w:color w:val="auto"/>
        </w:rPr>
        <w:t xml:space="preserve"> označen</w:t>
      </w:r>
      <w:r w:rsidR="008E6065">
        <w:rPr>
          <w:rFonts w:ascii="Times New Roman" w:hAnsi="Times New Roman" w:cs="Times New Roman"/>
          <w:color w:val="auto"/>
        </w:rPr>
        <w:t>ím</w:t>
      </w:r>
      <w:r w:rsidRPr="00E90E16">
        <w:rPr>
          <w:rFonts w:ascii="Times New Roman" w:hAnsi="Times New Roman" w:cs="Times New Roman"/>
          <w:color w:val="auto"/>
        </w:rPr>
        <w:t xml:space="preserve">: </w:t>
      </w:r>
      <w:r w:rsidR="008E6065">
        <w:rPr>
          <w:rFonts w:ascii="Times New Roman" w:hAnsi="Times New Roman" w:cs="Times New Roman"/>
          <w:color w:val="auto"/>
        </w:rPr>
        <w:tab/>
      </w:r>
      <w:r w:rsidRPr="00E90E16">
        <w:rPr>
          <w:rFonts w:ascii="Times New Roman" w:hAnsi="Times New Roman" w:cs="Times New Roman"/>
          <w:color w:val="auto"/>
        </w:rPr>
        <w:t>červená – modrá – zelená – žltá</w:t>
      </w:r>
      <w:r w:rsidR="008E6065">
        <w:rPr>
          <w:rFonts w:ascii="Times New Roman" w:hAnsi="Times New Roman" w:cs="Times New Roman"/>
          <w:color w:val="auto"/>
        </w:rPr>
        <w:t>,</w:t>
      </w:r>
      <w:r w:rsidRPr="00E90E16">
        <w:rPr>
          <w:rFonts w:ascii="Times New Roman" w:hAnsi="Times New Roman" w:cs="Times New Roman"/>
          <w:color w:val="auto"/>
        </w:rPr>
        <w:t xml:space="preserve"> </w:t>
      </w:r>
    </w:p>
    <w:p w:rsidR="00E90E16" w:rsidRDefault="00E90E16" w:rsidP="00341DE1">
      <w:pPr>
        <w:pStyle w:val="Default"/>
        <w:numPr>
          <w:ilvl w:val="0"/>
          <w:numId w:val="1"/>
        </w:numPr>
        <w:rPr>
          <w:rFonts w:ascii="Times New Roman" w:hAnsi="Times New Roman" w:cs="Times New Roman"/>
          <w:color w:val="auto"/>
        </w:rPr>
      </w:pPr>
      <w:r w:rsidRPr="00E90E16">
        <w:rPr>
          <w:rFonts w:ascii="Times New Roman" w:hAnsi="Times New Roman" w:cs="Times New Roman"/>
          <w:color w:val="auto"/>
        </w:rPr>
        <w:t xml:space="preserve">podľa náročnosti: </w:t>
      </w:r>
      <w:r w:rsidR="008E6065">
        <w:rPr>
          <w:rFonts w:ascii="Times New Roman" w:hAnsi="Times New Roman" w:cs="Times New Roman"/>
          <w:color w:val="auto"/>
        </w:rPr>
        <w:tab/>
      </w:r>
      <w:r w:rsidR="008E6065">
        <w:rPr>
          <w:rFonts w:ascii="Times New Roman" w:hAnsi="Times New Roman" w:cs="Times New Roman"/>
          <w:color w:val="auto"/>
        </w:rPr>
        <w:tab/>
      </w:r>
      <w:r w:rsidR="008E6065">
        <w:rPr>
          <w:rFonts w:ascii="Times New Roman" w:hAnsi="Times New Roman" w:cs="Times New Roman"/>
          <w:color w:val="auto"/>
        </w:rPr>
        <w:tab/>
      </w:r>
      <w:r w:rsidR="008E6065">
        <w:rPr>
          <w:rFonts w:ascii="Times New Roman" w:hAnsi="Times New Roman" w:cs="Times New Roman"/>
          <w:color w:val="auto"/>
        </w:rPr>
        <w:tab/>
      </w:r>
      <w:r w:rsidR="008E6065">
        <w:rPr>
          <w:rFonts w:ascii="Times New Roman" w:hAnsi="Times New Roman" w:cs="Times New Roman"/>
          <w:color w:val="auto"/>
        </w:rPr>
        <w:tab/>
      </w:r>
      <w:proofErr w:type="spellStart"/>
      <w:r w:rsidRPr="00E90E16">
        <w:rPr>
          <w:rFonts w:ascii="Times New Roman" w:hAnsi="Times New Roman" w:cs="Times New Roman"/>
          <w:color w:val="auto"/>
        </w:rPr>
        <w:t>rekrea</w:t>
      </w:r>
      <w:proofErr w:type="spellEnd"/>
      <w:r w:rsidRPr="00E90E16">
        <w:rPr>
          <w:rFonts w:ascii="Times New Roman" w:hAnsi="Times New Roman" w:cs="Times New Roman"/>
          <w:color w:val="auto"/>
        </w:rPr>
        <w:t xml:space="preserve"> – </w:t>
      </w:r>
      <w:proofErr w:type="spellStart"/>
      <w:r w:rsidRPr="00E90E16">
        <w:rPr>
          <w:rFonts w:ascii="Times New Roman" w:hAnsi="Times New Roman" w:cs="Times New Roman"/>
          <w:color w:val="auto"/>
        </w:rPr>
        <w:t>sport</w:t>
      </w:r>
      <w:proofErr w:type="spellEnd"/>
      <w:r w:rsidRPr="00E90E16">
        <w:rPr>
          <w:rFonts w:ascii="Times New Roman" w:hAnsi="Times New Roman" w:cs="Times New Roman"/>
          <w:color w:val="auto"/>
        </w:rPr>
        <w:t xml:space="preserve"> – expert. </w:t>
      </w:r>
    </w:p>
    <w:p w:rsidR="00E90E16" w:rsidRPr="00E90E16" w:rsidRDefault="00E90E16" w:rsidP="00E90E16">
      <w:pPr>
        <w:pStyle w:val="Default"/>
        <w:rPr>
          <w:rFonts w:ascii="Times New Roman" w:hAnsi="Times New Roman" w:cs="Times New Roman"/>
          <w:color w:val="auto"/>
        </w:rPr>
      </w:pPr>
    </w:p>
    <w:p w:rsidR="0006541A" w:rsidRDefault="00F87041" w:rsidP="000009AA">
      <w:r>
        <w:t>Z</w:t>
      </w:r>
      <w:r w:rsidRPr="00E90E16">
        <w:t xml:space="preserve">načenie </w:t>
      </w:r>
      <w:r>
        <w:t xml:space="preserve">pre cyklistickú turistiku </w:t>
      </w:r>
      <w:r w:rsidRPr="00E90E16">
        <w:t xml:space="preserve">upravuje STN 01 8028 </w:t>
      </w:r>
      <w:r w:rsidR="008E6065">
        <w:t>–</w:t>
      </w:r>
      <w:r w:rsidRPr="00E90E16">
        <w:t xml:space="preserve"> Cykloturistické značenie.</w:t>
      </w:r>
      <w:r>
        <w:t xml:space="preserve"> </w:t>
      </w:r>
      <w:r w:rsidR="00E90E16" w:rsidRPr="00E90E16">
        <w:t>Najviac cyklotrás na Slovensku je vyznačených červenou farbou (</w:t>
      </w:r>
      <w:proofErr w:type="spellStart"/>
      <w:r w:rsidR="00E90E16" w:rsidRPr="00E90E16">
        <w:t>cyklomagistrály</w:t>
      </w:r>
      <w:proofErr w:type="spellEnd"/>
      <w:r w:rsidR="00E90E16" w:rsidRPr="00E90E16">
        <w:t xml:space="preserve"> – diaľkové trasy</w:t>
      </w:r>
      <w:r w:rsidR="008E6065">
        <w:t xml:space="preserve">, </w:t>
      </w:r>
      <w:r w:rsidR="00E90E16" w:rsidRPr="00E90E16">
        <w:t>2926 km</w:t>
      </w:r>
      <w:r w:rsidR="008E6065">
        <w:t>)</w:t>
      </w:r>
      <w:r w:rsidR="00E90E16" w:rsidRPr="00E90E16">
        <w:t xml:space="preserve">, nasledujú cyklotrasy označené modrou farbou (paralelné trasy k diaľkovým </w:t>
      </w:r>
      <w:proofErr w:type="spellStart"/>
      <w:r w:rsidR="00E90E16" w:rsidRPr="00E90E16">
        <w:t>cyklomagistrálam</w:t>
      </w:r>
      <w:proofErr w:type="spellEnd"/>
      <w:r w:rsidR="008E6065">
        <w:t xml:space="preserve"> –</w:t>
      </w:r>
      <w:r w:rsidR="00E90E16" w:rsidRPr="00E90E16">
        <w:t xml:space="preserve"> 2</w:t>
      </w:r>
      <w:r w:rsidR="008E6065">
        <w:t xml:space="preserve"> </w:t>
      </w:r>
      <w:r w:rsidR="00E90E16" w:rsidRPr="00E90E16">
        <w:t>896 km</w:t>
      </w:r>
      <w:r w:rsidR="008E6065">
        <w:t>)</w:t>
      </w:r>
      <w:r w:rsidR="00E90E16" w:rsidRPr="00E90E16">
        <w:t xml:space="preserve">, zelené </w:t>
      </w:r>
      <w:r w:rsidR="008E6065">
        <w:t>(</w:t>
      </w:r>
      <w:r w:rsidR="00E90E16" w:rsidRPr="00E90E16">
        <w:t>2</w:t>
      </w:r>
      <w:r w:rsidR="008E6065">
        <w:t xml:space="preserve"> </w:t>
      </w:r>
      <w:r w:rsidR="00E90E16" w:rsidRPr="00E90E16">
        <w:t>58</w:t>
      </w:r>
      <w:r w:rsidR="00F452BB">
        <w:t>8</w:t>
      </w:r>
      <w:r w:rsidR="00E90E16" w:rsidRPr="00E90E16">
        <w:t xml:space="preserve"> km</w:t>
      </w:r>
      <w:r w:rsidR="008E6065">
        <w:t>)</w:t>
      </w:r>
      <w:r w:rsidR="00E90E16" w:rsidRPr="00E90E16">
        <w:t xml:space="preserve"> a žltou značené cyklotrasy </w:t>
      </w:r>
      <w:r w:rsidR="008E6065">
        <w:t>(</w:t>
      </w:r>
      <w:r w:rsidR="00E90E16" w:rsidRPr="00E90E16">
        <w:t>1</w:t>
      </w:r>
      <w:r w:rsidR="008E6065">
        <w:t xml:space="preserve"> </w:t>
      </w:r>
      <w:r w:rsidR="00E90E16" w:rsidRPr="00E90E16">
        <w:t>220 km</w:t>
      </w:r>
      <w:r w:rsidR="008E6065">
        <w:t>)</w:t>
      </w:r>
      <w:r w:rsidR="00E90E16" w:rsidRPr="00E90E16">
        <w:t xml:space="preserve">. </w:t>
      </w:r>
      <w:r w:rsidR="00A47452">
        <w:t xml:space="preserve">  P</w:t>
      </w:r>
      <w:r w:rsidR="00E90E16" w:rsidRPr="00E90E16">
        <w:t xml:space="preserve">re cestné bicykle je </w:t>
      </w:r>
      <w:r w:rsidR="00A47452">
        <w:t xml:space="preserve">vhodných </w:t>
      </w:r>
      <w:r w:rsidR="00E90E16" w:rsidRPr="00E90E16">
        <w:t>cca 47 %, pre horské bicykle cca 53</w:t>
      </w:r>
      <w:r w:rsidR="00A47452">
        <w:t xml:space="preserve"> </w:t>
      </w:r>
      <w:r w:rsidR="00E90E16" w:rsidRPr="00E90E16">
        <w:t>%</w:t>
      </w:r>
      <w:r w:rsidR="00A47452">
        <w:t xml:space="preserve"> z celkovej dĺžky vyznačených cyklotrás</w:t>
      </w:r>
      <w:r w:rsidR="00E90E16" w:rsidRPr="00E90E16">
        <w:t xml:space="preserve">. </w:t>
      </w:r>
    </w:p>
    <w:p w:rsidR="00844CC4" w:rsidRDefault="00844CC4" w:rsidP="00183E3C">
      <w:pPr>
        <w:spacing w:after="360"/>
      </w:pPr>
    </w:p>
    <w:p w:rsidR="00B56A8F" w:rsidRDefault="00300D72" w:rsidP="00B12FE2">
      <w:pPr>
        <w:pStyle w:val="Nadpis3"/>
      </w:pPr>
      <w:bookmarkStart w:id="144" w:name="_Toc336009343"/>
      <w:bookmarkStart w:id="145" w:name="_Toc336009433"/>
      <w:bookmarkStart w:id="146" w:name="_Toc336009511"/>
      <w:bookmarkStart w:id="147" w:name="_Toc336009593"/>
      <w:bookmarkStart w:id="148" w:name="_Toc336009675"/>
      <w:bookmarkStart w:id="149" w:name="_Toc336009754"/>
      <w:bookmarkStart w:id="150" w:name="_Toc336009833"/>
      <w:bookmarkStart w:id="151" w:name="_Toc336009913"/>
      <w:bookmarkStart w:id="152" w:name="_Toc336009997"/>
      <w:bookmarkStart w:id="153" w:name="_Toc336010350"/>
      <w:bookmarkStart w:id="154" w:name="_Toc336010428"/>
      <w:bookmarkStart w:id="155" w:name="_Toc347921375"/>
      <w:bookmarkEnd w:id="144"/>
      <w:bookmarkEnd w:id="145"/>
      <w:bookmarkEnd w:id="146"/>
      <w:bookmarkEnd w:id="147"/>
      <w:bookmarkEnd w:id="148"/>
      <w:bookmarkEnd w:id="149"/>
      <w:bookmarkEnd w:id="150"/>
      <w:bookmarkEnd w:id="151"/>
      <w:bookmarkEnd w:id="152"/>
      <w:bookmarkEnd w:id="153"/>
      <w:bookmarkEnd w:id="154"/>
      <w:r w:rsidRPr="00300D72">
        <w:lastRenderedPageBreak/>
        <w:t xml:space="preserve">Doplnková </w:t>
      </w:r>
      <w:proofErr w:type="spellStart"/>
      <w:r w:rsidRPr="00300D72">
        <w:t>cykloinfraštruktúra</w:t>
      </w:r>
      <w:bookmarkEnd w:id="155"/>
      <w:proofErr w:type="spellEnd"/>
    </w:p>
    <w:p w:rsidR="000253AC" w:rsidRPr="000253AC" w:rsidRDefault="000253AC" w:rsidP="00B12FE2">
      <w:r w:rsidRPr="000253AC">
        <w:t xml:space="preserve">Medzi doplnkovú </w:t>
      </w:r>
      <w:proofErr w:type="spellStart"/>
      <w:r w:rsidRPr="000253AC">
        <w:t>cykloinfraštruktúru</w:t>
      </w:r>
      <w:proofErr w:type="spellEnd"/>
      <w:r w:rsidRPr="000253AC">
        <w:t xml:space="preserve"> je možné zaradiť </w:t>
      </w:r>
      <w:r w:rsidR="008955CC">
        <w:t xml:space="preserve">napríklad </w:t>
      </w:r>
      <w:r w:rsidRPr="000253AC">
        <w:t xml:space="preserve">stojany </w:t>
      </w:r>
      <w:r w:rsidR="00A47452">
        <w:t>na</w:t>
      </w:r>
      <w:r w:rsidRPr="000253AC">
        <w:t xml:space="preserve"> parkovanie bicyklov, </w:t>
      </w:r>
      <w:proofErr w:type="spellStart"/>
      <w:r w:rsidRPr="000253AC">
        <w:t>cykloodpočívadlá</w:t>
      </w:r>
      <w:proofErr w:type="spellEnd"/>
      <w:r w:rsidRPr="000253AC">
        <w:t>, stojany s veľkoplošnými mapami, informačné tabule</w:t>
      </w:r>
      <w:r w:rsidR="005951C4">
        <w:t xml:space="preserve">, </w:t>
      </w:r>
      <w:proofErr w:type="spellStart"/>
      <w:r w:rsidR="005951C4">
        <w:t>cyklosmerovníky</w:t>
      </w:r>
      <w:proofErr w:type="spellEnd"/>
      <w:r w:rsidR="005951C4">
        <w:t xml:space="preserve"> a podobne</w:t>
      </w:r>
      <w:r w:rsidR="008955CC">
        <w:t>.</w:t>
      </w:r>
    </w:p>
    <w:p w:rsidR="00026C35" w:rsidRPr="00EE27DC" w:rsidRDefault="000253AC" w:rsidP="00B12FE2">
      <w:pPr>
        <w:rPr>
          <w:b/>
        </w:rPr>
      </w:pPr>
      <w:r w:rsidRPr="00B12FE2">
        <w:rPr>
          <w:b/>
        </w:rPr>
        <w:t xml:space="preserve">Stojany </w:t>
      </w:r>
      <w:r w:rsidR="00577928">
        <w:rPr>
          <w:b/>
        </w:rPr>
        <w:t>na</w:t>
      </w:r>
      <w:r w:rsidRPr="00B12FE2">
        <w:rPr>
          <w:b/>
        </w:rPr>
        <w:t xml:space="preserve"> bicykle</w:t>
      </w:r>
    </w:p>
    <w:p w:rsidR="00026C35" w:rsidRPr="000253AC" w:rsidRDefault="000253AC" w:rsidP="00B12FE2">
      <w:pPr>
        <w:ind w:left="708"/>
      </w:pPr>
      <w:r w:rsidRPr="000253AC">
        <w:t xml:space="preserve">Na Slovensku </w:t>
      </w:r>
      <w:r w:rsidR="00E638D2">
        <w:t>neexistuje</w:t>
      </w:r>
      <w:r w:rsidR="00E638D2" w:rsidRPr="000253AC">
        <w:t xml:space="preserve"> </w:t>
      </w:r>
      <w:r w:rsidRPr="000253AC">
        <w:t>žiadn</w:t>
      </w:r>
      <w:r w:rsidR="00E638D2">
        <w:t>a</w:t>
      </w:r>
      <w:r w:rsidRPr="000253AC">
        <w:t xml:space="preserve"> technick</w:t>
      </w:r>
      <w:r w:rsidR="00E638D2">
        <w:t>á</w:t>
      </w:r>
      <w:r w:rsidRPr="000253AC">
        <w:t xml:space="preserve"> norm</w:t>
      </w:r>
      <w:r w:rsidR="00E638D2">
        <w:t>a</w:t>
      </w:r>
      <w:r w:rsidRPr="000253AC">
        <w:t xml:space="preserve"> či metodický pokyn, ktor</w:t>
      </w:r>
      <w:r w:rsidR="00E638D2">
        <w:t>é</w:t>
      </w:r>
      <w:r w:rsidRPr="000253AC">
        <w:t xml:space="preserve"> by sa venoval</w:t>
      </w:r>
      <w:r w:rsidR="00E638D2">
        <w:t>i</w:t>
      </w:r>
      <w:r w:rsidRPr="000253AC">
        <w:t xml:space="preserve"> umiestňovaniu či technickým parametrom zariadení slúžiacich na </w:t>
      </w:r>
      <w:r w:rsidR="00D575A5">
        <w:t>parkova</w:t>
      </w:r>
      <w:r w:rsidR="00D575A5" w:rsidRPr="000253AC">
        <w:t xml:space="preserve">nie </w:t>
      </w:r>
      <w:r w:rsidRPr="000253AC">
        <w:t xml:space="preserve">bicyklov. Existuje však niekoľko publikácií vydaných predovšetkým občianskymi združeniami, ktoré môžu byť inšpiráciou pre </w:t>
      </w:r>
      <w:r w:rsidR="0041665C">
        <w:t>tých</w:t>
      </w:r>
      <w:r w:rsidRPr="000253AC">
        <w:t>, ktorí plánujú a navrhujú aj cyklistickú infraštruktúru. Ide napr. o</w:t>
      </w:r>
      <w:r w:rsidR="00E638D2">
        <w:t> </w:t>
      </w:r>
      <w:r w:rsidRPr="000253AC">
        <w:t xml:space="preserve">publikáciu </w:t>
      </w:r>
      <w:r w:rsidR="0001797F">
        <w:t>občianskeho združenia</w:t>
      </w:r>
      <w:r w:rsidRPr="000253AC">
        <w:t xml:space="preserve"> </w:t>
      </w:r>
      <w:proofErr w:type="spellStart"/>
      <w:r w:rsidRPr="000253AC">
        <w:t>Cyklokoalícia</w:t>
      </w:r>
      <w:proofErr w:type="spellEnd"/>
      <w:r w:rsidRPr="000253AC">
        <w:t xml:space="preserve"> „Parkovací manuál“. Zaujímavá publikácia bola vydaná aj v rámci projektu BICY s</w:t>
      </w:r>
      <w:r w:rsidR="00E638D2">
        <w:t> </w:t>
      </w:r>
      <w:r w:rsidRPr="000253AC">
        <w:t>názvom Ľahké parkovanie bicyklov, ktorá poskytuje návod na budovanie parkovacích zariadení pre bicykle.</w:t>
      </w:r>
    </w:p>
    <w:p w:rsidR="000253AC" w:rsidRDefault="000253AC" w:rsidP="00B12FE2">
      <w:pPr>
        <w:ind w:left="708"/>
      </w:pPr>
      <w:r w:rsidRPr="000253AC">
        <w:t>Podľa vykonaného dotazníkového prieskumu v slovenských mestách s</w:t>
      </w:r>
      <w:r w:rsidR="00A47452">
        <w:t>a</w:t>
      </w:r>
      <w:r w:rsidRPr="000253AC">
        <w:t xml:space="preserve"> náklady na inštaláciu </w:t>
      </w:r>
      <w:r w:rsidR="00A47452">
        <w:t>jedného</w:t>
      </w:r>
      <w:r w:rsidRPr="000253AC">
        <w:t xml:space="preserve"> stojanu s kapacitou 10 bicyklov </w:t>
      </w:r>
      <w:r w:rsidR="00A47452">
        <w:t xml:space="preserve">pohybujú </w:t>
      </w:r>
      <w:r w:rsidRPr="000253AC">
        <w:t>v</w:t>
      </w:r>
      <w:r w:rsidR="00A47452">
        <w:t> širokom rozpätí</w:t>
      </w:r>
      <w:r w:rsidRPr="000253AC">
        <w:t xml:space="preserve"> 200 až 2 500 €. Najviac </w:t>
      </w:r>
      <w:proofErr w:type="spellStart"/>
      <w:r w:rsidRPr="000253AC">
        <w:t>cyklostojanov</w:t>
      </w:r>
      <w:proofErr w:type="spellEnd"/>
      <w:r w:rsidR="00D9761A">
        <w:t xml:space="preserve">  </w:t>
      </w:r>
      <w:r w:rsidRPr="000253AC">
        <w:t>je v</w:t>
      </w:r>
      <w:r w:rsidR="00A47452">
        <w:t> </w:t>
      </w:r>
      <w:r w:rsidRPr="000253AC">
        <w:t>Košiciach</w:t>
      </w:r>
      <w:r w:rsidR="00A47452">
        <w:t xml:space="preserve"> (134)</w:t>
      </w:r>
      <w:r w:rsidRPr="000253AC">
        <w:t xml:space="preserve">. Z autobusových staníc, železničných staníc a zastávok v sledovaných mestách je </w:t>
      </w:r>
      <w:r w:rsidR="006E73C4">
        <w:t xml:space="preserve">len </w:t>
      </w:r>
      <w:r w:rsidRPr="000253AC">
        <w:t>1</w:t>
      </w:r>
      <w:r w:rsidR="00A47452">
        <w:t>6</w:t>
      </w:r>
      <w:r w:rsidRPr="000253AC">
        <w:t xml:space="preserve"> % vybavených parkoviskami alebo stojanmi pre bicykle.</w:t>
      </w:r>
    </w:p>
    <w:p w:rsidR="00026C35" w:rsidRPr="00B12FE2" w:rsidRDefault="000253AC" w:rsidP="00B12FE2">
      <w:pPr>
        <w:rPr>
          <w:b/>
        </w:rPr>
      </w:pPr>
      <w:proofErr w:type="spellStart"/>
      <w:r w:rsidRPr="00B12FE2">
        <w:rPr>
          <w:b/>
        </w:rPr>
        <w:t>Cykloodpočívadlá</w:t>
      </w:r>
      <w:proofErr w:type="spellEnd"/>
    </w:p>
    <w:p w:rsidR="000253AC" w:rsidRPr="009C292F" w:rsidRDefault="00326360" w:rsidP="00B12FE2">
      <w:pPr>
        <w:ind w:left="708"/>
      </w:pPr>
      <w:proofErr w:type="spellStart"/>
      <w:r>
        <w:t>Cykloodpočívadlá</w:t>
      </w:r>
      <w:proofErr w:type="spellEnd"/>
      <w:r>
        <w:t xml:space="preserve"> s</w:t>
      </w:r>
      <w:r w:rsidR="000253AC" w:rsidRPr="000253AC">
        <w:t xml:space="preserve">ú miestami pre oddych </w:t>
      </w:r>
      <w:r w:rsidR="00A47452">
        <w:t xml:space="preserve">a posedenie </w:t>
      </w:r>
      <w:proofErr w:type="spellStart"/>
      <w:r w:rsidR="000253AC" w:rsidRPr="000253AC">
        <w:t>cykloturistov</w:t>
      </w:r>
      <w:proofErr w:type="spellEnd"/>
      <w:r w:rsidR="000253AC" w:rsidRPr="000253AC">
        <w:t xml:space="preserve">, ale i miestom úkrytu pred </w:t>
      </w:r>
      <w:r w:rsidR="00A47452">
        <w:t>zlým počasím</w:t>
      </w:r>
      <w:r w:rsidR="000253AC" w:rsidRPr="000253AC">
        <w:t xml:space="preserve">. Na Slovensku sa nachádzajú pomerne husté odpočinkové miesta </w:t>
      </w:r>
      <w:r w:rsidR="008F244C">
        <w:t xml:space="preserve">iba </w:t>
      </w:r>
      <w:r w:rsidR="00A47452">
        <w:t xml:space="preserve">na niektorých cyklotrasách </w:t>
      </w:r>
      <w:r w:rsidR="000253AC" w:rsidRPr="000253AC">
        <w:t>v</w:t>
      </w:r>
      <w:r w:rsidR="001D45CA">
        <w:t xml:space="preserve"> Trenčianskom, </w:t>
      </w:r>
      <w:r w:rsidR="000253AC" w:rsidRPr="000253AC">
        <w:t>Trnavskom</w:t>
      </w:r>
      <w:r w:rsidR="001D45CA">
        <w:t>,</w:t>
      </w:r>
      <w:r w:rsidR="000253AC" w:rsidRPr="000253AC">
        <w:t xml:space="preserve"> Bratislavskom </w:t>
      </w:r>
      <w:r w:rsidR="001D45CA">
        <w:t xml:space="preserve">a Prešovskom </w:t>
      </w:r>
      <w:r w:rsidR="000253AC" w:rsidRPr="000253AC">
        <w:t xml:space="preserve">kraji. Tvoria ich </w:t>
      </w:r>
      <w:r w:rsidR="00A47452">
        <w:t xml:space="preserve">napríklad </w:t>
      </w:r>
      <w:r w:rsidR="000253AC" w:rsidRPr="000253AC">
        <w:t xml:space="preserve">odpočinkové </w:t>
      </w:r>
      <w:r>
        <w:t xml:space="preserve">miesta </w:t>
      </w:r>
      <w:r w:rsidR="000253AC" w:rsidRPr="000253AC">
        <w:t xml:space="preserve">na </w:t>
      </w:r>
      <w:r w:rsidR="00366622">
        <w:t>hrádzi</w:t>
      </w:r>
      <w:r w:rsidR="00366622" w:rsidRPr="000253AC">
        <w:t xml:space="preserve"> </w:t>
      </w:r>
      <w:r w:rsidR="000253AC" w:rsidRPr="000253AC">
        <w:t xml:space="preserve">vodného diela Gabčíkovo, drevené odpočívadlá na Moravskej </w:t>
      </w:r>
      <w:proofErr w:type="spellStart"/>
      <w:r w:rsidR="000253AC" w:rsidRPr="000253AC">
        <w:t>cykloceste</w:t>
      </w:r>
      <w:proofErr w:type="spellEnd"/>
      <w:r w:rsidR="000253AC" w:rsidRPr="000253AC">
        <w:t xml:space="preserve"> a časť na Dunajskej </w:t>
      </w:r>
      <w:proofErr w:type="spellStart"/>
      <w:r w:rsidR="000253AC" w:rsidRPr="000253AC">
        <w:t>cykloceste</w:t>
      </w:r>
      <w:proofErr w:type="spellEnd"/>
      <w:r w:rsidR="000253AC" w:rsidRPr="000253AC">
        <w:t xml:space="preserve">. Odpočívadlá sú i na cyklotrasách v Skalici. Sieť 40 </w:t>
      </w:r>
      <w:proofErr w:type="spellStart"/>
      <w:r w:rsidR="000253AC" w:rsidRPr="000253AC">
        <w:t>cykloodpočívadiel</w:t>
      </w:r>
      <w:proofErr w:type="spellEnd"/>
      <w:r w:rsidR="000253AC" w:rsidRPr="000253AC">
        <w:t xml:space="preserve"> sa nachádza v Trenčianskom kraji v okolí Myjavy</w:t>
      </w:r>
      <w:r w:rsidR="000253AC" w:rsidRPr="009C292F">
        <w:t xml:space="preserve">. </w:t>
      </w:r>
      <w:r w:rsidR="008931A4" w:rsidRPr="009C292F">
        <w:rPr>
          <w:rFonts w:eastAsia="Calibri" w:cs="Times New Roman"/>
        </w:rPr>
        <w:t>Štýlové odpočívadlá sú postavené na náročnej horskej MTB cyklotrase Alžbeta v </w:t>
      </w:r>
      <w:proofErr w:type="spellStart"/>
      <w:r w:rsidR="008931A4" w:rsidRPr="009C292F">
        <w:rPr>
          <w:rFonts w:eastAsia="Calibri" w:cs="Times New Roman"/>
        </w:rPr>
        <w:t>Slánskych</w:t>
      </w:r>
      <w:proofErr w:type="spellEnd"/>
      <w:r w:rsidR="008931A4" w:rsidRPr="009C292F">
        <w:rPr>
          <w:rFonts w:eastAsia="Calibri" w:cs="Times New Roman"/>
        </w:rPr>
        <w:t xml:space="preserve"> vrchoch. </w:t>
      </w:r>
      <w:r w:rsidR="000253AC" w:rsidRPr="009C292F">
        <w:t>Na ostatných miestach Slovenska sú odpočívadlá vybudované iba jednotlivo.</w:t>
      </w:r>
    </w:p>
    <w:p w:rsidR="00026C35" w:rsidRPr="00026C35" w:rsidRDefault="000253AC" w:rsidP="00B12FE2">
      <w:r w:rsidRPr="00B12FE2">
        <w:rPr>
          <w:b/>
        </w:rPr>
        <w:t>Projekt Vita</w:t>
      </w:r>
      <w:r w:rsidR="00026C35" w:rsidRPr="00B12FE2">
        <w:rPr>
          <w:b/>
        </w:rPr>
        <w:t>jte cyklisti</w:t>
      </w:r>
    </w:p>
    <w:p w:rsidR="00026C35" w:rsidRPr="00026C35" w:rsidRDefault="000253AC" w:rsidP="00B12FE2">
      <w:pPr>
        <w:ind w:left="708"/>
        <w:rPr>
          <w:szCs w:val="24"/>
        </w:rPr>
      </w:pPr>
      <w:r w:rsidRPr="00026C35">
        <w:rPr>
          <w:szCs w:val="24"/>
        </w:rPr>
        <w:t>Jedným z najvýznamnejších projektov zameraných na podporu služieb pre cyklistov v</w:t>
      </w:r>
      <w:r w:rsidR="00326360">
        <w:rPr>
          <w:szCs w:val="24"/>
        </w:rPr>
        <w:t> </w:t>
      </w:r>
      <w:r w:rsidRPr="00026C35">
        <w:rPr>
          <w:szCs w:val="24"/>
        </w:rPr>
        <w:t>SR je projekt „Vitajte cyklisti“. Do projektu sa zapájajú štyri skupiny zariadení: ubytovacie zariadenia, kempingy, stravovacie zariadenia, turistické ciele a služby. V</w:t>
      </w:r>
      <w:r w:rsidR="00326360">
        <w:rPr>
          <w:szCs w:val="24"/>
        </w:rPr>
        <w:t> </w:t>
      </w:r>
      <w:r w:rsidRPr="00026C35">
        <w:rPr>
          <w:szCs w:val="24"/>
        </w:rPr>
        <w:t>súčasnosti je na území Slovenska 67 zariadení zaradených do tejto siete a</w:t>
      </w:r>
      <w:r w:rsidR="00326360">
        <w:rPr>
          <w:szCs w:val="24"/>
        </w:rPr>
        <w:t> </w:t>
      </w:r>
      <w:r w:rsidRPr="00026C35">
        <w:rPr>
          <w:szCs w:val="24"/>
        </w:rPr>
        <w:t>evidovaných v internetovej databáze Vitajte cyklisti.</w:t>
      </w:r>
    </w:p>
    <w:p w:rsidR="000253AC" w:rsidRDefault="000253AC" w:rsidP="00183E3C">
      <w:pPr>
        <w:spacing w:after="360"/>
        <w:ind w:left="709"/>
        <w:rPr>
          <w:szCs w:val="24"/>
        </w:rPr>
      </w:pPr>
      <w:r w:rsidRPr="000253AC">
        <w:rPr>
          <w:szCs w:val="24"/>
        </w:rPr>
        <w:t xml:space="preserve">Sieť </w:t>
      </w:r>
      <w:proofErr w:type="spellStart"/>
      <w:r w:rsidRPr="000253AC">
        <w:rPr>
          <w:szCs w:val="24"/>
        </w:rPr>
        <w:t>cykloservisov</w:t>
      </w:r>
      <w:proofErr w:type="spellEnd"/>
      <w:r w:rsidRPr="000253AC">
        <w:rPr>
          <w:szCs w:val="24"/>
        </w:rPr>
        <w:t xml:space="preserve"> a </w:t>
      </w:r>
      <w:proofErr w:type="spellStart"/>
      <w:r w:rsidRPr="000253AC">
        <w:rPr>
          <w:szCs w:val="24"/>
        </w:rPr>
        <w:t>cykloobchodov</w:t>
      </w:r>
      <w:proofErr w:type="spellEnd"/>
      <w:r w:rsidRPr="000253AC">
        <w:rPr>
          <w:szCs w:val="24"/>
        </w:rPr>
        <w:t xml:space="preserve"> je hlavne vo väčších mestách a obciach dostačujúca a budovanie nových sa riadi potrebami trhu. </w:t>
      </w:r>
      <w:r w:rsidR="008F244C">
        <w:rPr>
          <w:szCs w:val="24"/>
        </w:rPr>
        <w:t>Vítaným spôsobom ich dopĺňajú s</w:t>
      </w:r>
      <w:r w:rsidR="008F244C" w:rsidRPr="000253AC">
        <w:rPr>
          <w:szCs w:val="24"/>
        </w:rPr>
        <w:t>amoobslužné servisy</w:t>
      </w:r>
      <w:r w:rsidR="008F244C">
        <w:rPr>
          <w:szCs w:val="24"/>
        </w:rPr>
        <w:t xml:space="preserve">, fungujúce vďaka nadšencom – zatiaľ fungujú iba dva, </w:t>
      </w:r>
      <w:r w:rsidR="008F244C" w:rsidRPr="000253AC">
        <w:rPr>
          <w:szCs w:val="24"/>
        </w:rPr>
        <w:t>v Bratislave a Žiline.</w:t>
      </w:r>
    </w:p>
    <w:p w:rsidR="00300D72" w:rsidRDefault="00300D72" w:rsidP="00B12FE2">
      <w:pPr>
        <w:pStyle w:val="Nadpis3"/>
      </w:pPr>
      <w:bookmarkStart w:id="156" w:name="_Toc336009345"/>
      <w:bookmarkStart w:id="157" w:name="_Toc336009435"/>
      <w:bookmarkStart w:id="158" w:name="_Toc336009513"/>
      <w:bookmarkStart w:id="159" w:name="_Toc336009595"/>
      <w:bookmarkStart w:id="160" w:name="_Toc336009677"/>
      <w:bookmarkStart w:id="161" w:name="_Toc336009756"/>
      <w:bookmarkStart w:id="162" w:name="_Toc336009835"/>
      <w:bookmarkStart w:id="163" w:name="_Toc336009915"/>
      <w:bookmarkStart w:id="164" w:name="_Toc336009999"/>
      <w:bookmarkStart w:id="165" w:name="_Toc336010352"/>
      <w:bookmarkStart w:id="166" w:name="_Toc336010430"/>
      <w:bookmarkStart w:id="167" w:name="_Toc347921376"/>
      <w:bookmarkEnd w:id="156"/>
      <w:bookmarkEnd w:id="157"/>
      <w:bookmarkEnd w:id="158"/>
      <w:bookmarkEnd w:id="159"/>
      <w:bookmarkEnd w:id="160"/>
      <w:bookmarkEnd w:id="161"/>
      <w:bookmarkEnd w:id="162"/>
      <w:bookmarkEnd w:id="163"/>
      <w:bookmarkEnd w:id="164"/>
      <w:bookmarkEnd w:id="165"/>
      <w:bookmarkEnd w:id="166"/>
      <w:r>
        <w:t>Preprava bicyklov v prostriedkoch verejnej osobnej dopravy</w:t>
      </w:r>
      <w:bookmarkEnd w:id="167"/>
    </w:p>
    <w:p w:rsidR="00CA6E62" w:rsidRDefault="000253AC" w:rsidP="00B12FE2">
      <w:r w:rsidRPr="000253AC">
        <w:t xml:space="preserve">Ďalšou službou podporujúcou využívanie bicykla je preprava bicyklov v prostriedkoch verejnej osobnej dopravy (VOD). </w:t>
      </w:r>
    </w:p>
    <w:p w:rsidR="000253AC" w:rsidRDefault="000253AC" w:rsidP="00B12FE2">
      <w:r w:rsidRPr="000253AC">
        <w:t xml:space="preserve">Prepravu bicyklov vo vybraných </w:t>
      </w:r>
      <w:r w:rsidR="00856BDB">
        <w:t xml:space="preserve">železničných </w:t>
      </w:r>
      <w:r w:rsidRPr="000253AC">
        <w:t xml:space="preserve">vozňoch umožňujú dvaja licencovaní osobní železniční dopravcovia </w:t>
      </w:r>
      <w:r w:rsidR="00183E3C">
        <w:t>–</w:t>
      </w:r>
      <w:r w:rsidRPr="000253AC">
        <w:t xml:space="preserve"> Železničná spoločnosť Slovensko a</w:t>
      </w:r>
      <w:r w:rsidR="00326360">
        <w:t> </w:t>
      </w:r>
      <w:proofErr w:type="spellStart"/>
      <w:r w:rsidRPr="000253AC">
        <w:t>RegioJet</w:t>
      </w:r>
      <w:proofErr w:type="spellEnd"/>
      <w:r w:rsidRPr="000253AC">
        <w:t xml:space="preserve">. </w:t>
      </w:r>
      <w:r w:rsidR="00CA6E62">
        <w:t xml:space="preserve">Vzhľadom na </w:t>
      </w:r>
      <w:r w:rsidR="00CA6E62">
        <w:lastRenderedPageBreak/>
        <w:t xml:space="preserve">vzrastajúci záujem cyklistov o prepravu bicyklov bude potrebné rozšíriť </w:t>
      </w:r>
      <w:r w:rsidR="00856BDB">
        <w:t xml:space="preserve">a skvalitniť </w:t>
      </w:r>
      <w:r w:rsidR="00CA6E62">
        <w:t>pon</w:t>
      </w:r>
      <w:r w:rsidR="00856BDB">
        <w:t>úkané služby.</w:t>
      </w:r>
    </w:p>
    <w:p w:rsidR="000253AC" w:rsidRPr="00B12FE2" w:rsidRDefault="000253AC" w:rsidP="00B12FE2">
      <w:pPr>
        <w:rPr>
          <w:color w:val="4F6228" w:themeColor="accent3" w:themeShade="80"/>
        </w:rPr>
      </w:pPr>
      <w:r w:rsidRPr="000253AC">
        <w:t xml:space="preserve">Možnosť vziať si bicykel so sebou do autobusu </w:t>
      </w:r>
      <w:r w:rsidR="00326360">
        <w:t>VOD</w:t>
      </w:r>
      <w:r w:rsidRPr="000253AC">
        <w:t xml:space="preserve"> nie je na Slovensku bežná. Upravená býva v </w:t>
      </w:r>
      <w:r w:rsidR="001D1C0E">
        <w:t>prepravných poriadkoch</w:t>
      </w:r>
      <w:r w:rsidR="001D1C0E" w:rsidRPr="000253AC">
        <w:t xml:space="preserve"> </w:t>
      </w:r>
      <w:r w:rsidRPr="000228F0">
        <w:t xml:space="preserve">jednotlivých </w:t>
      </w:r>
      <w:r w:rsidR="00326360">
        <w:t>dopravcov</w:t>
      </w:r>
      <w:r w:rsidRPr="000228F0">
        <w:t xml:space="preserve"> a tí zväčša nepovoľujú prepravu bicyklov. Výnimkou je napríklad MHD v Bratislav</w:t>
      </w:r>
      <w:r w:rsidR="00D70E57" w:rsidRPr="00EE27DC">
        <w:t>e</w:t>
      </w:r>
      <w:r w:rsidRPr="00B12FE2">
        <w:t xml:space="preserve">, kde je od </w:t>
      </w:r>
      <w:r w:rsidR="0090363A" w:rsidRPr="00B12FE2">
        <w:t>1.</w:t>
      </w:r>
      <w:r w:rsidR="00326360">
        <w:t> </w:t>
      </w:r>
      <w:r w:rsidR="0090363A" w:rsidRPr="00B12FE2">
        <w:t>8.</w:t>
      </w:r>
      <w:r w:rsidR="00326360">
        <w:t> </w:t>
      </w:r>
      <w:r w:rsidRPr="00B12FE2">
        <w:t xml:space="preserve">2012 možné prepravovať bicykle </w:t>
      </w:r>
      <w:r w:rsidR="00326360">
        <w:t>v každom vozidle a v ľubovoľnom čase pri dodržaní prepravného poriadku</w:t>
      </w:r>
      <w:r w:rsidRPr="000228F0">
        <w:t xml:space="preserve">. Prepravovať bicykel v prostriedkoch </w:t>
      </w:r>
      <w:r w:rsidR="00326360">
        <w:t>MHD</w:t>
      </w:r>
      <w:r w:rsidR="00326360" w:rsidRPr="000228F0">
        <w:t xml:space="preserve"> </w:t>
      </w:r>
      <w:r w:rsidRPr="00EE27DC">
        <w:t>je možn</w:t>
      </w:r>
      <w:r w:rsidR="00326360">
        <w:t>é</w:t>
      </w:r>
      <w:r w:rsidRPr="00EE27DC">
        <w:t xml:space="preserve"> aj v</w:t>
      </w:r>
      <w:r w:rsidR="00326360">
        <w:t> </w:t>
      </w:r>
      <w:r w:rsidRPr="000228F0">
        <w:t>Košiciach</w:t>
      </w:r>
      <w:r w:rsidR="00326360">
        <w:t>, avšak iba na jedinej linke a len cez voľné dni</w:t>
      </w:r>
      <w:r w:rsidRPr="000228F0">
        <w:t>.</w:t>
      </w:r>
    </w:p>
    <w:p w:rsidR="000253AC" w:rsidRPr="000253AC" w:rsidRDefault="000253AC" w:rsidP="00B12FE2">
      <w:r w:rsidRPr="000253AC">
        <w:t>Špeciálnou službou, ktorú cyklistom ponúkajú viaceré mestá, je možnosť prepravovať bicykle v špeciálne upravených „</w:t>
      </w:r>
      <w:proofErr w:type="spellStart"/>
      <w:r w:rsidRPr="000253AC">
        <w:t>cyklobusoch</w:t>
      </w:r>
      <w:proofErr w:type="spellEnd"/>
      <w:r w:rsidRPr="000253AC">
        <w:t xml:space="preserve">“. Tie slúžia predovšetkým na bezpečnú a pohodlnú prepravu </w:t>
      </w:r>
      <w:proofErr w:type="spellStart"/>
      <w:r w:rsidRPr="000253AC">
        <w:t>cykloturistov</w:t>
      </w:r>
      <w:proofErr w:type="spellEnd"/>
      <w:r w:rsidRPr="000253AC">
        <w:t xml:space="preserve"> z mestských častí do okolitých oblastí ponúkajúcich bezpečné cykloturistické trasy. V uplynulých rokoch túto službu ponúkali v mestách Bratislava, Nitra</w:t>
      </w:r>
      <w:r w:rsidR="00326360">
        <w:t xml:space="preserve"> a </w:t>
      </w:r>
      <w:r w:rsidRPr="000253AC">
        <w:t>Dunajská Streda</w:t>
      </w:r>
      <w:r w:rsidR="00366622">
        <w:t>.</w:t>
      </w:r>
      <w:r w:rsidRPr="000253AC">
        <w:t xml:space="preserve"> </w:t>
      </w:r>
    </w:p>
    <w:p w:rsidR="00753D85" w:rsidRDefault="00753D85" w:rsidP="00040C75">
      <w:pPr>
        <w:pStyle w:val="Nadpis2"/>
      </w:pPr>
      <w:bookmarkStart w:id="168" w:name="_Toc336009347"/>
      <w:bookmarkStart w:id="169" w:name="_Toc336009437"/>
      <w:bookmarkStart w:id="170" w:name="_Toc336009515"/>
      <w:bookmarkStart w:id="171" w:name="_Toc336009597"/>
      <w:bookmarkStart w:id="172" w:name="_Toc336009679"/>
      <w:bookmarkStart w:id="173" w:name="_Toc336009758"/>
      <w:bookmarkStart w:id="174" w:name="_Toc336009837"/>
      <w:bookmarkStart w:id="175" w:name="_Toc336009917"/>
      <w:bookmarkStart w:id="176" w:name="_Toc336010001"/>
      <w:bookmarkStart w:id="177" w:name="_Toc336010354"/>
      <w:bookmarkStart w:id="178" w:name="_Toc336010432"/>
      <w:bookmarkStart w:id="179" w:name="_Toc347921377"/>
      <w:bookmarkEnd w:id="168"/>
      <w:bookmarkEnd w:id="169"/>
      <w:bookmarkEnd w:id="170"/>
      <w:bookmarkEnd w:id="171"/>
      <w:bookmarkEnd w:id="172"/>
      <w:bookmarkEnd w:id="173"/>
      <w:bookmarkEnd w:id="174"/>
      <w:bookmarkEnd w:id="175"/>
      <w:bookmarkEnd w:id="176"/>
      <w:bookmarkEnd w:id="177"/>
      <w:bookmarkEnd w:id="178"/>
      <w:r>
        <w:t xml:space="preserve">Bezpečnosť </w:t>
      </w:r>
      <w:proofErr w:type="spellStart"/>
      <w:r>
        <w:t>cyklodopravy</w:t>
      </w:r>
      <w:bookmarkEnd w:id="179"/>
      <w:proofErr w:type="spellEnd"/>
    </w:p>
    <w:p w:rsidR="00BD5E6F" w:rsidRDefault="00886461" w:rsidP="00EA28E5">
      <w:pPr>
        <w:spacing w:after="240"/>
      </w:pPr>
      <w:r w:rsidRPr="00886461">
        <w:rPr>
          <w:bCs/>
        </w:rPr>
        <w:t>Vzhľadom k absencii celoštátnych sčítaní a prieskumov cyklistickej dopravy</w:t>
      </w:r>
      <w:r w:rsidRPr="00886461">
        <w:rPr>
          <w:b/>
          <w:bCs/>
        </w:rPr>
        <w:t xml:space="preserve"> </w:t>
      </w:r>
      <w:r w:rsidRPr="00886461">
        <w:t xml:space="preserve">nie je možné </w:t>
      </w:r>
      <w:r w:rsidR="00107828" w:rsidRPr="00886461">
        <w:t>v</w:t>
      </w:r>
      <w:r w:rsidR="00107828">
        <w:t> </w:t>
      </w:r>
      <w:r w:rsidR="00107828" w:rsidRPr="00886461">
        <w:t>súčasnosti určiť počet kilometrov, ktoré ročne cyklisti najazdia</w:t>
      </w:r>
      <w:r w:rsidR="00107828">
        <w:t>,</w:t>
      </w:r>
      <w:r w:rsidR="00107828" w:rsidRPr="00886461">
        <w:t xml:space="preserve"> a teda ani </w:t>
      </w:r>
      <w:r w:rsidR="00107828">
        <w:t xml:space="preserve">nehodovosť cyklistov pripadajúcu na počet cyklistami najazdených kilometrov za </w:t>
      </w:r>
      <w:r w:rsidR="00107828" w:rsidRPr="00107828">
        <w:t xml:space="preserve">rok, </w:t>
      </w:r>
      <w:r w:rsidRPr="00107828">
        <w:t xml:space="preserve">čo je bežný indikátor v zahraničí. </w:t>
      </w:r>
      <w:r w:rsidR="00BD5E6F" w:rsidRPr="00107828">
        <w:t>Zo</w:t>
      </w:r>
      <w:r w:rsidRPr="00107828">
        <w:t xml:space="preserve"> štatistik</w:t>
      </w:r>
      <w:r w:rsidR="00BD5E6F" w:rsidRPr="00107828">
        <w:t>y</w:t>
      </w:r>
      <w:r w:rsidRPr="00107828">
        <w:t xml:space="preserve"> dopravnej nehodovosti,</w:t>
      </w:r>
      <w:r w:rsidR="00BD5E6F" w:rsidRPr="00107828">
        <w:t xml:space="preserve"> ktorú vedie Polica</w:t>
      </w:r>
      <w:r w:rsidR="00BD5E6F">
        <w:t xml:space="preserve">jný zbor SR, je však </w:t>
      </w:r>
      <w:r w:rsidRPr="00886461">
        <w:t xml:space="preserve">zrejmý trend znižovania celkového počtu dopravných nehôd. Zároveň </w:t>
      </w:r>
      <w:r w:rsidR="00BD5E6F">
        <w:t xml:space="preserve">v rokoch 2008 a 2009 </w:t>
      </w:r>
      <w:r w:rsidRPr="00886461">
        <w:t>kles</w:t>
      </w:r>
      <w:r w:rsidR="00BD5E6F">
        <w:t>al</w:t>
      </w:r>
      <w:r w:rsidRPr="00886461">
        <w:t xml:space="preserve"> aj počet dopravných nehôd s účasťou cyklistov</w:t>
      </w:r>
      <w:r w:rsidR="00BD5E6F" w:rsidRPr="00BD5E6F">
        <w:t xml:space="preserve"> </w:t>
      </w:r>
      <w:r w:rsidR="00BD5E6F">
        <w:t xml:space="preserve">(od roku 2010 PPZ nevedie presnú evidenciu nehôd s účasťou cyklistu, eviduje len "vinníka dopravnej nehody"). </w:t>
      </w:r>
    </w:p>
    <w:p w:rsidR="00EA28E5" w:rsidRDefault="00EA28E5" w:rsidP="00EA28E5">
      <w:pPr>
        <w:rPr>
          <w:b/>
          <w:szCs w:val="24"/>
        </w:rPr>
      </w:pPr>
      <w:r w:rsidRPr="00183E3C">
        <w:rPr>
          <w:szCs w:val="24"/>
        </w:rPr>
        <w:t xml:space="preserve">Graf </w:t>
      </w:r>
      <w:r>
        <w:rPr>
          <w:szCs w:val="24"/>
        </w:rPr>
        <w:t>2</w:t>
      </w:r>
      <w:r w:rsidRPr="00183E3C">
        <w:rPr>
          <w:szCs w:val="24"/>
        </w:rPr>
        <w:t xml:space="preserve">: </w:t>
      </w:r>
      <w:r w:rsidRPr="00183E3C">
        <w:rPr>
          <w:b/>
          <w:szCs w:val="24"/>
        </w:rPr>
        <w:t>Vývoj nehodovosti cyklistov</w:t>
      </w:r>
      <w:r>
        <w:rPr>
          <w:b/>
          <w:szCs w:val="24"/>
        </w:rPr>
        <w:t xml:space="preserve"> v SR zapríčinenej cyklistami</w:t>
      </w:r>
    </w:p>
    <w:p w:rsidR="00EA28E5" w:rsidRDefault="00EA28E5" w:rsidP="00BD5E6F">
      <w:r w:rsidRPr="0054508D">
        <w:rPr>
          <w:noProof/>
          <w:lang w:eastAsia="sk-SK"/>
        </w:rPr>
        <w:drawing>
          <wp:inline distT="0" distB="0" distL="0" distR="0">
            <wp:extent cx="4762500" cy="2830885"/>
            <wp:effectExtent l="19050" t="0" r="0" b="0"/>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61492" cy="2830286"/>
                    </a:xfrm>
                    <a:prstGeom prst="rect">
                      <a:avLst/>
                    </a:prstGeom>
                    <a:noFill/>
                  </pic:spPr>
                </pic:pic>
              </a:graphicData>
            </a:graphic>
          </wp:inline>
        </w:drawing>
      </w:r>
    </w:p>
    <w:p w:rsidR="00EA28E5" w:rsidRDefault="00EA28E5" w:rsidP="00EA28E5">
      <w:pPr>
        <w:rPr>
          <w:i/>
          <w:sz w:val="22"/>
        </w:rPr>
      </w:pPr>
      <w:bookmarkStart w:id="180" w:name="_Toc336851694"/>
      <w:r w:rsidRPr="00183E3C">
        <w:rPr>
          <w:i/>
          <w:sz w:val="22"/>
        </w:rPr>
        <w:t xml:space="preserve">Zdroj: Ministerstvo vnútra SR, Prezídium </w:t>
      </w:r>
      <w:r>
        <w:rPr>
          <w:i/>
          <w:sz w:val="22"/>
        </w:rPr>
        <w:t>P</w:t>
      </w:r>
      <w:r w:rsidRPr="00183E3C">
        <w:rPr>
          <w:i/>
          <w:sz w:val="22"/>
        </w:rPr>
        <w:t>olicajného zboru SR</w:t>
      </w:r>
      <w:bookmarkEnd w:id="180"/>
    </w:p>
    <w:p w:rsidR="009C6586" w:rsidRDefault="00886461" w:rsidP="002C0E91">
      <w:r w:rsidRPr="00886461">
        <w:t xml:space="preserve">Najvýraznejší pokles nehodovosti bol zaznamenaný v roku 2009. </w:t>
      </w:r>
      <w:r w:rsidR="009C6586" w:rsidRPr="00886461">
        <w:t>Podľa Prezídia Policajného zboru bol tento pokles zapríčinený</w:t>
      </w:r>
      <w:r w:rsidR="00090E1E" w:rsidRPr="00090E1E">
        <w:t xml:space="preserve"> </w:t>
      </w:r>
      <w:r w:rsidR="00090E1E">
        <w:t>zavedením nového zákona č. 8/2009 Z. z. o cestnej premávke v znení neskorších predpisov</w:t>
      </w:r>
      <w:r w:rsidR="009C6586" w:rsidRPr="00886461">
        <w:t xml:space="preserve"> s vyššími postihmi, častými policajnými kontrolami na slovenských cestách</w:t>
      </w:r>
      <w:r w:rsidR="000D7920">
        <w:t xml:space="preserve">, </w:t>
      </w:r>
      <w:r w:rsidR="000D7920" w:rsidRPr="000009AA">
        <w:t>ale aj znížením maximálnej povolenej rýchlosti v obci zo 60 km/h na 50 km/h</w:t>
      </w:r>
      <w:r w:rsidR="009C6586" w:rsidRPr="000009AA">
        <w:t>.</w:t>
      </w:r>
      <w:r w:rsidR="009C6586">
        <w:t xml:space="preserve"> </w:t>
      </w:r>
      <w:r w:rsidR="00882F16">
        <w:t>C</w:t>
      </w:r>
      <w:r w:rsidR="009C6586">
        <w:t xml:space="preserve">yklista </w:t>
      </w:r>
      <w:r w:rsidR="00882F16">
        <w:t xml:space="preserve">je </w:t>
      </w:r>
      <w:r w:rsidR="009C6586">
        <w:t xml:space="preserve">povinný počas jazdy na bicykli mimo obce chrániť si hlavu riadne upevnenou ochrannou prilbou. Ak je cyklistom osoba mladšia ako 15 rokov, táto povinnosť sa vzťahuje aj na jazdu v obci. Za zníženej viditeľnosti musí mať cyklista jazdiaci po krajnici </w:t>
      </w:r>
      <w:r w:rsidR="009C6586">
        <w:lastRenderedPageBreak/>
        <w:t>alebo po okraji vozovky na sebe viditeľne umiestnené reflexné prvky alebo oblečený reflexný bezpečnostný odev.</w:t>
      </w:r>
      <w:r w:rsidR="00882F16">
        <w:t xml:space="preserve"> Výsledkom je pokles počtu usmrtených, ťažko i ľahko zranených cyklistov na slovenských cestách. </w:t>
      </w:r>
      <w:r w:rsidR="0054508D">
        <w:t>Napriek tomu je vykazovaná stále vysoká úmrtnosť cyklistov pri dopravných nehodách (Graf 3).</w:t>
      </w:r>
    </w:p>
    <w:p w:rsidR="00097DB0" w:rsidRDefault="002C0E91" w:rsidP="002C0E91">
      <w:r w:rsidRPr="00886461">
        <w:t>Z celkového počtu dopravných nehôd tvorili nehody s účasťou cyklistov v rokoch 2005 až 2009 priemerne 2,</w:t>
      </w:r>
      <w:r>
        <w:t>5</w:t>
      </w:r>
      <w:r w:rsidR="0054508D">
        <w:t xml:space="preserve"> %,</w:t>
      </w:r>
      <w:r w:rsidRPr="00886461">
        <w:t xml:space="preserve"> </w:t>
      </w:r>
      <w:r w:rsidR="0054508D">
        <w:t>z</w:t>
      </w:r>
      <w:r w:rsidRPr="00886461">
        <w:t xml:space="preserve"> toho </w:t>
      </w:r>
      <w:r w:rsidR="00BF0DD5">
        <w:t xml:space="preserve">polovica </w:t>
      </w:r>
      <w:r w:rsidRPr="00886461">
        <w:t>bol</w:t>
      </w:r>
      <w:r w:rsidR="00BF0DD5">
        <w:t>a</w:t>
      </w:r>
      <w:r w:rsidRPr="00886461">
        <w:t xml:space="preserve"> zavinen</w:t>
      </w:r>
      <w:r w:rsidR="00BF0DD5">
        <w:t>á</w:t>
      </w:r>
      <w:r w:rsidRPr="00886461">
        <w:t xml:space="preserve"> cyklistami</w:t>
      </w:r>
      <w:r w:rsidR="0054508D">
        <w:t>.</w:t>
      </w:r>
      <w:r w:rsidRPr="00886461">
        <w:t xml:space="preserve"> </w:t>
      </w:r>
      <w:r w:rsidR="0054508D">
        <w:t>P</w:t>
      </w:r>
      <w:r w:rsidRPr="00886461">
        <w:t>olovica dopr</w:t>
      </w:r>
      <w:r>
        <w:t>avných</w:t>
      </w:r>
      <w:r w:rsidRPr="00886461">
        <w:t xml:space="preserve"> nehôd s účasťou cyklistov bola zavinená inými účastníkmi</w:t>
      </w:r>
      <w:r w:rsidR="00882F16">
        <w:t xml:space="preserve"> cestnej premávky</w:t>
      </w:r>
      <w:r w:rsidRPr="00886461">
        <w:t>.</w:t>
      </w:r>
      <w:r w:rsidR="00D84C20">
        <w:t xml:space="preserve"> </w:t>
      </w:r>
      <w:r>
        <w:t xml:space="preserve">Hlavnými príčinami dopravných nehôd zavinených cyklistami sú hlavne porušovania základných povinností </w:t>
      </w:r>
      <w:r w:rsidR="00097DB0">
        <w:t xml:space="preserve">účastníkov cestnej premávky </w:t>
      </w:r>
      <w:r>
        <w:t xml:space="preserve">a nesprávny spôsob jazdy, z čoho vyplýva, že je potrebné klásť ešte väčší dôraz na prevenciu a dopravnú výchovu. </w:t>
      </w:r>
    </w:p>
    <w:p w:rsidR="002C0E91" w:rsidRPr="000009AA" w:rsidRDefault="002C0E91" w:rsidP="003A3D94">
      <w:pPr>
        <w:spacing w:after="0"/>
      </w:pPr>
      <w:r w:rsidRPr="00886461">
        <w:t xml:space="preserve">Značnú časť nehôd </w:t>
      </w:r>
      <w:r>
        <w:t xml:space="preserve">cyklistov </w:t>
      </w:r>
      <w:r w:rsidRPr="00886461">
        <w:t>by bolo možné odstrániť se</w:t>
      </w:r>
      <w:r>
        <w:t>gregá</w:t>
      </w:r>
      <w:r w:rsidRPr="00886461">
        <w:t xml:space="preserve">ciou cyklistickej dopravy, budovaním </w:t>
      </w:r>
      <w:r w:rsidR="00097DB0">
        <w:t xml:space="preserve">nových </w:t>
      </w:r>
      <w:r w:rsidRPr="00886461">
        <w:t>cyklistických komunikácií</w:t>
      </w:r>
      <w:r w:rsidR="00B02364">
        <w:t>, ako aj</w:t>
      </w:r>
      <w:r w:rsidRPr="00886461">
        <w:t xml:space="preserve"> vhodnou dopravnou výchovou detí</w:t>
      </w:r>
      <w:r w:rsidR="00B02364">
        <w:t>, mládeže a</w:t>
      </w:r>
      <w:r>
        <w:t xml:space="preserve"> </w:t>
      </w:r>
      <w:r w:rsidR="00B02364">
        <w:t>ostatných</w:t>
      </w:r>
      <w:r>
        <w:t xml:space="preserve"> účastníkov cestnej premávky.</w:t>
      </w:r>
      <w:r w:rsidR="005C3B0A">
        <w:t xml:space="preserve"> </w:t>
      </w:r>
      <w:r w:rsidR="00DE0256" w:rsidRPr="000009AA">
        <w:t>Cieľom</w:t>
      </w:r>
      <w:r w:rsidR="005C3B0A" w:rsidRPr="000009AA">
        <w:t xml:space="preserve"> navrhovaných opatrení </w:t>
      </w:r>
      <w:proofErr w:type="spellStart"/>
      <w:r w:rsidR="005C3B0A" w:rsidRPr="000009AA">
        <w:t>Cyklostratégie</w:t>
      </w:r>
      <w:proofErr w:type="spellEnd"/>
      <w:r w:rsidR="005C3B0A" w:rsidRPr="000009AA">
        <w:t xml:space="preserve"> </w:t>
      </w:r>
      <w:r w:rsidR="00DE0256" w:rsidRPr="000009AA">
        <w:t>je</w:t>
      </w:r>
      <w:r w:rsidR="005C3B0A" w:rsidRPr="000009AA">
        <w:t xml:space="preserve"> </w:t>
      </w:r>
      <w:r w:rsidR="00DE0256" w:rsidRPr="000009AA">
        <w:t xml:space="preserve">dosiahnuť </w:t>
      </w:r>
      <w:r w:rsidR="00EA28E5">
        <w:t>do roku</w:t>
      </w:r>
      <w:r w:rsidR="005C3B0A" w:rsidRPr="000009AA">
        <w:t xml:space="preserve"> 2020 </w:t>
      </w:r>
      <w:r w:rsidR="00DE0256" w:rsidRPr="000009AA">
        <w:t xml:space="preserve">zníženie </w:t>
      </w:r>
      <w:r w:rsidR="00603E5E" w:rsidRPr="000009AA">
        <w:t xml:space="preserve">podielu </w:t>
      </w:r>
      <w:r w:rsidR="0092256B">
        <w:t>nehodovosti (</w:t>
      </w:r>
      <w:r w:rsidR="00603E5E" w:rsidRPr="000009AA">
        <w:t>úmrtí</w:t>
      </w:r>
      <w:r w:rsidR="0092256B">
        <w:t>)</w:t>
      </w:r>
      <w:r w:rsidR="00603E5E" w:rsidRPr="000009AA">
        <w:t xml:space="preserve"> </w:t>
      </w:r>
      <w:r w:rsidR="009D75B2" w:rsidRPr="000009AA">
        <w:t>k</w:t>
      </w:r>
      <w:r w:rsidR="00603E5E" w:rsidRPr="000009AA">
        <w:t xml:space="preserve"> poč</w:t>
      </w:r>
      <w:r w:rsidR="009D75B2" w:rsidRPr="000009AA">
        <w:t>tu</w:t>
      </w:r>
      <w:r w:rsidR="00603E5E" w:rsidRPr="000009AA">
        <w:t xml:space="preserve"> cyklistami najazdených kilometrov </w:t>
      </w:r>
      <w:r w:rsidR="005C3B0A" w:rsidRPr="000009AA">
        <w:t>o</w:t>
      </w:r>
      <w:r w:rsidR="009809F2" w:rsidRPr="000009AA">
        <w:t xml:space="preserve"> cca</w:t>
      </w:r>
      <w:r w:rsidR="005C3B0A" w:rsidRPr="000009AA">
        <w:t> </w:t>
      </w:r>
      <w:r w:rsidR="00F5325E" w:rsidRPr="000009AA">
        <w:t>6</w:t>
      </w:r>
      <w:r w:rsidR="006572E7" w:rsidRPr="000009AA">
        <w:t xml:space="preserve">0 % oproti </w:t>
      </w:r>
      <w:r w:rsidR="009809F2" w:rsidRPr="000009AA">
        <w:t xml:space="preserve">údajom vykazovaným v </w:t>
      </w:r>
      <w:r w:rsidR="006572E7" w:rsidRPr="000009AA">
        <w:t xml:space="preserve">roku </w:t>
      </w:r>
      <w:r w:rsidR="009809F2" w:rsidRPr="000009AA">
        <w:t>201</w:t>
      </w:r>
      <w:r w:rsidR="00603E5E" w:rsidRPr="000009AA">
        <w:t>4, kedy už tieto údaje</w:t>
      </w:r>
      <w:r w:rsidR="009D75B2" w:rsidRPr="000009AA">
        <w:t xml:space="preserve"> budú s</w:t>
      </w:r>
      <w:r w:rsidR="00603E5E" w:rsidRPr="000009AA">
        <w:t>ledované</w:t>
      </w:r>
      <w:r w:rsidR="009809F2" w:rsidRPr="000009AA">
        <w:t>.</w:t>
      </w:r>
    </w:p>
    <w:p w:rsidR="003A3D94" w:rsidRDefault="003A3D94" w:rsidP="003A3D94">
      <w:pPr>
        <w:spacing w:after="0"/>
      </w:pPr>
    </w:p>
    <w:p w:rsidR="007B7A6E" w:rsidRDefault="007B7A6E" w:rsidP="003A3D94">
      <w:pPr>
        <w:rPr>
          <w:b/>
          <w:i/>
          <w:sz w:val="22"/>
        </w:rPr>
      </w:pPr>
      <w:r w:rsidRPr="00183E3C">
        <w:rPr>
          <w:szCs w:val="24"/>
        </w:rPr>
        <w:t xml:space="preserve">Graf </w:t>
      </w:r>
      <w:r>
        <w:rPr>
          <w:szCs w:val="24"/>
        </w:rPr>
        <w:t>3</w:t>
      </w:r>
      <w:r w:rsidRPr="00183E3C">
        <w:rPr>
          <w:szCs w:val="24"/>
        </w:rPr>
        <w:t xml:space="preserve">: </w:t>
      </w:r>
      <w:r w:rsidRPr="007B7A6E">
        <w:rPr>
          <w:b/>
          <w:szCs w:val="24"/>
        </w:rPr>
        <w:t xml:space="preserve">Vývoj počtu usmrtených cyklistov </w:t>
      </w:r>
      <w:r w:rsidR="0054508D">
        <w:rPr>
          <w:b/>
          <w:szCs w:val="24"/>
        </w:rPr>
        <w:t>pri nehodách</w:t>
      </w:r>
      <w:r w:rsidRPr="007B7A6E">
        <w:rPr>
          <w:b/>
          <w:szCs w:val="24"/>
        </w:rPr>
        <w:t xml:space="preserve"> s účasťou cyklistu</w:t>
      </w:r>
      <w:r w:rsidRPr="007B7A6E">
        <w:rPr>
          <w:b/>
          <w:i/>
          <w:sz w:val="22"/>
        </w:rPr>
        <w:t xml:space="preserve"> </w:t>
      </w:r>
    </w:p>
    <w:p w:rsidR="007B7A6E" w:rsidRDefault="007B7A6E" w:rsidP="003A3D94">
      <w:pPr>
        <w:rPr>
          <w:i/>
          <w:sz w:val="22"/>
        </w:rPr>
      </w:pPr>
      <w:r w:rsidRPr="007B7A6E">
        <w:rPr>
          <w:i/>
          <w:noProof/>
          <w:sz w:val="22"/>
          <w:lang w:eastAsia="sk-SK"/>
        </w:rPr>
        <w:drawing>
          <wp:inline distT="0" distB="0" distL="0" distR="0">
            <wp:extent cx="4886325" cy="2390775"/>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08D" w:rsidRDefault="0054508D" w:rsidP="003A3D94">
      <w:pPr>
        <w:rPr>
          <w:i/>
          <w:sz w:val="22"/>
        </w:rPr>
      </w:pPr>
      <w:r w:rsidRPr="00183E3C">
        <w:rPr>
          <w:i/>
          <w:sz w:val="22"/>
        </w:rPr>
        <w:t xml:space="preserve">Zdroj: Ministerstvo vnútra SR, Prezídium </w:t>
      </w:r>
      <w:r>
        <w:rPr>
          <w:i/>
          <w:sz w:val="22"/>
        </w:rPr>
        <w:t>P</w:t>
      </w:r>
      <w:r w:rsidRPr="00183E3C">
        <w:rPr>
          <w:i/>
          <w:sz w:val="22"/>
        </w:rPr>
        <w:t>olicajného zboru SR</w:t>
      </w:r>
    </w:p>
    <w:p w:rsidR="007D37BB" w:rsidRDefault="007D37BB" w:rsidP="003A3D94">
      <w:pPr>
        <w:rPr>
          <w:i/>
          <w:sz w:val="22"/>
        </w:rPr>
      </w:pPr>
    </w:p>
    <w:p w:rsidR="00380206" w:rsidRDefault="00380206" w:rsidP="00040C75">
      <w:pPr>
        <w:pStyle w:val="Nadpis2"/>
      </w:pPr>
      <w:bookmarkStart w:id="181" w:name="_Toc345667205"/>
      <w:bookmarkStart w:id="182" w:name="_Toc345943293"/>
      <w:bookmarkStart w:id="183" w:name="_Toc336009919"/>
      <w:bookmarkStart w:id="184" w:name="_Toc336010003"/>
      <w:bookmarkStart w:id="185" w:name="_Toc336010356"/>
      <w:bookmarkStart w:id="186" w:name="_Toc336010434"/>
      <w:bookmarkStart w:id="187" w:name="_Toc336009920"/>
      <w:bookmarkStart w:id="188" w:name="_Toc336010004"/>
      <w:bookmarkStart w:id="189" w:name="_Toc336010357"/>
      <w:bookmarkStart w:id="190" w:name="_Toc336010435"/>
      <w:bookmarkStart w:id="191" w:name="_Toc347921378"/>
      <w:bookmarkEnd w:id="181"/>
      <w:bookmarkEnd w:id="182"/>
      <w:bookmarkEnd w:id="183"/>
      <w:bookmarkEnd w:id="184"/>
      <w:bookmarkEnd w:id="185"/>
      <w:bookmarkEnd w:id="186"/>
      <w:bookmarkEnd w:id="187"/>
      <w:bookmarkEnd w:id="188"/>
      <w:bookmarkEnd w:id="189"/>
      <w:bookmarkEnd w:id="190"/>
      <w:r>
        <w:t>Financovanie</w:t>
      </w:r>
      <w:bookmarkEnd w:id="191"/>
    </w:p>
    <w:p w:rsidR="00E90E16" w:rsidRPr="000B5B13" w:rsidRDefault="00E90E16" w:rsidP="00B12FE2">
      <w:pPr>
        <w:rPr>
          <w:rFonts w:cs="Times New Roman"/>
          <w:b/>
          <w:szCs w:val="24"/>
        </w:rPr>
      </w:pPr>
      <w:r w:rsidRPr="000B5B13">
        <w:t xml:space="preserve">Zdroje </w:t>
      </w:r>
      <w:r w:rsidR="003A3D94">
        <w:t>na</w:t>
      </w:r>
      <w:r w:rsidRPr="000B5B13">
        <w:t xml:space="preserve"> financovanie cyklistickej infraštruktúry možno rozdeliť nasledovne:</w:t>
      </w:r>
    </w:p>
    <w:p w:rsidR="00E90E16" w:rsidRPr="000B5B13" w:rsidRDefault="00E90E16" w:rsidP="00341DE1">
      <w:pPr>
        <w:pStyle w:val="Odsekzoznamu"/>
        <w:numPr>
          <w:ilvl w:val="0"/>
          <w:numId w:val="6"/>
        </w:numPr>
      </w:pPr>
      <w:r w:rsidRPr="000B5B13">
        <w:t xml:space="preserve">Európske zdroje – štrukturálne fondy </w:t>
      </w:r>
    </w:p>
    <w:p w:rsidR="00E90E16" w:rsidRPr="000B5B13" w:rsidRDefault="00E90E16" w:rsidP="00341DE1">
      <w:pPr>
        <w:pStyle w:val="Odsekzoznamu"/>
        <w:numPr>
          <w:ilvl w:val="0"/>
          <w:numId w:val="6"/>
        </w:numPr>
      </w:pPr>
      <w:r w:rsidRPr="000B5B13">
        <w:t xml:space="preserve">Domáce nadačné zdroje </w:t>
      </w:r>
    </w:p>
    <w:p w:rsidR="00E90E16" w:rsidRPr="000B5B13" w:rsidRDefault="00E90E16" w:rsidP="00341DE1">
      <w:pPr>
        <w:pStyle w:val="Odsekzoznamu"/>
        <w:numPr>
          <w:ilvl w:val="0"/>
          <w:numId w:val="6"/>
        </w:numPr>
      </w:pPr>
      <w:r w:rsidRPr="000B5B13">
        <w:t xml:space="preserve">Zahraničné nadačné zdroje mimo fondov EÚ (napr. Nórsky grant) </w:t>
      </w:r>
    </w:p>
    <w:p w:rsidR="00DA78D1" w:rsidRDefault="00DA78D1" w:rsidP="00341DE1">
      <w:pPr>
        <w:pStyle w:val="Odsekzoznamu"/>
        <w:numPr>
          <w:ilvl w:val="0"/>
          <w:numId w:val="6"/>
        </w:numPr>
      </w:pPr>
      <w:r>
        <w:t>Štátny rozpočet</w:t>
      </w:r>
      <w:r w:rsidR="00E90E16" w:rsidRPr="000B5B13">
        <w:t xml:space="preserve"> </w:t>
      </w:r>
    </w:p>
    <w:p w:rsidR="00E90E16" w:rsidRPr="000B5B13" w:rsidRDefault="00DA78D1" w:rsidP="00341DE1">
      <w:pPr>
        <w:pStyle w:val="Odsekzoznamu"/>
        <w:numPr>
          <w:ilvl w:val="0"/>
          <w:numId w:val="6"/>
        </w:numPr>
      </w:pPr>
      <w:r>
        <w:t>Rozpočty samospráv</w:t>
      </w:r>
    </w:p>
    <w:p w:rsidR="00E90E16" w:rsidRPr="000B5B13" w:rsidRDefault="00E90E16" w:rsidP="00341DE1">
      <w:pPr>
        <w:pStyle w:val="Odsekzoznamu"/>
        <w:numPr>
          <w:ilvl w:val="0"/>
          <w:numId w:val="6"/>
        </w:numPr>
      </w:pPr>
      <w:r w:rsidRPr="000B5B13">
        <w:t xml:space="preserve">Súkromné zdroje (sponzoring) </w:t>
      </w:r>
    </w:p>
    <w:p w:rsidR="00E90E16" w:rsidRPr="000B5B13" w:rsidRDefault="00E90E16" w:rsidP="00341DE1">
      <w:pPr>
        <w:pStyle w:val="Odsekzoznamu"/>
        <w:numPr>
          <w:ilvl w:val="0"/>
          <w:numId w:val="6"/>
        </w:numPr>
      </w:pPr>
      <w:r w:rsidRPr="000B5B13">
        <w:t xml:space="preserve">Vlastné zdroje občianskych združení </w:t>
      </w:r>
    </w:p>
    <w:p w:rsidR="00E90E16" w:rsidRPr="000B5B13" w:rsidRDefault="00E90E16" w:rsidP="00341DE1">
      <w:pPr>
        <w:pStyle w:val="Odsekzoznamu"/>
        <w:numPr>
          <w:ilvl w:val="0"/>
          <w:numId w:val="6"/>
        </w:numPr>
      </w:pPr>
      <w:r w:rsidRPr="000B5B13">
        <w:t xml:space="preserve">Nefinančné zdroje občianskych združení – hlavne dobrovoľnícka práca zadarmo </w:t>
      </w:r>
    </w:p>
    <w:p w:rsidR="001761E1" w:rsidRPr="00D82BDC" w:rsidRDefault="001761E1" w:rsidP="00B12FE2">
      <w:pPr>
        <w:pStyle w:val="Nadpis3"/>
      </w:pPr>
      <w:bookmarkStart w:id="192" w:name="_Toc336009351"/>
      <w:bookmarkStart w:id="193" w:name="_Toc336009441"/>
      <w:bookmarkStart w:id="194" w:name="_Toc336009519"/>
      <w:bookmarkStart w:id="195" w:name="_Toc336009601"/>
      <w:bookmarkStart w:id="196" w:name="_Toc336009683"/>
      <w:bookmarkStart w:id="197" w:name="_Toc336009762"/>
      <w:bookmarkStart w:id="198" w:name="_Toc336009841"/>
      <w:bookmarkStart w:id="199" w:name="_Toc336009922"/>
      <w:bookmarkStart w:id="200" w:name="_Toc336010359"/>
      <w:bookmarkStart w:id="201" w:name="_Toc336010437"/>
      <w:bookmarkStart w:id="202" w:name="_Toc336009352"/>
      <w:bookmarkStart w:id="203" w:name="_Toc336009442"/>
      <w:bookmarkStart w:id="204" w:name="_Toc336009520"/>
      <w:bookmarkStart w:id="205" w:name="_Toc336009602"/>
      <w:bookmarkStart w:id="206" w:name="_Toc336009684"/>
      <w:bookmarkStart w:id="207" w:name="_Toc336009763"/>
      <w:bookmarkStart w:id="208" w:name="_Toc336009842"/>
      <w:bookmarkStart w:id="209" w:name="_Toc336009923"/>
      <w:bookmarkStart w:id="210" w:name="_Toc336010360"/>
      <w:bookmarkStart w:id="211" w:name="_Toc336010438"/>
      <w:bookmarkStart w:id="212" w:name="_Toc336009924"/>
      <w:bookmarkStart w:id="213" w:name="_Toc336010361"/>
      <w:bookmarkStart w:id="214" w:name="_Toc336010439"/>
      <w:bookmarkStart w:id="215" w:name="_Toc336010362"/>
      <w:bookmarkStart w:id="216" w:name="_Toc336010440"/>
      <w:bookmarkStart w:id="217" w:name="_Toc336010363"/>
      <w:bookmarkStart w:id="218" w:name="_Toc336010441"/>
      <w:bookmarkStart w:id="219" w:name="_Toc34792137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761E1">
        <w:lastRenderedPageBreak/>
        <w:t xml:space="preserve">Možnosti financovania </w:t>
      </w:r>
      <w:proofErr w:type="spellStart"/>
      <w:r w:rsidRPr="001761E1">
        <w:t>cykloprojektov</w:t>
      </w:r>
      <w:proofErr w:type="spellEnd"/>
      <w:r w:rsidRPr="001761E1">
        <w:t xml:space="preserve"> na národnej úrovni</w:t>
      </w:r>
      <w:bookmarkEnd w:id="219"/>
    </w:p>
    <w:p w:rsidR="00DE4ED1" w:rsidRPr="009C175F" w:rsidRDefault="001761E1" w:rsidP="00402278">
      <w:pPr>
        <w:rPr>
          <w:i/>
        </w:rPr>
      </w:pPr>
      <w:r>
        <w:rPr>
          <w:b/>
          <w:bCs/>
        </w:rPr>
        <w:t>N</w:t>
      </w:r>
      <w:r w:rsidRPr="00D82BDC">
        <w:rPr>
          <w:b/>
          <w:bCs/>
        </w:rPr>
        <w:t xml:space="preserve">a národnej </w:t>
      </w:r>
      <w:r w:rsidRPr="000228F0">
        <w:rPr>
          <w:b/>
          <w:bCs/>
        </w:rPr>
        <w:t xml:space="preserve">úrovni </w:t>
      </w:r>
      <w:r w:rsidR="003A3D94">
        <w:rPr>
          <w:b/>
          <w:bCs/>
        </w:rPr>
        <w:t xml:space="preserve">doteraz </w:t>
      </w:r>
      <w:r w:rsidRPr="00DF41CE">
        <w:rPr>
          <w:b/>
        </w:rPr>
        <w:t>neexistuje systematický prístup k financovaniu výstavby cyklistickej infraštruktúry a</w:t>
      </w:r>
      <w:r w:rsidR="004E7E7C">
        <w:rPr>
          <w:b/>
        </w:rPr>
        <w:t>ni k</w:t>
      </w:r>
      <w:r w:rsidRPr="00DF41CE">
        <w:rPr>
          <w:b/>
        </w:rPr>
        <w:t xml:space="preserve"> </w:t>
      </w:r>
      <w:r w:rsidR="004E7E7C" w:rsidRPr="006E6660">
        <w:rPr>
          <w:b/>
        </w:rPr>
        <w:t>propagáci</w:t>
      </w:r>
      <w:r w:rsidR="004E7E7C">
        <w:rPr>
          <w:b/>
        </w:rPr>
        <w:t>i</w:t>
      </w:r>
      <w:r w:rsidR="004E7E7C" w:rsidRPr="006E6660">
        <w:rPr>
          <w:b/>
        </w:rPr>
        <w:t xml:space="preserve"> </w:t>
      </w:r>
      <w:r w:rsidRPr="006E6660">
        <w:rPr>
          <w:b/>
        </w:rPr>
        <w:t>cyklistickej dopravy</w:t>
      </w:r>
      <w:r w:rsidRPr="00D82BDC">
        <w:t xml:space="preserve">. </w:t>
      </w:r>
      <w:r w:rsidR="006F5489">
        <w:t xml:space="preserve">Zo štátneho rozpočtu nie je vyčleňovaná žiadna čiastka určená na podporu </w:t>
      </w:r>
      <w:proofErr w:type="spellStart"/>
      <w:r w:rsidR="006F5489">
        <w:t>cyklodopravy</w:t>
      </w:r>
      <w:proofErr w:type="spellEnd"/>
      <w:r w:rsidR="006F5489">
        <w:t>. Nie</w:t>
      </w:r>
      <w:r w:rsidRPr="00D82BDC">
        <w:t xml:space="preserve"> je </w:t>
      </w:r>
      <w:r w:rsidR="006F5489">
        <w:t>k dispozícii</w:t>
      </w:r>
      <w:r w:rsidRPr="00D82BDC">
        <w:t xml:space="preserve"> </w:t>
      </w:r>
      <w:r w:rsidR="006F5489">
        <w:t xml:space="preserve">ani </w:t>
      </w:r>
      <w:r w:rsidRPr="00D82BDC">
        <w:t>fond obdobný českému SFDI</w:t>
      </w:r>
      <w:r w:rsidR="00366622">
        <w:t xml:space="preserve"> (</w:t>
      </w:r>
      <w:proofErr w:type="spellStart"/>
      <w:r w:rsidR="00366622">
        <w:t>Státn</w:t>
      </w:r>
      <w:r w:rsidR="003A3D94">
        <w:t>í</w:t>
      </w:r>
      <w:proofErr w:type="spellEnd"/>
      <w:r w:rsidR="00366622">
        <w:t xml:space="preserve"> fond dopravní </w:t>
      </w:r>
      <w:proofErr w:type="spellStart"/>
      <w:r w:rsidR="00366622">
        <w:t>infrastruktury</w:t>
      </w:r>
      <w:proofErr w:type="spellEnd"/>
      <w:r w:rsidR="00391005">
        <w:t xml:space="preserve"> – je určený na financovanie výstavby dopravnej infraštruktúry vrátane cyklistickej infraštruktúry</w:t>
      </w:r>
      <w:r w:rsidR="00366622">
        <w:t>)</w:t>
      </w:r>
      <w:r w:rsidRPr="00D82BDC">
        <w:t xml:space="preserve">, z ktorého by sa </w:t>
      </w:r>
      <w:r w:rsidR="004E7E7C">
        <w:t xml:space="preserve">popri cestách a železniciach financovala aj </w:t>
      </w:r>
      <w:r w:rsidRPr="00D82BDC">
        <w:t>cyklistická infraštruktúra.</w:t>
      </w:r>
      <w:r w:rsidR="00402278">
        <w:rPr>
          <w:rStyle w:val="Odkaznapoznmkupodiarou"/>
        </w:rPr>
        <w:footnoteReference w:id="4"/>
      </w:r>
      <w:r w:rsidR="00F13F08">
        <w:t xml:space="preserve"> </w:t>
      </w:r>
      <w:r w:rsidR="00F13F08" w:rsidRPr="00D82BDC">
        <w:t xml:space="preserve">Jednou </w:t>
      </w:r>
      <w:r w:rsidR="00F13F08">
        <w:t xml:space="preserve">z mála </w:t>
      </w:r>
      <w:r w:rsidR="00F13F08" w:rsidRPr="00D82BDC">
        <w:t>možnos</w:t>
      </w:r>
      <w:r w:rsidR="00F13F08">
        <w:t>tí na financovanie cyklistickej infraštruktúry je využitie štrukturálnych fondov EÚ.</w:t>
      </w:r>
    </w:p>
    <w:p w:rsidR="00DA752F" w:rsidRDefault="00735C07" w:rsidP="00B12FE2">
      <w:r>
        <w:rPr>
          <w:b/>
          <w:bCs/>
        </w:rPr>
        <w:t xml:space="preserve">V </w:t>
      </w:r>
      <w:r w:rsidR="00241DF6">
        <w:rPr>
          <w:b/>
          <w:bCs/>
        </w:rPr>
        <w:t xml:space="preserve">NSRR  na programové obdobie </w:t>
      </w:r>
      <w:r w:rsidR="00DA752F" w:rsidRPr="00D82BDC">
        <w:rPr>
          <w:b/>
          <w:bCs/>
        </w:rPr>
        <w:t>2007</w:t>
      </w:r>
      <w:r w:rsidR="00F27CAC">
        <w:rPr>
          <w:b/>
          <w:bCs/>
        </w:rPr>
        <w:t xml:space="preserve"> – </w:t>
      </w:r>
      <w:r w:rsidR="00DA752F" w:rsidRPr="00D82BDC">
        <w:rPr>
          <w:b/>
          <w:bCs/>
        </w:rPr>
        <w:t xml:space="preserve">2013 </w:t>
      </w:r>
      <w:r w:rsidR="00402278">
        <w:t>nebola stanovená</w:t>
      </w:r>
      <w:r w:rsidR="00DA752F" w:rsidRPr="00D82BDC">
        <w:t xml:space="preserve"> v definovaných operačných programoch </w:t>
      </w:r>
      <w:r w:rsidR="00402278" w:rsidRPr="00D82BDC">
        <w:t>najlepši</w:t>
      </w:r>
      <w:r w:rsidR="00402278">
        <w:t>a</w:t>
      </w:r>
      <w:r w:rsidR="00402278" w:rsidRPr="00D82BDC">
        <w:t xml:space="preserve"> pozíci</w:t>
      </w:r>
      <w:r w:rsidR="00402278">
        <w:t>a</w:t>
      </w:r>
      <w:r w:rsidR="00402278" w:rsidRPr="00D82BDC">
        <w:t xml:space="preserve"> </w:t>
      </w:r>
      <w:r w:rsidR="00DA752F" w:rsidRPr="00D82BDC">
        <w:t xml:space="preserve">pre rozvoj </w:t>
      </w:r>
      <w:proofErr w:type="spellStart"/>
      <w:r w:rsidR="00DA752F" w:rsidRPr="00D82BDC">
        <w:t>cyklodopravy</w:t>
      </w:r>
      <w:proofErr w:type="spellEnd"/>
      <w:r w:rsidR="00DA752F" w:rsidRPr="00D82BDC">
        <w:t xml:space="preserve"> a</w:t>
      </w:r>
      <w:r w:rsidR="00F27CAC">
        <w:t> </w:t>
      </w:r>
      <w:r w:rsidR="00DA752F" w:rsidRPr="00D82BDC">
        <w:t>cykloturistiky. Z jedenástich operačný</w:t>
      </w:r>
      <w:r w:rsidR="00D82BDC">
        <w:t>ch programov sa</w:t>
      </w:r>
      <w:r w:rsidR="00DA752F" w:rsidRPr="00D82BDC">
        <w:t xml:space="preserve"> iba v jed</w:t>
      </w:r>
      <w:r w:rsidR="003A3D94">
        <w:t>i</w:t>
      </w:r>
      <w:r w:rsidR="00DA752F" w:rsidRPr="00D82BDC">
        <w:t xml:space="preserve">nom </w:t>
      </w:r>
      <w:r w:rsidR="00F27CAC">
        <w:t>(</w:t>
      </w:r>
      <w:r w:rsidR="00DA752F" w:rsidRPr="00D82BDC">
        <w:t>v Regionálnom operačnom programe</w:t>
      </w:r>
      <w:r w:rsidR="00F27CAC">
        <w:t>)</w:t>
      </w:r>
      <w:r w:rsidR="00DA752F" w:rsidRPr="00D82BDC">
        <w:t xml:space="preserve"> vyslovene uvádza</w:t>
      </w:r>
      <w:r w:rsidR="00D82BDC">
        <w:t xml:space="preserve"> </w:t>
      </w:r>
      <w:r w:rsidR="00DA752F" w:rsidRPr="00D82BDC">
        <w:t>možnosť čerpať financie na rozvoj cyklistickej infraštruktúry</w:t>
      </w:r>
      <w:r w:rsidR="003A3D94">
        <w:t xml:space="preserve"> –</w:t>
      </w:r>
      <w:r w:rsidR="00DA752F" w:rsidRPr="00D82BDC">
        <w:t xml:space="preserve"> 3 mil. </w:t>
      </w:r>
      <w:r w:rsidR="00F27CAC">
        <w:t>€</w:t>
      </w:r>
      <w:r w:rsidR="00DA752F" w:rsidRPr="00D82BDC">
        <w:t xml:space="preserve"> na celé programovacie obdobie. </w:t>
      </w:r>
      <w:r w:rsidR="003A3D94">
        <w:t xml:space="preserve">Okrem toho </w:t>
      </w:r>
      <w:r w:rsidR="00DA752F" w:rsidRPr="00D82BDC">
        <w:t xml:space="preserve">Bratislavský kraj má možnosť čerpať financie na cyklistické komunikácie z Operačného programu Bratislavský kraj. </w:t>
      </w:r>
    </w:p>
    <w:p w:rsidR="00DA752F" w:rsidRDefault="00DA752F" w:rsidP="00B12FE2">
      <w:r w:rsidRPr="00D82BDC">
        <w:rPr>
          <w:b/>
          <w:bCs/>
        </w:rPr>
        <w:t xml:space="preserve">Z ROP </w:t>
      </w:r>
      <w:r w:rsidRPr="00D82BDC">
        <w:t>sa financovali väčšinou projekty rekonštrukci</w:t>
      </w:r>
      <w:r w:rsidR="00735C07">
        <w:t>e</w:t>
      </w:r>
      <w:r w:rsidRPr="00D82BDC">
        <w:t xml:space="preserve"> námestí miest a obcí, v rámci ktorých sa vybudovali aj krátke úseky chodníkov či </w:t>
      </w:r>
      <w:proofErr w:type="spellStart"/>
      <w:r w:rsidRPr="00D82BDC">
        <w:t>cyklochodníkov</w:t>
      </w:r>
      <w:proofErr w:type="spellEnd"/>
      <w:r w:rsidRPr="00D82BDC">
        <w:t xml:space="preserve">. Celkový objem financií využitých v rámci ROP na takéto projekty bol </w:t>
      </w:r>
      <w:r w:rsidR="0087411E">
        <w:t>k 31.</w:t>
      </w:r>
      <w:r w:rsidR="003312EA">
        <w:t>01</w:t>
      </w:r>
      <w:r w:rsidR="0087411E">
        <w:t>.201</w:t>
      </w:r>
      <w:r w:rsidR="003312EA">
        <w:t>3</w:t>
      </w:r>
      <w:r w:rsidR="0087411E">
        <w:t xml:space="preserve"> čerpaný </w:t>
      </w:r>
      <w:r w:rsidRPr="00D82BDC">
        <w:t>vo výške 22</w:t>
      </w:r>
      <w:r w:rsidR="00735C07">
        <w:t>,</w:t>
      </w:r>
      <w:r w:rsidRPr="00D82BDC">
        <w:t xml:space="preserve">2 </w:t>
      </w:r>
      <w:r w:rsidR="00735C07">
        <w:t xml:space="preserve">mil. </w:t>
      </w:r>
      <w:r w:rsidR="00F27CAC">
        <w:t>€</w:t>
      </w:r>
      <w:r w:rsidRPr="00D82BDC">
        <w:t xml:space="preserve"> (investície do cyklistickej infraštruktúry predstavujú len zlomok uvedenej sumy) a bolo financovaných 33 projektov v rámci ktorých bola zmienka o</w:t>
      </w:r>
      <w:r w:rsidR="00A52306">
        <w:t> </w:t>
      </w:r>
      <w:r w:rsidRPr="00D82BDC">
        <w:t>cykl</w:t>
      </w:r>
      <w:r w:rsidR="00A52306">
        <w:t xml:space="preserve">istickej </w:t>
      </w:r>
      <w:r w:rsidRPr="00D82BDC">
        <w:t>infraštruktúre, pričom sa vybudovali cyklotrasy v dĺžke 12,82 km.</w:t>
      </w:r>
    </w:p>
    <w:p w:rsidR="00F13F08" w:rsidRDefault="00DA752F" w:rsidP="00CD4ED6">
      <w:r w:rsidRPr="00D82BDC">
        <w:rPr>
          <w:b/>
          <w:bCs/>
        </w:rPr>
        <w:t xml:space="preserve">V rámci OP Cezhraničná spolupráca </w:t>
      </w:r>
      <w:r w:rsidRPr="00D82BDC">
        <w:t>boli financované viaceré projekty, ktorých vý</w:t>
      </w:r>
      <w:r w:rsidR="00873ADA">
        <w:t>stupom bola</w:t>
      </w:r>
      <w:r w:rsidRPr="00D82BDC">
        <w:t xml:space="preserve"> či už výstavba a vyznačenie nových cyklotrás v teréne, obnova existujúcich cyklistických trás alebo spracovanie strategických dokumentov zameraných na rozvoj cyklotrás v určitých regiónoch a zameranie cyklotrás s cieľom ich digitalizácie a použitia pre webové aplikácie. Celkový počet </w:t>
      </w:r>
      <w:r w:rsidR="00AE4167">
        <w:t>schválených</w:t>
      </w:r>
      <w:r w:rsidR="00AE4167" w:rsidRPr="00D82BDC">
        <w:t xml:space="preserve"> </w:t>
      </w:r>
      <w:r w:rsidRPr="00D82BDC">
        <w:t xml:space="preserve">projektov, v ktorých sa určitým spôsobom objavila problematika </w:t>
      </w:r>
      <w:proofErr w:type="spellStart"/>
      <w:r w:rsidRPr="00D82BDC">
        <w:t>cyklodopravy</w:t>
      </w:r>
      <w:proofErr w:type="spellEnd"/>
      <w:r w:rsidRPr="00D82BDC">
        <w:t xml:space="preserve"> a</w:t>
      </w:r>
      <w:r w:rsidR="003A3D94">
        <w:t> </w:t>
      </w:r>
      <w:r w:rsidRPr="00D82BDC">
        <w:t>cykloturistiky</w:t>
      </w:r>
      <w:r w:rsidR="003A3D94" w:rsidRPr="006F5489">
        <w:t>,</w:t>
      </w:r>
      <w:r w:rsidRPr="006F5489">
        <w:t xml:space="preserve"> </w:t>
      </w:r>
      <w:r w:rsidR="00F27CAC" w:rsidRPr="006F5489">
        <w:rPr>
          <w:bCs/>
        </w:rPr>
        <w:t xml:space="preserve">bol </w:t>
      </w:r>
      <w:r w:rsidR="00F27CAC" w:rsidRPr="00107828">
        <w:rPr>
          <w:bCs/>
        </w:rPr>
        <w:t>2</w:t>
      </w:r>
      <w:r w:rsidR="00F26637">
        <w:rPr>
          <w:bCs/>
        </w:rPr>
        <w:t>6</w:t>
      </w:r>
      <w:r w:rsidR="00F27CAC" w:rsidRPr="00107828">
        <w:rPr>
          <w:bCs/>
        </w:rPr>
        <w:t xml:space="preserve"> (</w:t>
      </w:r>
      <w:r w:rsidRPr="00107828">
        <w:rPr>
          <w:bCs/>
        </w:rPr>
        <w:t xml:space="preserve">k </w:t>
      </w:r>
      <w:r w:rsidR="003312EA">
        <w:rPr>
          <w:bCs/>
        </w:rPr>
        <w:t>31</w:t>
      </w:r>
      <w:r w:rsidRPr="00107828">
        <w:rPr>
          <w:bCs/>
        </w:rPr>
        <w:t>.</w:t>
      </w:r>
      <w:r w:rsidR="00F26637">
        <w:rPr>
          <w:bCs/>
        </w:rPr>
        <w:t>0</w:t>
      </w:r>
      <w:r w:rsidRPr="00107828">
        <w:rPr>
          <w:bCs/>
        </w:rPr>
        <w:t>1.201</w:t>
      </w:r>
      <w:r w:rsidR="00F26637">
        <w:rPr>
          <w:bCs/>
        </w:rPr>
        <w:t>3</w:t>
      </w:r>
      <w:r w:rsidR="00F27CAC" w:rsidRPr="00107828">
        <w:rPr>
          <w:bCs/>
        </w:rPr>
        <w:t>)</w:t>
      </w:r>
      <w:r w:rsidRPr="00107828">
        <w:t xml:space="preserve"> a</w:t>
      </w:r>
      <w:r w:rsidR="00F27CAC" w:rsidRPr="00107828">
        <w:t> c</w:t>
      </w:r>
      <w:r w:rsidRPr="00107828">
        <w:t>elkový</w:t>
      </w:r>
      <w:r w:rsidRPr="006F5489">
        <w:t xml:space="preserve"> objem oprávnených nákladov bol vo výške </w:t>
      </w:r>
      <w:r w:rsidR="00F26637">
        <w:rPr>
          <w:bCs/>
        </w:rPr>
        <w:t>26</w:t>
      </w:r>
      <w:r w:rsidR="00D66858" w:rsidRPr="006F5489">
        <w:rPr>
          <w:bCs/>
        </w:rPr>
        <w:t>,</w:t>
      </w:r>
      <w:r w:rsidR="00F26637">
        <w:rPr>
          <w:bCs/>
        </w:rPr>
        <w:t>5</w:t>
      </w:r>
      <w:r w:rsidR="00D66858" w:rsidRPr="006F5489">
        <w:rPr>
          <w:bCs/>
        </w:rPr>
        <w:t xml:space="preserve"> mil.</w:t>
      </w:r>
      <w:r w:rsidRPr="006F5489">
        <w:rPr>
          <w:bCs/>
        </w:rPr>
        <w:t xml:space="preserve"> </w:t>
      </w:r>
      <w:r w:rsidR="00F27CAC" w:rsidRPr="006F5489">
        <w:rPr>
          <w:bCs/>
        </w:rPr>
        <w:t>€</w:t>
      </w:r>
      <w:r w:rsidRPr="006F5489">
        <w:rPr>
          <w:bCs/>
        </w:rPr>
        <w:t>.</w:t>
      </w:r>
      <w:r w:rsidRPr="00D82BDC">
        <w:rPr>
          <w:b/>
          <w:bCs/>
        </w:rPr>
        <w:t xml:space="preserve"> </w:t>
      </w:r>
      <w:r w:rsidR="003312EA">
        <w:t>Jedná sa o</w:t>
      </w:r>
      <w:r w:rsidRPr="00D82BDC">
        <w:t xml:space="preserve"> financie určené </w:t>
      </w:r>
      <w:r w:rsidR="00A52306">
        <w:t xml:space="preserve">na </w:t>
      </w:r>
      <w:r w:rsidR="00225E7B">
        <w:t>širšie</w:t>
      </w:r>
      <w:r w:rsidR="00A52306">
        <w:t xml:space="preserve"> projekty a </w:t>
      </w:r>
      <w:r w:rsidRPr="00D82BDC">
        <w:t>výstavb</w:t>
      </w:r>
      <w:r w:rsidR="00A52306">
        <w:t>a</w:t>
      </w:r>
      <w:r w:rsidRPr="00D82BDC">
        <w:t xml:space="preserve"> c</w:t>
      </w:r>
      <w:r w:rsidR="00A52306">
        <w:t>ie</w:t>
      </w:r>
      <w:r w:rsidRPr="00D82BDC">
        <w:t>st</w:t>
      </w:r>
      <w:r w:rsidR="00A52306">
        <w:t xml:space="preserve"> </w:t>
      </w:r>
      <w:r w:rsidRPr="00D82BDC">
        <w:t>pre cyklistov či cykloturistických trás</w:t>
      </w:r>
      <w:r w:rsidR="00A52306">
        <w:t xml:space="preserve"> je len súčasťou </w:t>
      </w:r>
      <w:r w:rsidR="00A52306" w:rsidRPr="00107828">
        <w:t>komplexn</w:t>
      </w:r>
      <w:r w:rsidR="006F5489" w:rsidRPr="00107828">
        <w:t>ejších</w:t>
      </w:r>
      <w:r w:rsidR="00A52306" w:rsidRPr="00107828">
        <w:t xml:space="preserve"> projekt</w:t>
      </w:r>
      <w:r w:rsidR="006F5489" w:rsidRPr="00107828">
        <w:t>ov</w:t>
      </w:r>
      <w:r w:rsidRPr="00107828">
        <w:t>.</w:t>
      </w:r>
    </w:p>
    <w:p w:rsidR="00DA752F" w:rsidRDefault="00DA752F" w:rsidP="00B12FE2">
      <w:r w:rsidRPr="00107828">
        <w:rPr>
          <w:b/>
          <w:bCs/>
        </w:rPr>
        <w:t xml:space="preserve">Z OP Bratislavský kraj </w:t>
      </w:r>
      <w:r w:rsidRPr="00107828">
        <w:t>bol</w:t>
      </w:r>
      <w:r w:rsidR="00AE4167">
        <w:t>a</w:t>
      </w:r>
      <w:r w:rsidRPr="00107828">
        <w:t xml:space="preserve"> </w:t>
      </w:r>
      <w:r w:rsidR="00F26637">
        <w:t xml:space="preserve">k 31.01.2013 </w:t>
      </w:r>
      <w:r w:rsidR="00AE4167">
        <w:t>schválená realizácia troch projektov</w:t>
      </w:r>
      <w:r w:rsidRPr="00107828">
        <w:t xml:space="preserve"> zameraný</w:t>
      </w:r>
      <w:r w:rsidR="00AE4167">
        <w:t>ch</w:t>
      </w:r>
      <w:r w:rsidRPr="00107828">
        <w:t xml:space="preserve"> na cyklistickú infraštruktúru v</w:t>
      </w:r>
      <w:r w:rsidR="00AE4167">
        <w:t xml:space="preserve"> celkovom </w:t>
      </w:r>
      <w:r w:rsidRPr="00107828">
        <w:t xml:space="preserve">objeme </w:t>
      </w:r>
      <w:r w:rsidR="00AE4167">
        <w:t>1</w:t>
      </w:r>
      <w:r w:rsidR="00C91EED">
        <w:t>,5 mil.</w:t>
      </w:r>
      <w:r w:rsidRPr="00107828">
        <w:t xml:space="preserve"> </w:t>
      </w:r>
      <w:r w:rsidR="00F27CAC" w:rsidRPr="00107828">
        <w:t>€</w:t>
      </w:r>
      <w:r w:rsidR="003312EA">
        <w:t>.</w:t>
      </w:r>
      <w:r w:rsidRPr="00107828">
        <w:t xml:space="preserve"> </w:t>
      </w:r>
    </w:p>
    <w:p w:rsidR="00873ADA" w:rsidRPr="00920C82" w:rsidRDefault="00873ADA" w:rsidP="00B12FE2">
      <w:pPr>
        <w:pStyle w:val="Nadpis3"/>
      </w:pPr>
      <w:bookmarkStart w:id="220" w:name="_Toc345583403"/>
      <w:bookmarkStart w:id="221" w:name="_Toc345662845"/>
      <w:bookmarkStart w:id="222" w:name="_Toc345662968"/>
      <w:bookmarkStart w:id="223" w:name="_Toc345667208"/>
      <w:bookmarkStart w:id="224" w:name="_Toc345943296"/>
      <w:bookmarkStart w:id="225" w:name="_Toc336009354"/>
      <w:bookmarkStart w:id="226" w:name="_Toc336009444"/>
      <w:bookmarkStart w:id="227" w:name="_Toc336009522"/>
      <w:bookmarkStart w:id="228" w:name="_Toc336009604"/>
      <w:bookmarkStart w:id="229" w:name="_Toc336009686"/>
      <w:bookmarkStart w:id="230" w:name="_Toc336009765"/>
      <w:bookmarkStart w:id="231" w:name="_Toc336009844"/>
      <w:bookmarkStart w:id="232" w:name="_Toc336009927"/>
      <w:bookmarkStart w:id="233" w:name="_Toc336010007"/>
      <w:bookmarkStart w:id="234" w:name="_Toc336010365"/>
      <w:bookmarkStart w:id="235" w:name="_Toc336010443"/>
      <w:bookmarkStart w:id="236" w:name="_Toc336009355"/>
      <w:bookmarkStart w:id="237" w:name="_Toc336009445"/>
      <w:bookmarkStart w:id="238" w:name="_Toc336009523"/>
      <w:bookmarkStart w:id="239" w:name="_Toc336009605"/>
      <w:bookmarkStart w:id="240" w:name="_Toc336009687"/>
      <w:bookmarkStart w:id="241" w:name="_Toc336009766"/>
      <w:bookmarkStart w:id="242" w:name="_Toc336009845"/>
      <w:bookmarkStart w:id="243" w:name="_Toc336009928"/>
      <w:bookmarkStart w:id="244" w:name="_Toc336010008"/>
      <w:bookmarkStart w:id="245" w:name="_Toc336010366"/>
      <w:bookmarkStart w:id="246" w:name="_Toc336010444"/>
      <w:bookmarkStart w:id="247" w:name="_Toc336009356"/>
      <w:bookmarkStart w:id="248" w:name="_Toc336009446"/>
      <w:bookmarkStart w:id="249" w:name="_Toc336009524"/>
      <w:bookmarkStart w:id="250" w:name="_Toc336009606"/>
      <w:bookmarkStart w:id="251" w:name="_Toc336009688"/>
      <w:bookmarkStart w:id="252" w:name="_Toc336009767"/>
      <w:bookmarkStart w:id="253" w:name="_Toc336009846"/>
      <w:bookmarkStart w:id="254" w:name="_Toc336009929"/>
      <w:bookmarkStart w:id="255" w:name="_Toc336010009"/>
      <w:bookmarkStart w:id="256" w:name="_Toc336010367"/>
      <w:bookmarkStart w:id="257" w:name="_Toc336010445"/>
      <w:bookmarkStart w:id="258" w:name="_Toc336009357"/>
      <w:bookmarkStart w:id="259" w:name="_Toc336009447"/>
      <w:bookmarkStart w:id="260" w:name="_Toc336009525"/>
      <w:bookmarkStart w:id="261" w:name="_Toc336009607"/>
      <w:bookmarkStart w:id="262" w:name="_Toc336009689"/>
      <w:bookmarkStart w:id="263" w:name="_Toc336009768"/>
      <w:bookmarkStart w:id="264" w:name="_Toc336009847"/>
      <w:bookmarkStart w:id="265" w:name="_Toc336009930"/>
      <w:bookmarkStart w:id="266" w:name="_Toc336010010"/>
      <w:bookmarkStart w:id="267" w:name="_Toc336010368"/>
      <w:bookmarkStart w:id="268" w:name="_Toc336010446"/>
      <w:bookmarkStart w:id="269" w:name="_Toc336009358"/>
      <w:bookmarkStart w:id="270" w:name="_Toc336009448"/>
      <w:bookmarkStart w:id="271" w:name="_Toc336009526"/>
      <w:bookmarkStart w:id="272" w:name="_Toc336009608"/>
      <w:bookmarkStart w:id="273" w:name="_Toc336009690"/>
      <w:bookmarkStart w:id="274" w:name="_Toc336009769"/>
      <w:bookmarkStart w:id="275" w:name="_Toc336009848"/>
      <w:bookmarkStart w:id="276" w:name="_Toc336009931"/>
      <w:bookmarkStart w:id="277" w:name="_Toc336010011"/>
      <w:bookmarkStart w:id="278" w:name="_Toc336010369"/>
      <w:bookmarkStart w:id="279" w:name="_Toc336010447"/>
      <w:bookmarkStart w:id="280" w:name="_Toc336009359"/>
      <w:bookmarkStart w:id="281" w:name="_Toc336009449"/>
      <w:bookmarkStart w:id="282" w:name="_Toc336009527"/>
      <w:bookmarkStart w:id="283" w:name="_Toc336009609"/>
      <w:bookmarkStart w:id="284" w:name="_Toc336009691"/>
      <w:bookmarkStart w:id="285" w:name="_Toc336009770"/>
      <w:bookmarkStart w:id="286" w:name="_Toc336009849"/>
      <w:bookmarkStart w:id="287" w:name="_Toc336009932"/>
      <w:bookmarkStart w:id="288" w:name="_Toc336010012"/>
      <w:bookmarkStart w:id="289" w:name="_Toc336010370"/>
      <w:bookmarkStart w:id="290" w:name="_Toc336010448"/>
      <w:bookmarkStart w:id="291" w:name="_Toc336009360"/>
      <w:bookmarkStart w:id="292" w:name="_Toc336009450"/>
      <w:bookmarkStart w:id="293" w:name="_Toc336009528"/>
      <w:bookmarkStart w:id="294" w:name="_Toc336009610"/>
      <w:bookmarkStart w:id="295" w:name="_Toc336009692"/>
      <w:bookmarkStart w:id="296" w:name="_Toc336009771"/>
      <w:bookmarkStart w:id="297" w:name="_Toc336009850"/>
      <w:bookmarkStart w:id="298" w:name="_Toc336009933"/>
      <w:bookmarkStart w:id="299" w:name="_Toc336010013"/>
      <w:bookmarkStart w:id="300" w:name="_Toc336010371"/>
      <w:bookmarkStart w:id="301" w:name="_Toc336010449"/>
      <w:bookmarkStart w:id="302" w:name="_Toc34792138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920C82">
        <w:t>F</w:t>
      </w:r>
      <w:r w:rsidR="000B5B13" w:rsidRPr="00920C82">
        <w:t xml:space="preserve">inancovanie na </w:t>
      </w:r>
      <w:r w:rsidR="00735C07">
        <w:t xml:space="preserve">regionálnej a </w:t>
      </w:r>
      <w:r w:rsidR="000B5B13" w:rsidRPr="00920C82">
        <w:t>lokálnej úrovni</w:t>
      </w:r>
      <w:bookmarkEnd w:id="302"/>
    </w:p>
    <w:p w:rsidR="00873ADA" w:rsidRPr="00873ADA" w:rsidRDefault="00873ADA" w:rsidP="00B12FE2">
      <w:r w:rsidRPr="00873ADA">
        <w:t>Financovanie cyklistickej dopravy v jednotlivých mestách a regiónoch by malo byť zabezpečené predovšetkým z ich vlastných rozpočtov. Niektoré mestá</w:t>
      </w:r>
      <w:r w:rsidR="00A52306">
        <w:t>, obce a samosprávne kraje</w:t>
      </w:r>
      <w:r w:rsidRPr="00873ADA">
        <w:t xml:space="preserve"> nepravidelne vyčleňujú peniaze na </w:t>
      </w:r>
      <w:proofErr w:type="spellStart"/>
      <w:r w:rsidRPr="00873ADA">
        <w:t>cyklo</w:t>
      </w:r>
      <w:r w:rsidR="00DA78D1">
        <w:t>infraštruktúru</w:t>
      </w:r>
      <w:proofErr w:type="spellEnd"/>
      <w:r w:rsidRPr="00873ADA">
        <w:t xml:space="preserve"> alebo prípravu projektovej dokumentácie, ale </w:t>
      </w:r>
      <w:r w:rsidR="00A17EDA">
        <w:t>sú to zatiaľ skôr</w:t>
      </w:r>
      <w:r w:rsidRPr="00873ADA">
        <w:t xml:space="preserve"> výnim</w:t>
      </w:r>
      <w:r w:rsidR="00A17EDA">
        <w:t>ky</w:t>
      </w:r>
      <w:r w:rsidR="00020D40">
        <w:t>.</w:t>
      </w:r>
      <w:r w:rsidRPr="00AA37D2">
        <w:t xml:space="preserve"> </w:t>
      </w:r>
      <w:r w:rsidR="00F06309" w:rsidRPr="00AA37D2">
        <w:t xml:space="preserve">Bratislava vyčlenila </w:t>
      </w:r>
      <w:r w:rsidR="00F06309">
        <w:t>776</w:t>
      </w:r>
      <w:r w:rsidR="00F06309" w:rsidRPr="00AA37D2">
        <w:t xml:space="preserve"> tis. </w:t>
      </w:r>
      <w:r w:rsidR="00F06309">
        <w:t xml:space="preserve">€ </w:t>
      </w:r>
      <w:r w:rsidR="00F06309" w:rsidRPr="00AA37D2">
        <w:t>na rok 201</w:t>
      </w:r>
      <w:r w:rsidR="00F06309">
        <w:t>3</w:t>
      </w:r>
      <w:r w:rsidR="00F06309" w:rsidRPr="00AA37D2">
        <w:t xml:space="preserve">, </w:t>
      </w:r>
      <w:r w:rsidR="00F06309">
        <w:t xml:space="preserve">v roku 2012 to bolo 491 tis. € a v r. 2011 iba </w:t>
      </w:r>
      <w:r w:rsidR="00F06309" w:rsidRPr="00AA37D2">
        <w:t xml:space="preserve">32 tis. </w:t>
      </w:r>
      <w:r w:rsidR="00F06309">
        <w:t xml:space="preserve">€. </w:t>
      </w:r>
      <w:r w:rsidRPr="00AA37D2">
        <w:t xml:space="preserve">Banská Bystrica vyčlenila </w:t>
      </w:r>
      <w:r w:rsidR="00F06309">
        <w:t xml:space="preserve">v roku 2012 na podporu rozvoja </w:t>
      </w:r>
      <w:proofErr w:type="spellStart"/>
      <w:r w:rsidR="00F06309">
        <w:t>cykloinfraštruktúry</w:t>
      </w:r>
      <w:proofErr w:type="spellEnd"/>
      <w:r w:rsidR="00F06309">
        <w:t xml:space="preserve"> </w:t>
      </w:r>
      <w:r w:rsidR="0087661E" w:rsidRPr="00AA37D2">
        <w:t xml:space="preserve">100 tis. </w:t>
      </w:r>
      <w:r w:rsidR="0087661E">
        <w:t>€</w:t>
      </w:r>
      <w:r w:rsidR="00F06309">
        <w:t>.</w:t>
      </w:r>
      <w:r w:rsidRPr="00AA37D2">
        <w:t xml:space="preserve"> </w:t>
      </w:r>
      <w:r w:rsidR="00020D40" w:rsidRPr="00020D40">
        <w:t>Žilinský samosprávny kraj systémovo prispieval z vlastných zdrojov v r. 2009 - 2011 na obnovu a budovanie cyklotrás v kraji celkovou sumou 143 000 EUR ročne</w:t>
      </w:r>
      <w:r w:rsidR="00020D40">
        <w:t>,</w:t>
      </w:r>
      <w:r w:rsidR="00020D40" w:rsidRPr="00020D40">
        <w:t xml:space="preserve"> </w:t>
      </w:r>
      <w:r w:rsidR="00020D40">
        <w:t>v</w:t>
      </w:r>
      <w:r w:rsidR="00020D40" w:rsidRPr="00020D40">
        <w:t xml:space="preserve"> roku 2012 prispieval </w:t>
      </w:r>
      <w:r w:rsidR="00F06309">
        <w:t>sumou</w:t>
      </w:r>
      <w:r w:rsidR="00020D40" w:rsidRPr="00020D40">
        <w:t xml:space="preserve"> 35 tis. € a v roku 2013  sum</w:t>
      </w:r>
      <w:r w:rsidR="00F06309">
        <w:t>ou</w:t>
      </w:r>
      <w:r w:rsidR="00020D40" w:rsidRPr="00020D40">
        <w:t xml:space="preserve"> 45 tis. €.</w:t>
      </w:r>
      <w:r w:rsidR="00020D40">
        <w:t xml:space="preserve"> </w:t>
      </w:r>
      <w:r w:rsidR="00020D40" w:rsidRPr="00020D40">
        <w:t xml:space="preserve">V súčasnosti podniká </w:t>
      </w:r>
      <w:r w:rsidR="00020D40">
        <w:t xml:space="preserve">ďalšie </w:t>
      </w:r>
      <w:r w:rsidR="00020D40" w:rsidRPr="00020D40">
        <w:t xml:space="preserve">rôzne aktivity na podporu </w:t>
      </w:r>
      <w:proofErr w:type="spellStart"/>
      <w:r w:rsidR="00020D40" w:rsidRPr="00020D40">
        <w:t>cyklodopravy</w:t>
      </w:r>
      <w:proofErr w:type="spellEnd"/>
      <w:r w:rsidR="00020D40" w:rsidRPr="00020D40">
        <w:t xml:space="preserve"> (napr. v spolupráci so spoločnosťou </w:t>
      </w:r>
      <w:proofErr w:type="spellStart"/>
      <w:r w:rsidR="00020D40" w:rsidRPr="00020D40">
        <w:t>Kia</w:t>
      </w:r>
      <w:proofErr w:type="spellEnd"/>
      <w:r w:rsidR="00020D40" w:rsidRPr="00020D40">
        <w:t xml:space="preserve"> </w:t>
      </w:r>
      <w:proofErr w:type="spellStart"/>
      <w:r w:rsidR="00020D40" w:rsidRPr="00020D40">
        <w:t>Motors</w:t>
      </w:r>
      <w:proofErr w:type="spellEnd"/>
      <w:r w:rsidR="00020D40" w:rsidRPr="00020D40">
        <w:t xml:space="preserve"> Slovakia bud</w:t>
      </w:r>
      <w:r w:rsidR="00EA28E5">
        <w:t>uje</w:t>
      </w:r>
      <w:r w:rsidR="00020D40" w:rsidRPr="00020D40">
        <w:t xml:space="preserve"> cyklotrasy </w:t>
      </w:r>
      <w:proofErr w:type="spellStart"/>
      <w:r w:rsidR="00020D40" w:rsidRPr="00020D40">
        <w:t>Budatínsky</w:t>
      </w:r>
      <w:proofErr w:type="spellEnd"/>
      <w:r w:rsidR="00020D40" w:rsidRPr="00020D40">
        <w:t xml:space="preserve"> hrad - Hrad </w:t>
      </w:r>
      <w:r w:rsidR="00020D40" w:rsidRPr="00020D40">
        <w:lastRenderedPageBreak/>
        <w:t xml:space="preserve">Strečno). </w:t>
      </w:r>
      <w:r w:rsidRPr="00873ADA">
        <w:t xml:space="preserve">Niektoré mestá majú vlastné všeobecné grantové schémy, z ktorých sa okrem iného dajú financovať aj propagačné aktivity spojené s podporou udržateľných foriem dopravy (napr. Grantový systém mesta Žilina, ktorý v roku 2011 </w:t>
      </w:r>
      <w:r w:rsidR="00735C07">
        <w:t>podporil</w:t>
      </w:r>
      <w:r w:rsidR="00735C07" w:rsidRPr="00873ADA">
        <w:t xml:space="preserve"> </w:t>
      </w:r>
      <w:r w:rsidR="00F27CAC">
        <w:t xml:space="preserve">aj </w:t>
      </w:r>
      <w:proofErr w:type="spellStart"/>
      <w:r w:rsidR="00F27CAC">
        <w:t>cyklo</w:t>
      </w:r>
      <w:r w:rsidRPr="00873ADA">
        <w:t>projekty</w:t>
      </w:r>
      <w:proofErr w:type="spellEnd"/>
      <w:r w:rsidRPr="00873ADA">
        <w:t xml:space="preserve">). </w:t>
      </w:r>
    </w:p>
    <w:p w:rsidR="00300D72" w:rsidRPr="00B12FE2" w:rsidRDefault="001E6772" w:rsidP="00B12FE2">
      <w:pPr>
        <w:rPr>
          <w:rFonts w:cs="Times New Roman"/>
          <w:b/>
          <w:szCs w:val="24"/>
        </w:rPr>
      </w:pPr>
      <w:r>
        <w:t>V</w:t>
      </w:r>
      <w:r w:rsidRPr="00873ADA">
        <w:t xml:space="preserve"> procese schvaľovania projektových dokumentácií rôznych stavieb (obchodné centrá, administratívne budovy a pod.)</w:t>
      </w:r>
      <w:r>
        <w:t xml:space="preserve"> neexistuje v súčasnosti pre </w:t>
      </w:r>
      <w:r w:rsidR="00366622">
        <w:t xml:space="preserve">mestá </w:t>
      </w:r>
      <w:r w:rsidR="00873ADA" w:rsidRPr="00873ADA">
        <w:t xml:space="preserve">povinnosť </w:t>
      </w:r>
      <w:r w:rsidR="00366622">
        <w:t xml:space="preserve">vyžadovať </w:t>
      </w:r>
      <w:r w:rsidR="00873ADA" w:rsidRPr="00873ADA">
        <w:t>od investorov vytvorenie určitého počtu parkovacích miest pre bicykle tak</w:t>
      </w:r>
      <w:r>
        <w:t>,</w:t>
      </w:r>
      <w:r w:rsidR="00873ADA" w:rsidRPr="00873ADA">
        <w:t xml:space="preserve"> ako je to v prípade áut.</w:t>
      </w:r>
    </w:p>
    <w:p w:rsidR="00107828" w:rsidRPr="001A0961" w:rsidRDefault="00B333F3" w:rsidP="00107828">
      <w:r w:rsidRPr="001A0961">
        <w:t xml:space="preserve">Pri </w:t>
      </w:r>
      <w:r w:rsidR="00F61260" w:rsidRPr="001A0961">
        <w:t>cykloturistick</w:t>
      </w:r>
      <w:r w:rsidRPr="001A0961">
        <w:t>ých</w:t>
      </w:r>
      <w:r w:rsidR="00F61260" w:rsidRPr="001A0961">
        <w:t xml:space="preserve"> značen</w:t>
      </w:r>
      <w:r w:rsidRPr="001A0961">
        <w:t>ých</w:t>
      </w:r>
      <w:r w:rsidR="00F61260" w:rsidRPr="001A0961">
        <w:t xml:space="preserve"> tras</w:t>
      </w:r>
      <w:r w:rsidRPr="001A0961">
        <w:t>ách</w:t>
      </w:r>
      <w:r w:rsidR="00F61260" w:rsidRPr="001A0961">
        <w:t xml:space="preserve"> sa </w:t>
      </w:r>
      <w:r w:rsidRPr="001A0961">
        <w:t xml:space="preserve">orientačné náklady na zriadenie </w:t>
      </w:r>
      <w:r w:rsidR="00F61260" w:rsidRPr="001A0961">
        <w:t>pohybuj</w:t>
      </w:r>
      <w:r w:rsidR="00A17EDA" w:rsidRPr="001A0961">
        <w:t>ú</w:t>
      </w:r>
      <w:r w:rsidR="00F61260" w:rsidRPr="001A0961">
        <w:t xml:space="preserve"> okolo 300</w:t>
      </w:r>
      <w:r w:rsidR="00F27CAC" w:rsidRPr="001A0961">
        <w:t> </w:t>
      </w:r>
      <w:r w:rsidR="00F61260" w:rsidRPr="001A0961">
        <w:t>€/km</w:t>
      </w:r>
      <w:r w:rsidR="00155863" w:rsidRPr="001A0961">
        <w:t xml:space="preserve"> </w:t>
      </w:r>
      <w:r w:rsidR="00155863" w:rsidRPr="001A0961">
        <w:rPr>
          <w:rFonts w:eastAsia="Times New Roman" w:cs="Times New Roman"/>
          <w:szCs w:val="24"/>
          <w:lang w:eastAsia="sk-SK"/>
        </w:rPr>
        <w:t>(zahŕňa</w:t>
      </w:r>
      <w:r w:rsidR="00A17EDA" w:rsidRPr="001A0961">
        <w:rPr>
          <w:rFonts w:eastAsia="Times New Roman" w:cs="Times New Roman"/>
          <w:szCs w:val="24"/>
          <w:lang w:eastAsia="sk-SK"/>
        </w:rPr>
        <w:t>jú</w:t>
      </w:r>
      <w:r w:rsidR="00155863" w:rsidRPr="001A0961">
        <w:rPr>
          <w:rFonts w:eastAsia="Times New Roman" w:cs="Times New Roman"/>
          <w:szCs w:val="24"/>
          <w:lang w:eastAsia="sk-SK"/>
        </w:rPr>
        <w:t xml:space="preserve"> okrem vyznačenia novej cykloturistickej trasy aj </w:t>
      </w:r>
      <w:r w:rsidR="00614653" w:rsidRPr="001A0961">
        <w:rPr>
          <w:rFonts w:eastAsia="Times New Roman" w:cs="Times New Roman"/>
          <w:szCs w:val="24"/>
          <w:lang w:eastAsia="sk-SK"/>
        </w:rPr>
        <w:t xml:space="preserve">jej </w:t>
      </w:r>
      <w:r w:rsidR="00155863" w:rsidRPr="001A0961">
        <w:rPr>
          <w:rFonts w:eastAsia="Times New Roman" w:cs="Times New Roman"/>
          <w:szCs w:val="24"/>
          <w:lang w:eastAsia="sk-SK"/>
        </w:rPr>
        <w:t>rekognoskáciu, zjednodušenú dokumentáciu a povoľovacie konanie)</w:t>
      </w:r>
      <w:r w:rsidR="00F61260" w:rsidRPr="001A0961">
        <w:t xml:space="preserve">. </w:t>
      </w:r>
      <w:r w:rsidR="00107828" w:rsidRPr="001A0961">
        <w:t xml:space="preserve">Údržba cykloturistických trás by sa mala realizovať v trojročných cykloch. Náklady na údržbu tvoria na základe kvalifikovaného odhadu Slovenského </w:t>
      </w:r>
      <w:proofErr w:type="spellStart"/>
      <w:r w:rsidR="00107828" w:rsidRPr="001A0961">
        <w:t>cykloklubu</w:t>
      </w:r>
      <w:proofErr w:type="spellEnd"/>
      <w:r w:rsidR="00107828" w:rsidRPr="001A0961">
        <w:t xml:space="preserve"> (SCK) 25% z realizačnej hodnoty (cca 8% z realizačnej hodnoty/rok). </w:t>
      </w:r>
    </w:p>
    <w:p w:rsidR="00917169" w:rsidRDefault="00917169" w:rsidP="00225E7B">
      <w:r w:rsidRPr="001A0961">
        <w:t xml:space="preserve">SCK </w:t>
      </w:r>
      <w:r w:rsidR="0087411E" w:rsidRPr="001A0961">
        <w:t xml:space="preserve">má možnosť podieľať sa na financovaní opráv a údržby cykloturistických trás na základe výziev vyhlásených </w:t>
      </w:r>
      <w:r w:rsidRPr="001A0961">
        <w:t>Ministerstvo</w:t>
      </w:r>
      <w:r w:rsidR="0087411E" w:rsidRPr="001A0961">
        <w:t>m</w:t>
      </w:r>
      <w:r w:rsidRPr="001A0961">
        <w:t xml:space="preserve"> školstva</w:t>
      </w:r>
      <w:r w:rsidR="00AA7A1A" w:rsidRPr="001A0961">
        <w:t xml:space="preserve">, vedy, výskumu a </w:t>
      </w:r>
      <w:r w:rsidR="009B7D22" w:rsidRPr="001A0961">
        <w:t>športu</w:t>
      </w:r>
      <w:r w:rsidRPr="001A0961">
        <w:t xml:space="preserve"> SR. </w:t>
      </w:r>
      <w:r w:rsidR="00982835" w:rsidRPr="001A0961">
        <w:t xml:space="preserve">Od roku 1997 do 2011 boli podporené </w:t>
      </w:r>
      <w:proofErr w:type="spellStart"/>
      <w:r w:rsidR="003944EB" w:rsidRPr="001A0961">
        <w:t>cyklo</w:t>
      </w:r>
      <w:r w:rsidRPr="001A0961">
        <w:t>projekt</w:t>
      </w:r>
      <w:r w:rsidR="00982835" w:rsidRPr="001A0961">
        <w:t>y</w:t>
      </w:r>
      <w:proofErr w:type="spellEnd"/>
      <w:r w:rsidR="00982835" w:rsidRPr="001A0961">
        <w:t xml:space="preserve"> </w:t>
      </w:r>
      <w:r w:rsidR="000E721E" w:rsidRPr="001A0961">
        <w:t>sumou</w:t>
      </w:r>
      <w:r w:rsidR="00982835" w:rsidRPr="001A0961">
        <w:t xml:space="preserve"> 15</w:t>
      </w:r>
      <w:r w:rsidR="000E721E" w:rsidRPr="001A0961">
        <w:t>8</w:t>
      </w:r>
      <w:r w:rsidR="00B333F3" w:rsidRPr="001A0961">
        <w:t xml:space="preserve"> tis.</w:t>
      </w:r>
      <w:r w:rsidR="00982835" w:rsidRPr="001A0961">
        <w:t xml:space="preserve"> €</w:t>
      </w:r>
      <w:r w:rsidR="00A17EDA" w:rsidRPr="001A0961">
        <w:t>, čo ilustruje</w:t>
      </w:r>
      <w:r w:rsidRPr="001A0961">
        <w:t xml:space="preserve"> hlboké poddimenzovanie </w:t>
      </w:r>
      <w:r w:rsidR="00A17EDA" w:rsidRPr="001A0961">
        <w:t xml:space="preserve">výdavkov na podporu cyklotrás </w:t>
      </w:r>
      <w:r w:rsidRPr="001A0961">
        <w:t>zo strany štátu</w:t>
      </w:r>
      <w:r w:rsidR="00A17EDA" w:rsidRPr="001A0961">
        <w:t xml:space="preserve"> (z</w:t>
      </w:r>
      <w:r w:rsidRPr="001A0961">
        <w:t xml:space="preserve"> uvedených prostriedkov sa realizovala</w:t>
      </w:r>
      <w:r w:rsidR="00225E7B" w:rsidRPr="001A0961">
        <w:t xml:space="preserve"> nevyhnutná údržba a školiace aktivity v rámci celej </w:t>
      </w:r>
      <w:r w:rsidR="00A17EDA" w:rsidRPr="001A0961">
        <w:t>SR)</w:t>
      </w:r>
      <w:r w:rsidR="00225E7B" w:rsidRPr="001A0961">
        <w:t>.</w:t>
      </w:r>
      <w:r w:rsidR="00A17EDA" w:rsidRPr="001A0961">
        <w:t xml:space="preserve"> Rozvoj cykloturistických trás aj ich údržba je tak odkázaná takmer výlučne na podporu z</w:t>
      </w:r>
      <w:r w:rsidR="000E721E" w:rsidRPr="001A0961">
        <w:t xml:space="preserve"> fondov EÚ, od </w:t>
      </w:r>
      <w:r w:rsidR="00A17EDA" w:rsidRPr="001A0961">
        <w:t>sponzor</w:t>
      </w:r>
      <w:r w:rsidR="000E721E" w:rsidRPr="001A0961">
        <w:t>ov</w:t>
      </w:r>
      <w:r w:rsidR="001B6C6D" w:rsidRPr="001A0961">
        <w:t>, samospráv</w:t>
      </w:r>
      <w:r w:rsidR="00A17EDA" w:rsidRPr="001A0961">
        <w:t xml:space="preserve"> či je</w:t>
      </w:r>
      <w:r w:rsidR="001B6C6D" w:rsidRPr="001A0961">
        <w:t xml:space="preserve">dnotlivých nadšencov </w:t>
      </w:r>
      <w:r w:rsidR="0032550F" w:rsidRPr="001A0961">
        <w:t>pracujúcich bez nároku na finančnú odmenu.</w:t>
      </w:r>
      <w:r w:rsidR="001B6C6D" w:rsidRPr="001A0961">
        <w:t xml:space="preserve"> </w:t>
      </w:r>
      <w:r w:rsidR="00B638E2" w:rsidRPr="001A0961">
        <w:t>Tieto zdroje však nepostačujú na adekvátnu údržbu všetkých cykloturistických trás na území SR.</w:t>
      </w:r>
    </w:p>
    <w:p w:rsidR="000E721E" w:rsidRDefault="000E721E" w:rsidP="000E721E">
      <w:pPr>
        <w:ind w:left="720" w:hanging="720"/>
        <w:rPr>
          <w:sz w:val="22"/>
        </w:rPr>
      </w:pPr>
    </w:p>
    <w:p w:rsidR="000E721E" w:rsidRPr="000E721E" w:rsidRDefault="000E721E" w:rsidP="0032550F">
      <w:pPr>
        <w:tabs>
          <w:tab w:val="left" w:pos="567"/>
          <w:tab w:val="left" w:pos="993"/>
        </w:tabs>
        <w:ind w:left="426"/>
        <w:rPr>
          <w:rFonts w:cs="Times New Roman"/>
          <w:szCs w:val="24"/>
        </w:rPr>
      </w:pPr>
      <w:r w:rsidRPr="000E721E">
        <w:rPr>
          <w:szCs w:val="24"/>
        </w:rPr>
        <w:t xml:space="preserve">Tabuľka 2: </w:t>
      </w:r>
      <w:r w:rsidRPr="000E721E">
        <w:rPr>
          <w:b/>
          <w:szCs w:val="24"/>
        </w:rPr>
        <w:t>Zdroj</w:t>
      </w:r>
      <w:r>
        <w:rPr>
          <w:b/>
          <w:szCs w:val="24"/>
        </w:rPr>
        <w:t>e</w:t>
      </w:r>
      <w:r w:rsidRPr="000E721E">
        <w:rPr>
          <w:b/>
          <w:szCs w:val="24"/>
        </w:rPr>
        <w:t xml:space="preserve"> S</w:t>
      </w:r>
      <w:r>
        <w:rPr>
          <w:b/>
          <w:szCs w:val="24"/>
        </w:rPr>
        <w:t xml:space="preserve">lovenského </w:t>
      </w:r>
      <w:proofErr w:type="spellStart"/>
      <w:r>
        <w:rPr>
          <w:b/>
          <w:szCs w:val="24"/>
        </w:rPr>
        <w:t>cykloklubu</w:t>
      </w:r>
      <w:proofErr w:type="spellEnd"/>
      <w:r>
        <w:rPr>
          <w:b/>
          <w:szCs w:val="24"/>
        </w:rPr>
        <w:t xml:space="preserve"> </w:t>
      </w:r>
      <w:r w:rsidRPr="000E721E">
        <w:rPr>
          <w:b/>
          <w:szCs w:val="24"/>
        </w:rPr>
        <w:t>na cykloturistiku v rokoch 1997 - 2011</w:t>
      </w:r>
    </w:p>
    <w:tbl>
      <w:tblPr>
        <w:tblW w:w="8257" w:type="dxa"/>
        <w:jc w:val="center"/>
        <w:tblInd w:w="55" w:type="dxa"/>
        <w:tblCellMar>
          <w:left w:w="70" w:type="dxa"/>
          <w:right w:w="70" w:type="dxa"/>
        </w:tblCellMar>
        <w:tblLook w:val="04A0"/>
      </w:tblPr>
      <w:tblGrid>
        <w:gridCol w:w="4410"/>
        <w:gridCol w:w="2268"/>
        <w:gridCol w:w="1579"/>
      </w:tblGrid>
      <w:tr w:rsidR="000E721E" w:rsidRPr="00575F5C" w:rsidTr="008431C1">
        <w:trPr>
          <w:trHeight w:val="315"/>
          <w:jc w:val="center"/>
        </w:trPr>
        <w:tc>
          <w:tcPr>
            <w:tcW w:w="4410"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0E721E" w:rsidRPr="00575F5C" w:rsidRDefault="000E721E" w:rsidP="0032550F">
            <w:pPr>
              <w:tabs>
                <w:tab w:val="left" w:pos="567"/>
                <w:tab w:val="left" w:pos="993"/>
              </w:tabs>
              <w:spacing w:before="120"/>
              <w:ind w:left="426"/>
              <w:jc w:val="center"/>
              <w:rPr>
                <w:rFonts w:eastAsia="Times New Roman" w:cs="Times New Roman"/>
                <w:b/>
                <w:color w:val="000000"/>
              </w:rPr>
            </w:pPr>
            <w:r w:rsidRPr="00575F5C">
              <w:rPr>
                <w:rFonts w:eastAsia="Times New Roman" w:cs="Times New Roman"/>
                <w:b/>
                <w:color w:val="000000"/>
                <w:sz w:val="22"/>
              </w:rPr>
              <w:t>Zdroj</w:t>
            </w:r>
          </w:p>
        </w:tc>
        <w:tc>
          <w:tcPr>
            <w:tcW w:w="2268" w:type="dxa"/>
            <w:tcBorders>
              <w:top w:val="single" w:sz="4" w:space="0" w:color="auto"/>
              <w:left w:val="nil"/>
              <w:bottom w:val="single" w:sz="4" w:space="0" w:color="auto"/>
              <w:right w:val="single" w:sz="4" w:space="0" w:color="auto"/>
            </w:tcBorders>
            <w:shd w:val="clear" w:color="auto" w:fill="B8CCE4"/>
            <w:noWrap/>
            <w:vAlign w:val="center"/>
          </w:tcPr>
          <w:p w:rsidR="000E721E" w:rsidRPr="00575F5C" w:rsidRDefault="000E721E" w:rsidP="0032550F">
            <w:pPr>
              <w:tabs>
                <w:tab w:val="left" w:pos="567"/>
                <w:tab w:val="left" w:pos="993"/>
              </w:tabs>
              <w:spacing w:before="120"/>
              <w:ind w:left="426"/>
              <w:jc w:val="center"/>
              <w:rPr>
                <w:rFonts w:eastAsia="Times New Roman" w:cs="Times New Roman"/>
                <w:b/>
                <w:color w:val="000000"/>
              </w:rPr>
            </w:pPr>
            <w:r w:rsidRPr="00575F5C">
              <w:rPr>
                <w:rFonts w:eastAsia="Times New Roman" w:cs="Times New Roman"/>
                <w:b/>
                <w:color w:val="000000"/>
                <w:sz w:val="22"/>
              </w:rPr>
              <w:t>Suma (Eur)</w:t>
            </w:r>
          </w:p>
        </w:tc>
        <w:tc>
          <w:tcPr>
            <w:tcW w:w="1579" w:type="dxa"/>
            <w:tcBorders>
              <w:top w:val="single" w:sz="4" w:space="0" w:color="auto"/>
              <w:left w:val="nil"/>
              <w:bottom w:val="single" w:sz="4" w:space="0" w:color="auto"/>
              <w:right w:val="single" w:sz="4" w:space="0" w:color="auto"/>
            </w:tcBorders>
            <w:shd w:val="clear" w:color="auto" w:fill="B8CCE4"/>
            <w:noWrap/>
            <w:vAlign w:val="center"/>
          </w:tcPr>
          <w:p w:rsidR="000E721E" w:rsidRPr="00575F5C" w:rsidRDefault="000E721E" w:rsidP="0032550F">
            <w:pPr>
              <w:tabs>
                <w:tab w:val="left" w:pos="567"/>
                <w:tab w:val="left" w:pos="993"/>
              </w:tabs>
              <w:spacing w:before="120"/>
              <w:ind w:left="426"/>
              <w:jc w:val="center"/>
              <w:rPr>
                <w:rFonts w:eastAsia="Times New Roman" w:cs="Times New Roman"/>
                <w:b/>
                <w:color w:val="000000"/>
              </w:rPr>
            </w:pPr>
            <w:r>
              <w:rPr>
                <w:rFonts w:eastAsia="Times New Roman" w:cs="Times New Roman"/>
                <w:b/>
                <w:color w:val="000000"/>
                <w:sz w:val="22"/>
              </w:rPr>
              <w:t>Podiel (</w:t>
            </w:r>
            <w:r w:rsidRPr="00575F5C">
              <w:rPr>
                <w:rFonts w:eastAsia="Times New Roman" w:cs="Times New Roman"/>
                <w:b/>
                <w:color w:val="000000"/>
                <w:sz w:val="22"/>
              </w:rPr>
              <w:t>%</w:t>
            </w:r>
            <w:r>
              <w:rPr>
                <w:rFonts w:eastAsia="Times New Roman" w:cs="Times New Roman"/>
                <w:b/>
                <w:color w:val="000000"/>
                <w:sz w:val="22"/>
              </w:rPr>
              <w:t>)</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 xml:space="preserve">predvstupová pomoc a štrukturálne fondy </w:t>
            </w:r>
          </w:p>
        </w:tc>
        <w:tc>
          <w:tcPr>
            <w:tcW w:w="2268"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701 367</w:t>
            </w:r>
          </w:p>
        </w:tc>
        <w:tc>
          <w:tcPr>
            <w:tcW w:w="1579"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52,1</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podpora štátu – Ministerstvo školstva SR</w:t>
            </w:r>
          </w:p>
        </w:tc>
        <w:tc>
          <w:tcPr>
            <w:tcW w:w="2268"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158 06</w:t>
            </w:r>
            <w:r>
              <w:rPr>
                <w:rFonts w:eastAsia="Times New Roman" w:cs="Times New Roman"/>
                <w:color w:val="000000"/>
                <w:sz w:val="22"/>
              </w:rPr>
              <w:t>6</w:t>
            </w:r>
          </w:p>
        </w:tc>
        <w:tc>
          <w:tcPr>
            <w:tcW w:w="1579"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11,7</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súkromné a sponzorské zdroje</w:t>
            </w:r>
          </w:p>
        </w:tc>
        <w:tc>
          <w:tcPr>
            <w:tcW w:w="2268"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283 865</w:t>
            </w:r>
          </w:p>
        </w:tc>
        <w:tc>
          <w:tcPr>
            <w:tcW w:w="1579"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21,1</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mestá, obce, samosprávne kraje</w:t>
            </w:r>
          </w:p>
        </w:tc>
        <w:tc>
          <w:tcPr>
            <w:tcW w:w="2268"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169 27</w:t>
            </w:r>
            <w:r>
              <w:rPr>
                <w:rFonts w:eastAsia="Times New Roman" w:cs="Times New Roman"/>
                <w:color w:val="000000"/>
                <w:sz w:val="22"/>
              </w:rPr>
              <w:t>4</w:t>
            </w:r>
          </w:p>
        </w:tc>
        <w:tc>
          <w:tcPr>
            <w:tcW w:w="1579"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12,</w:t>
            </w:r>
            <w:r>
              <w:rPr>
                <w:rFonts w:eastAsia="Times New Roman" w:cs="Times New Roman"/>
                <w:color w:val="000000"/>
                <w:sz w:val="22"/>
              </w:rPr>
              <w:t>6</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domáce granty</w:t>
            </w:r>
          </w:p>
        </w:tc>
        <w:tc>
          <w:tcPr>
            <w:tcW w:w="2268"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33 163</w:t>
            </w:r>
          </w:p>
        </w:tc>
        <w:tc>
          <w:tcPr>
            <w:tcW w:w="1579" w:type="dxa"/>
            <w:tcBorders>
              <w:top w:val="nil"/>
              <w:left w:val="nil"/>
              <w:bottom w:val="single" w:sz="4" w:space="0" w:color="auto"/>
              <w:right w:val="single" w:sz="4" w:space="0" w:color="auto"/>
            </w:tcBorders>
            <w:shd w:val="clear" w:color="auto" w:fill="auto"/>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2,</w:t>
            </w:r>
            <w:r>
              <w:rPr>
                <w:rFonts w:eastAsia="Times New Roman" w:cs="Times New Roman"/>
                <w:color w:val="000000"/>
                <w:sz w:val="22"/>
              </w:rPr>
              <w:t>5</w:t>
            </w:r>
          </w:p>
        </w:tc>
      </w:tr>
      <w:tr w:rsidR="000E721E" w:rsidRPr="00575F5C" w:rsidTr="008431C1">
        <w:trPr>
          <w:trHeight w:val="315"/>
          <w:jc w:val="center"/>
        </w:trPr>
        <w:tc>
          <w:tcPr>
            <w:tcW w:w="4410" w:type="dxa"/>
            <w:tcBorders>
              <w:top w:val="nil"/>
              <w:left w:val="single" w:sz="4" w:space="0" w:color="auto"/>
              <w:bottom w:val="single" w:sz="4" w:space="0" w:color="auto"/>
              <w:right w:val="single" w:sz="4" w:space="0" w:color="auto"/>
            </w:tcBorders>
            <w:shd w:val="clear" w:color="auto" w:fill="B8CCE4"/>
            <w:noWrap/>
            <w:vAlign w:val="bottom"/>
          </w:tcPr>
          <w:p w:rsidR="000E721E" w:rsidRPr="00575F5C" w:rsidRDefault="000E721E" w:rsidP="0032550F">
            <w:pPr>
              <w:tabs>
                <w:tab w:val="left" w:pos="567"/>
                <w:tab w:val="left" w:pos="993"/>
              </w:tabs>
              <w:spacing w:before="120"/>
              <w:rPr>
                <w:rFonts w:eastAsia="Times New Roman" w:cs="Times New Roman"/>
                <w:color w:val="000000"/>
              </w:rPr>
            </w:pPr>
            <w:r w:rsidRPr="00575F5C">
              <w:rPr>
                <w:rFonts w:eastAsia="Times New Roman" w:cs="Times New Roman"/>
                <w:color w:val="000000"/>
                <w:sz w:val="22"/>
              </w:rPr>
              <w:t>Spolu</w:t>
            </w:r>
          </w:p>
        </w:tc>
        <w:tc>
          <w:tcPr>
            <w:tcW w:w="2268" w:type="dxa"/>
            <w:tcBorders>
              <w:top w:val="nil"/>
              <w:left w:val="nil"/>
              <w:bottom w:val="single" w:sz="4" w:space="0" w:color="auto"/>
              <w:right w:val="single" w:sz="4" w:space="0" w:color="auto"/>
            </w:tcBorders>
            <w:shd w:val="clear" w:color="auto" w:fill="B8CCE4"/>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1 345 73</w:t>
            </w:r>
            <w:r>
              <w:rPr>
                <w:rFonts w:eastAsia="Times New Roman" w:cs="Times New Roman"/>
                <w:color w:val="000000"/>
                <w:sz w:val="22"/>
              </w:rPr>
              <w:t>5</w:t>
            </w:r>
          </w:p>
        </w:tc>
        <w:tc>
          <w:tcPr>
            <w:tcW w:w="1579" w:type="dxa"/>
            <w:tcBorders>
              <w:top w:val="nil"/>
              <w:left w:val="nil"/>
              <w:bottom w:val="single" w:sz="4" w:space="0" w:color="auto"/>
              <w:right w:val="single" w:sz="4" w:space="0" w:color="auto"/>
            </w:tcBorders>
            <w:shd w:val="clear" w:color="auto" w:fill="B8CCE4"/>
            <w:noWrap/>
            <w:vAlign w:val="center"/>
          </w:tcPr>
          <w:p w:rsidR="000E721E" w:rsidRPr="00575F5C" w:rsidRDefault="000E721E" w:rsidP="0032550F">
            <w:pPr>
              <w:tabs>
                <w:tab w:val="left" w:pos="567"/>
                <w:tab w:val="left" w:pos="993"/>
              </w:tabs>
              <w:spacing w:before="120"/>
              <w:ind w:left="426"/>
              <w:jc w:val="right"/>
              <w:rPr>
                <w:rFonts w:eastAsia="Times New Roman" w:cs="Times New Roman"/>
                <w:color w:val="000000"/>
              </w:rPr>
            </w:pPr>
            <w:r w:rsidRPr="00575F5C">
              <w:rPr>
                <w:rFonts w:eastAsia="Times New Roman" w:cs="Times New Roman"/>
                <w:color w:val="000000"/>
                <w:sz w:val="22"/>
              </w:rPr>
              <w:t>100</w:t>
            </w:r>
            <w:r>
              <w:rPr>
                <w:rFonts w:eastAsia="Times New Roman" w:cs="Times New Roman"/>
                <w:color w:val="000000"/>
                <w:sz w:val="22"/>
              </w:rPr>
              <w:t>,0</w:t>
            </w:r>
          </w:p>
        </w:tc>
      </w:tr>
    </w:tbl>
    <w:p w:rsidR="000E721E" w:rsidRPr="00BE6EC8" w:rsidRDefault="000E721E" w:rsidP="0032550F">
      <w:pPr>
        <w:pStyle w:val="Popis"/>
        <w:tabs>
          <w:tab w:val="left" w:pos="567"/>
          <w:tab w:val="left" w:pos="993"/>
        </w:tabs>
        <w:spacing w:before="60"/>
        <w:ind w:left="426"/>
        <w:rPr>
          <w:b w:val="0"/>
          <w:bCs w:val="0"/>
          <w:sz w:val="24"/>
          <w:szCs w:val="22"/>
        </w:rPr>
      </w:pPr>
      <w:r w:rsidRPr="00BE6EC8">
        <w:rPr>
          <w:b w:val="0"/>
          <w:i/>
          <w:sz w:val="22"/>
          <w:szCs w:val="22"/>
        </w:rPr>
        <w:t xml:space="preserve">Zdroj: </w:t>
      </w:r>
      <w:r w:rsidR="0032550F">
        <w:rPr>
          <w:rFonts w:cs="Times New Roman"/>
          <w:b w:val="0"/>
          <w:i/>
          <w:sz w:val="22"/>
          <w:szCs w:val="22"/>
        </w:rPr>
        <w:t xml:space="preserve">Slovenský </w:t>
      </w:r>
      <w:proofErr w:type="spellStart"/>
      <w:r w:rsidR="0032550F">
        <w:rPr>
          <w:rFonts w:cs="Times New Roman"/>
          <w:b w:val="0"/>
          <w:i/>
          <w:sz w:val="22"/>
          <w:szCs w:val="22"/>
        </w:rPr>
        <w:t>cykloklub</w:t>
      </w:r>
      <w:proofErr w:type="spellEnd"/>
    </w:p>
    <w:p w:rsidR="00874E24" w:rsidRDefault="00874E24" w:rsidP="007C5324"/>
    <w:p w:rsidR="00EA28E5" w:rsidRDefault="00EA28E5" w:rsidP="007C5324"/>
    <w:p w:rsidR="00EA28E5" w:rsidRDefault="00EA28E5" w:rsidP="007C5324"/>
    <w:p w:rsidR="00EA28E5" w:rsidRDefault="00EA28E5" w:rsidP="007C5324"/>
    <w:p w:rsidR="001761E1" w:rsidRDefault="001761E1" w:rsidP="00040C75">
      <w:pPr>
        <w:pStyle w:val="Nadpis2"/>
      </w:pPr>
      <w:bookmarkStart w:id="303" w:name="_Toc345583405"/>
      <w:bookmarkStart w:id="304" w:name="_Toc345662847"/>
      <w:bookmarkStart w:id="305" w:name="_Toc345662970"/>
      <w:bookmarkStart w:id="306" w:name="_Toc345667210"/>
      <w:bookmarkStart w:id="307" w:name="_Toc345943298"/>
      <w:bookmarkStart w:id="308" w:name="_Toc336591365"/>
      <w:bookmarkStart w:id="309" w:name="_Toc336595492"/>
      <w:bookmarkStart w:id="310" w:name="_Toc336851313"/>
      <w:bookmarkStart w:id="311" w:name="_Toc336851423"/>
      <w:bookmarkStart w:id="312" w:name="_Toc336851644"/>
      <w:bookmarkStart w:id="313" w:name="_Toc336851981"/>
      <w:bookmarkStart w:id="314" w:name="_Toc336852225"/>
      <w:bookmarkStart w:id="315" w:name="_Toc336854481"/>
      <w:bookmarkStart w:id="316" w:name="_Toc336854806"/>
      <w:bookmarkStart w:id="317" w:name="_Toc336856006"/>
      <w:bookmarkStart w:id="318" w:name="_Toc336856115"/>
      <w:bookmarkStart w:id="319" w:name="_Toc336591366"/>
      <w:bookmarkStart w:id="320" w:name="_Toc336595493"/>
      <w:bookmarkStart w:id="321" w:name="_Toc336851314"/>
      <w:bookmarkStart w:id="322" w:name="_Toc336851424"/>
      <w:bookmarkStart w:id="323" w:name="_Toc336851645"/>
      <w:bookmarkStart w:id="324" w:name="_Toc336851982"/>
      <w:bookmarkStart w:id="325" w:name="_Toc336852226"/>
      <w:bookmarkStart w:id="326" w:name="_Toc336854482"/>
      <w:bookmarkStart w:id="327" w:name="_Toc336854807"/>
      <w:bookmarkStart w:id="328" w:name="_Toc336856007"/>
      <w:bookmarkStart w:id="329" w:name="_Toc336856116"/>
      <w:bookmarkStart w:id="330" w:name="_Toc336009362"/>
      <w:bookmarkStart w:id="331" w:name="_Toc336009452"/>
      <w:bookmarkStart w:id="332" w:name="_Toc336009530"/>
      <w:bookmarkStart w:id="333" w:name="_Toc336009612"/>
      <w:bookmarkStart w:id="334" w:name="_Toc336009694"/>
      <w:bookmarkStart w:id="335" w:name="_Toc336009773"/>
      <w:bookmarkStart w:id="336" w:name="_Toc336009852"/>
      <w:bookmarkStart w:id="337" w:name="_Toc336009935"/>
      <w:bookmarkStart w:id="338" w:name="_Toc336009364"/>
      <w:bookmarkStart w:id="339" w:name="_Toc336009454"/>
      <w:bookmarkStart w:id="340" w:name="_Toc336009532"/>
      <w:bookmarkStart w:id="341" w:name="_Toc336009614"/>
      <w:bookmarkStart w:id="342" w:name="_Toc336009696"/>
      <w:bookmarkStart w:id="343" w:name="_Toc336009775"/>
      <w:bookmarkStart w:id="344" w:name="_Toc336009854"/>
      <w:bookmarkStart w:id="345" w:name="_Toc336009937"/>
      <w:bookmarkStart w:id="346" w:name="_Toc336591395"/>
      <w:bookmarkStart w:id="347" w:name="_Toc336595522"/>
      <w:bookmarkStart w:id="348" w:name="_Toc336851343"/>
      <w:bookmarkStart w:id="349" w:name="_Toc336851453"/>
      <w:bookmarkStart w:id="350" w:name="_Toc336851674"/>
      <w:bookmarkStart w:id="351" w:name="_Toc336852011"/>
      <w:bookmarkStart w:id="352" w:name="_Toc336852255"/>
      <w:bookmarkStart w:id="353" w:name="_Toc336854511"/>
      <w:bookmarkStart w:id="354" w:name="_Toc336854836"/>
      <w:bookmarkStart w:id="355" w:name="_Toc336856036"/>
      <w:bookmarkStart w:id="356" w:name="_Toc336856145"/>
      <w:bookmarkStart w:id="357" w:name="_Toc34792138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1761E1">
        <w:lastRenderedPageBreak/>
        <w:t>Osveta, vzdelávanie a vedeckovýskumná činnosť</w:t>
      </w:r>
      <w:bookmarkEnd w:id="357"/>
    </w:p>
    <w:p w:rsidR="006C4731" w:rsidRDefault="006C4731" w:rsidP="00B12FE2">
      <w:r w:rsidRPr="006C4731">
        <w:t>Osvetová, vzdelávacia a vedeckovýskumná činnosť môže ma</w:t>
      </w:r>
      <w:r w:rsidR="00D65121">
        <w:t>ť</w:t>
      </w:r>
      <w:r w:rsidRPr="006C4731">
        <w:t xml:space="preserve"> zásadný vplyv na kvalitu </w:t>
      </w:r>
      <w:proofErr w:type="spellStart"/>
      <w:r w:rsidRPr="006C4731">
        <w:t>cyklodopravy</w:t>
      </w:r>
      <w:proofErr w:type="spellEnd"/>
      <w:r w:rsidRPr="006C4731">
        <w:t>, ktorá sa odzrkadľuje v</w:t>
      </w:r>
      <w:r w:rsidR="00AA37D2">
        <w:t>o</w:t>
      </w:r>
      <w:r w:rsidRPr="006C4731">
        <w:t xml:space="preserve"> zvýšení bezpečnosti a plynulosti dopravy všeobecne. Osveta má taktiež za cieľ zlepšiť všeobecné povedomie o cyklistike a výhodách jej využívania ako plnohodnotnej súčasti dopravných systémov. </w:t>
      </w:r>
    </w:p>
    <w:p w:rsidR="006C4731" w:rsidRDefault="006C4731" w:rsidP="00B12FE2">
      <w:r w:rsidRPr="00220E4A">
        <w:rPr>
          <w:bCs/>
        </w:rPr>
        <w:t>Osvetovou činnosťou</w:t>
      </w:r>
      <w:r w:rsidRPr="006C4731">
        <w:rPr>
          <w:b/>
          <w:bCs/>
        </w:rPr>
        <w:t xml:space="preserve"> </w:t>
      </w:r>
      <w:r w:rsidRPr="006C4731">
        <w:t>sa zaoberajú vládne inštitúcie</w:t>
      </w:r>
      <w:r>
        <w:t xml:space="preserve"> a</w:t>
      </w:r>
      <w:r w:rsidRPr="006C4731">
        <w:t xml:space="preserve"> mimovládne organizácie. V</w:t>
      </w:r>
      <w:r w:rsidR="00EE6307">
        <w:t> </w:t>
      </w:r>
      <w:r w:rsidRPr="006C4731">
        <w:t>oblasti propagácie pozitívnych dopadov cyklistiky a cykloturistiky sa javia ako oveľa aktívnejšie mimovládne organizácie. Zo štátnych subjektov sa osvet</w:t>
      </w:r>
      <w:r w:rsidR="00A87C13">
        <w:t>e</w:t>
      </w:r>
      <w:r w:rsidRPr="006C4731">
        <w:t xml:space="preserve"> venuje </w:t>
      </w:r>
      <w:r w:rsidR="00880686">
        <w:t>zatiaľ iba</w:t>
      </w:r>
      <w:r w:rsidRPr="006C4731">
        <w:t xml:space="preserve"> Oddelenie bezpečnosti cestnej premávky MDVRR SR – BECEP. Okrem iného zabezpečuje aj koordináciu výchovnej a osvetovej činnosti, spolupracuje s médiami a</w:t>
      </w:r>
      <w:r w:rsidR="001A1BE3">
        <w:t> </w:t>
      </w:r>
      <w:r w:rsidRPr="006C4731">
        <w:t xml:space="preserve">ostatnými subjektmi s cieľom zabezpečiť účinný vplyv na účastníkov cestnej premávky. </w:t>
      </w:r>
    </w:p>
    <w:p w:rsidR="006C4731" w:rsidRPr="009C3DA1" w:rsidRDefault="006C4731" w:rsidP="00B12FE2">
      <w:r w:rsidRPr="00220E4A">
        <w:t>Medzi osvetové kampane realizované mimovládnymi organizáciami</w:t>
      </w:r>
      <w:r w:rsidRPr="006C4731">
        <w:rPr>
          <w:b/>
        </w:rPr>
        <w:t xml:space="preserve"> </w:t>
      </w:r>
      <w:r w:rsidRPr="006C4731">
        <w:t>patria napr</w:t>
      </w:r>
      <w:r w:rsidR="00EC330A">
        <w:t>.</w:t>
      </w:r>
      <w:r w:rsidR="009C3DA1">
        <w:t xml:space="preserve"> </w:t>
      </w:r>
      <w:r w:rsidRPr="00220E4A">
        <w:t>Európsky týždeň mobility</w:t>
      </w:r>
      <w:r w:rsidR="009C3DA1">
        <w:t>, a</w:t>
      </w:r>
      <w:r w:rsidRPr="00220E4A">
        <w:t xml:space="preserve">kcia </w:t>
      </w:r>
      <w:r w:rsidRPr="009C3DA1">
        <w:t xml:space="preserve">Do práce na bicykli (Bike2work </w:t>
      </w:r>
      <w:proofErr w:type="spellStart"/>
      <w:r w:rsidRPr="009C3DA1">
        <w:t>day</w:t>
      </w:r>
      <w:proofErr w:type="spellEnd"/>
      <w:r w:rsidR="009C3DA1" w:rsidRPr="009C3DA1">
        <w:t xml:space="preserve">), </w:t>
      </w:r>
      <w:proofErr w:type="spellStart"/>
      <w:r w:rsidRPr="009C3DA1">
        <w:t>Cyklofest</w:t>
      </w:r>
      <w:proofErr w:type="spellEnd"/>
      <w:r w:rsidR="001A1BE3">
        <w:t xml:space="preserve"> či</w:t>
      </w:r>
      <w:r w:rsidR="009C3DA1" w:rsidRPr="009C3DA1">
        <w:t xml:space="preserve"> </w:t>
      </w:r>
      <w:r w:rsidR="009C3DA1">
        <w:t>s</w:t>
      </w:r>
      <w:r w:rsidRPr="009C3DA1">
        <w:t>úťaž Zelená Žilina.</w:t>
      </w:r>
    </w:p>
    <w:p w:rsidR="006C4731" w:rsidRPr="00220E4A" w:rsidRDefault="006C4731" w:rsidP="00B12FE2">
      <w:r w:rsidRPr="00220E4A">
        <w:t>Slovensk</w:t>
      </w:r>
      <w:r w:rsidR="00182A92">
        <w:t>á republika</w:t>
      </w:r>
      <w:r w:rsidRPr="00220E4A">
        <w:t xml:space="preserve"> ako člen Európskej únie má možnosť zapájať sa do rôznych medzinárodných výskumných projektov a získať tak priestor na výmenu </w:t>
      </w:r>
      <w:proofErr w:type="spellStart"/>
      <w:r w:rsidRPr="00220E4A">
        <w:t>know-how</w:t>
      </w:r>
      <w:proofErr w:type="spellEnd"/>
      <w:r w:rsidRPr="00220E4A">
        <w:t xml:space="preserve"> a</w:t>
      </w:r>
      <w:r w:rsidR="001A1BE3">
        <w:t> </w:t>
      </w:r>
      <w:r w:rsidRPr="00220E4A">
        <w:t xml:space="preserve">skúseností aj zo zahraničia. Existuje celý rad programov, ako napr. </w:t>
      </w:r>
      <w:proofErr w:type="spellStart"/>
      <w:r w:rsidRPr="00220E4A">
        <w:t>Central</w:t>
      </w:r>
      <w:proofErr w:type="spellEnd"/>
      <w:r w:rsidRPr="00220E4A">
        <w:t xml:space="preserve"> </w:t>
      </w:r>
      <w:proofErr w:type="spellStart"/>
      <w:r w:rsidRPr="00220E4A">
        <w:t>Europe</w:t>
      </w:r>
      <w:proofErr w:type="spellEnd"/>
      <w:r w:rsidRPr="00220E4A">
        <w:t xml:space="preserve"> </w:t>
      </w:r>
      <w:proofErr w:type="spellStart"/>
      <w:r w:rsidRPr="00220E4A">
        <w:t>Programme</w:t>
      </w:r>
      <w:proofErr w:type="spellEnd"/>
      <w:r w:rsidRPr="00220E4A">
        <w:t xml:space="preserve">, </w:t>
      </w:r>
      <w:proofErr w:type="spellStart"/>
      <w:r w:rsidRPr="00220E4A">
        <w:t>Interreg</w:t>
      </w:r>
      <w:proofErr w:type="spellEnd"/>
      <w:r w:rsidRPr="00220E4A">
        <w:t xml:space="preserve">, </w:t>
      </w:r>
      <w:proofErr w:type="spellStart"/>
      <w:r w:rsidRPr="00220E4A">
        <w:t>South-East</w:t>
      </w:r>
      <w:proofErr w:type="spellEnd"/>
      <w:r w:rsidRPr="00220E4A">
        <w:t xml:space="preserve"> </w:t>
      </w:r>
      <w:proofErr w:type="spellStart"/>
      <w:r w:rsidRPr="00220E4A">
        <w:t>Europe</w:t>
      </w:r>
      <w:proofErr w:type="spellEnd"/>
      <w:r w:rsidRPr="00220E4A">
        <w:t xml:space="preserve"> </w:t>
      </w:r>
      <w:proofErr w:type="spellStart"/>
      <w:r w:rsidRPr="00220E4A">
        <w:t>Programme</w:t>
      </w:r>
      <w:proofErr w:type="spellEnd"/>
      <w:r w:rsidRPr="00220E4A">
        <w:t xml:space="preserve">, </w:t>
      </w:r>
      <w:proofErr w:type="spellStart"/>
      <w:r w:rsidRPr="00220E4A">
        <w:t>Framework</w:t>
      </w:r>
      <w:proofErr w:type="spellEnd"/>
      <w:r w:rsidRPr="00220E4A">
        <w:t xml:space="preserve"> </w:t>
      </w:r>
      <w:proofErr w:type="spellStart"/>
      <w:r w:rsidRPr="00220E4A">
        <w:t>Programmes</w:t>
      </w:r>
      <w:proofErr w:type="spellEnd"/>
      <w:r w:rsidRPr="00220E4A">
        <w:t xml:space="preserve">, </w:t>
      </w:r>
      <w:proofErr w:type="spellStart"/>
      <w:r w:rsidRPr="00220E4A">
        <w:t>Intelligent</w:t>
      </w:r>
      <w:proofErr w:type="spellEnd"/>
      <w:r w:rsidRPr="00220E4A">
        <w:t xml:space="preserve"> </w:t>
      </w:r>
      <w:proofErr w:type="spellStart"/>
      <w:r w:rsidRPr="00220E4A">
        <w:t>Energy</w:t>
      </w:r>
      <w:proofErr w:type="spellEnd"/>
      <w:r w:rsidRPr="00220E4A">
        <w:t xml:space="preserve"> </w:t>
      </w:r>
      <w:proofErr w:type="spellStart"/>
      <w:r w:rsidRPr="00220E4A">
        <w:t>Europe</w:t>
      </w:r>
      <w:proofErr w:type="spellEnd"/>
      <w:r w:rsidRPr="00220E4A">
        <w:t>, 7.</w:t>
      </w:r>
      <w:r w:rsidR="00220E4A" w:rsidRPr="00220E4A">
        <w:t xml:space="preserve"> r</w:t>
      </w:r>
      <w:r w:rsidRPr="00220E4A">
        <w:t>ámcový program a</w:t>
      </w:r>
      <w:r w:rsidR="00A87C13">
        <w:t xml:space="preserve"> iné</w:t>
      </w:r>
      <w:r w:rsidRPr="00220E4A">
        <w:t>. Pre realizáciu výskumných a vzdelávacích projektov existujú možnosti aj na národnej úrovni</w:t>
      </w:r>
      <w:r w:rsidR="00880686">
        <w:t>,</w:t>
      </w:r>
      <w:r w:rsidRPr="00220E4A">
        <w:t xml:space="preserve"> a to prostredníctvom štrukturálnych fondov resp. špeciálnych grantových schém, napr. </w:t>
      </w:r>
      <w:r w:rsidR="00E07C2F" w:rsidRPr="00673588">
        <w:t>Agentúra na podporu výskumu a vývoja</w:t>
      </w:r>
      <w:r w:rsidRPr="00220E4A">
        <w:t>.</w:t>
      </w:r>
    </w:p>
    <w:p w:rsidR="006C1D7E" w:rsidRDefault="006C4731" w:rsidP="009C108A">
      <w:r w:rsidRPr="006C4731">
        <w:t>Z medzinárodných projektov zameraných na problematiku cyklistickej alebo nemotorov</w:t>
      </w:r>
      <w:r w:rsidR="00A87C13">
        <w:t>ej</w:t>
      </w:r>
      <w:r w:rsidRPr="006C4731">
        <w:t xml:space="preserve"> doprav</w:t>
      </w:r>
      <w:r w:rsidR="00A87C13">
        <w:t>y</w:t>
      </w:r>
      <w:r w:rsidRPr="006C4731">
        <w:t xml:space="preserve">, </w:t>
      </w:r>
      <w:r w:rsidR="00A87C13">
        <w:t xml:space="preserve">na </w:t>
      </w:r>
      <w:r w:rsidRPr="006C4731">
        <w:t>trvalo udržateľné formy dopravy či manažment mobility, ktoré sa v SR realizovali</w:t>
      </w:r>
      <w:r w:rsidR="00E07C2F">
        <w:t>,</w:t>
      </w:r>
      <w:r w:rsidR="00A87C13">
        <w:t xml:space="preserve"> resp. realizujú,</w:t>
      </w:r>
      <w:r w:rsidRPr="006C4731">
        <w:t xml:space="preserve"> </w:t>
      </w:r>
      <w:r w:rsidR="00A87C13">
        <w:t>možno</w:t>
      </w:r>
      <w:r w:rsidRPr="006C4731">
        <w:t xml:space="preserve"> spomenúť napr. projekty BICY (CE), </w:t>
      </w:r>
      <w:proofErr w:type="spellStart"/>
      <w:r w:rsidRPr="006C4731">
        <w:t>Central</w:t>
      </w:r>
      <w:proofErr w:type="spellEnd"/>
      <w:r w:rsidRPr="006C4731">
        <w:t xml:space="preserve"> </w:t>
      </w:r>
      <w:proofErr w:type="spellStart"/>
      <w:r w:rsidRPr="006C4731">
        <w:t>MeetBike</w:t>
      </w:r>
      <w:proofErr w:type="spellEnd"/>
      <w:r w:rsidRPr="006C4731">
        <w:t xml:space="preserve"> (CE), MOVE (IEE), Trendy </w:t>
      </w:r>
      <w:proofErr w:type="spellStart"/>
      <w:r w:rsidRPr="006C4731">
        <w:t>Travel</w:t>
      </w:r>
      <w:proofErr w:type="spellEnd"/>
      <w:r w:rsidRPr="006C4731">
        <w:t xml:space="preserve"> (IEE), </w:t>
      </w:r>
      <w:proofErr w:type="spellStart"/>
      <w:r w:rsidRPr="006C4731">
        <w:t>pro.motion</w:t>
      </w:r>
      <w:proofErr w:type="spellEnd"/>
      <w:r w:rsidRPr="006C4731">
        <w:t xml:space="preserve"> (IEE), </w:t>
      </w:r>
      <w:proofErr w:type="spellStart"/>
      <w:r w:rsidRPr="006C4731">
        <w:t>Snowball</w:t>
      </w:r>
      <w:proofErr w:type="spellEnd"/>
      <w:r w:rsidRPr="006C4731">
        <w:t xml:space="preserve"> (IEE). Do projektov sa zapájajú vzdelávacie inštitúcie (univerzity a vysoké školy), </w:t>
      </w:r>
      <w:r w:rsidR="00172F25">
        <w:t>ale</w:t>
      </w:r>
      <w:r w:rsidR="00172F25" w:rsidRPr="006C4731">
        <w:t xml:space="preserve"> </w:t>
      </w:r>
      <w:r w:rsidRPr="006C4731">
        <w:t xml:space="preserve">aj mestá a regióny v spolupráci s aktívnymi občianskymi združeniami, prípadne aj </w:t>
      </w:r>
      <w:r w:rsidR="00172F25">
        <w:t xml:space="preserve">so </w:t>
      </w:r>
      <w:r w:rsidRPr="006C4731">
        <w:t>súkromným sektorom (súkromné výskumné organizácie</w:t>
      </w:r>
      <w:r w:rsidR="00E07C2F">
        <w:t>, malí a strední podnikatelia</w:t>
      </w:r>
      <w:r w:rsidRPr="006C4731">
        <w:t>).</w:t>
      </w:r>
      <w:r w:rsidR="00E10412">
        <w:t xml:space="preserve"> </w:t>
      </w:r>
      <w:r w:rsidR="009C108A">
        <w:t>Významným zdrojom informácií z oblasti cyklistickej dopravy a cykloturistiky sú aj záverečné práce absolventov vysokých škôl.</w:t>
      </w:r>
    </w:p>
    <w:p w:rsidR="00874E24" w:rsidRDefault="00874E24" w:rsidP="00A87C13">
      <w:pPr>
        <w:jc w:val="center"/>
        <w:rPr>
          <w:b/>
        </w:rPr>
      </w:pPr>
      <w:r w:rsidRPr="00874E24">
        <w:rPr>
          <w:b/>
        </w:rPr>
        <w:t>Kapacita cyklistickej komunikácie</w:t>
      </w:r>
    </w:p>
    <w:p w:rsidR="00B52B40" w:rsidRPr="00874E24" w:rsidRDefault="00040C75" w:rsidP="00A87C13">
      <w:pPr>
        <w:jc w:val="center"/>
        <w:rPr>
          <w:b/>
        </w:rPr>
      </w:pPr>
      <w:r>
        <w:rPr>
          <w:b/>
          <w:noProof/>
          <w:lang w:eastAsia="sk-SK"/>
        </w:rPr>
        <w:drawing>
          <wp:inline distT="0" distB="0" distL="0" distR="0">
            <wp:extent cx="4524375" cy="2838971"/>
            <wp:effectExtent l="19050" t="0" r="9525"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24375" cy="2838971"/>
                    </a:xfrm>
                    <a:prstGeom prst="rect">
                      <a:avLst/>
                    </a:prstGeom>
                    <a:noFill/>
                    <a:ln w="9525">
                      <a:noFill/>
                      <a:miter lim="800000"/>
                      <a:headEnd/>
                      <a:tailEnd/>
                    </a:ln>
                  </pic:spPr>
                </pic:pic>
              </a:graphicData>
            </a:graphic>
          </wp:inline>
        </w:drawing>
      </w:r>
    </w:p>
    <w:p w:rsidR="00B52B40" w:rsidRPr="00A87C13" w:rsidRDefault="00B52B40" w:rsidP="00B52B40">
      <w:pPr>
        <w:jc w:val="center"/>
        <w:rPr>
          <w:i/>
          <w:sz w:val="20"/>
          <w:szCs w:val="20"/>
        </w:rPr>
      </w:pPr>
      <w:r w:rsidRPr="00A87C13">
        <w:rPr>
          <w:i/>
          <w:sz w:val="20"/>
          <w:szCs w:val="20"/>
        </w:rPr>
        <w:t xml:space="preserve">Zdroj: </w:t>
      </w:r>
      <w:r w:rsidRPr="00A87C13">
        <w:rPr>
          <w:rFonts w:cs="Times New Roman"/>
          <w:i/>
          <w:sz w:val="20"/>
          <w:szCs w:val="20"/>
        </w:rPr>
        <w:t xml:space="preserve">projekt </w:t>
      </w:r>
      <w:proofErr w:type="spellStart"/>
      <w:r w:rsidRPr="00A87C13">
        <w:rPr>
          <w:rFonts w:cs="Times New Roman"/>
          <w:i/>
          <w:sz w:val="20"/>
          <w:szCs w:val="20"/>
        </w:rPr>
        <w:t>Central</w:t>
      </w:r>
      <w:proofErr w:type="spellEnd"/>
      <w:r w:rsidRPr="00A87C13">
        <w:rPr>
          <w:rFonts w:cs="Times New Roman"/>
          <w:i/>
          <w:sz w:val="20"/>
          <w:szCs w:val="20"/>
        </w:rPr>
        <w:t xml:space="preserve"> </w:t>
      </w:r>
      <w:proofErr w:type="spellStart"/>
      <w:r w:rsidRPr="00A87C13">
        <w:rPr>
          <w:rFonts w:cs="Times New Roman"/>
          <w:i/>
          <w:sz w:val="20"/>
          <w:szCs w:val="20"/>
        </w:rPr>
        <w:t>MeetBike</w:t>
      </w:r>
      <w:proofErr w:type="spellEnd"/>
      <w:r w:rsidRPr="00A87C13">
        <w:rPr>
          <w:rFonts w:cs="Times New Roman"/>
          <w:i/>
          <w:sz w:val="20"/>
          <w:szCs w:val="20"/>
        </w:rPr>
        <w:t>; odborné nemecké publikácie pre cyklistickú dopravu</w:t>
      </w:r>
    </w:p>
    <w:p w:rsidR="00920C82" w:rsidRDefault="00381094" w:rsidP="007C5285">
      <w:pPr>
        <w:pStyle w:val="Nadpis1"/>
      </w:pPr>
      <w:bookmarkStart w:id="358" w:name="_Toc346611959"/>
      <w:bookmarkStart w:id="359" w:name="_Toc346612220"/>
      <w:bookmarkStart w:id="360" w:name="_Toc346612482"/>
      <w:bookmarkStart w:id="361" w:name="_Toc346612744"/>
      <w:bookmarkStart w:id="362" w:name="_Toc346613006"/>
      <w:bookmarkStart w:id="363" w:name="_Toc346613794"/>
      <w:bookmarkStart w:id="364" w:name="_Toc346614056"/>
      <w:bookmarkStart w:id="365" w:name="_Toc346614318"/>
      <w:bookmarkStart w:id="366" w:name="_Toc345943300"/>
      <w:bookmarkStart w:id="367" w:name="_Toc345943301"/>
      <w:bookmarkStart w:id="368" w:name="_Toc345943302"/>
      <w:bookmarkStart w:id="369" w:name="_Toc347921382"/>
      <w:bookmarkEnd w:id="358"/>
      <w:bookmarkEnd w:id="359"/>
      <w:bookmarkEnd w:id="360"/>
      <w:bookmarkEnd w:id="361"/>
      <w:bookmarkEnd w:id="362"/>
      <w:bookmarkEnd w:id="363"/>
      <w:bookmarkEnd w:id="364"/>
      <w:bookmarkEnd w:id="365"/>
      <w:bookmarkEnd w:id="366"/>
      <w:bookmarkEnd w:id="367"/>
      <w:bookmarkEnd w:id="368"/>
      <w:r>
        <w:lastRenderedPageBreak/>
        <w:t>Očakávané</w:t>
      </w:r>
      <w:r w:rsidR="00920C82" w:rsidRPr="00920C82">
        <w:t xml:space="preserve"> prínosy </w:t>
      </w:r>
      <w:r w:rsidR="00B92CB9">
        <w:t xml:space="preserve">rozvoja </w:t>
      </w:r>
      <w:r>
        <w:t>cyklistickej dopravy a</w:t>
      </w:r>
      <w:r w:rsidR="001C13C8">
        <w:t> </w:t>
      </w:r>
      <w:r>
        <w:t>cykloturistiky</w:t>
      </w:r>
      <w:bookmarkEnd w:id="369"/>
    </w:p>
    <w:p w:rsidR="0057570A" w:rsidRPr="00505C21" w:rsidRDefault="0057570A" w:rsidP="004578DE">
      <w:pPr>
        <w:pStyle w:val="Nadpis2"/>
      </w:pPr>
      <w:bookmarkStart w:id="370" w:name="_Toc336009368"/>
      <w:bookmarkStart w:id="371" w:name="_Toc336009458"/>
      <w:bookmarkStart w:id="372" w:name="_Toc336009536"/>
      <w:bookmarkStart w:id="373" w:name="_Toc336009618"/>
      <w:bookmarkStart w:id="374" w:name="_Toc336009700"/>
      <w:bookmarkStart w:id="375" w:name="_Toc336009779"/>
      <w:bookmarkStart w:id="376" w:name="_Toc336009858"/>
      <w:bookmarkStart w:id="377" w:name="_Toc336009941"/>
      <w:bookmarkStart w:id="378" w:name="_Toc336010017"/>
      <w:bookmarkStart w:id="379" w:name="_Toc336010375"/>
      <w:bookmarkStart w:id="380" w:name="_Toc336010453"/>
      <w:bookmarkStart w:id="381" w:name="_Toc347921383"/>
      <w:bookmarkEnd w:id="370"/>
      <w:bookmarkEnd w:id="371"/>
      <w:bookmarkEnd w:id="372"/>
      <w:bookmarkEnd w:id="373"/>
      <w:bookmarkEnd w:id="374"/>
      <w:bookmarkEnd w:id="375"/>
      <w:bookmarkEnd w:id="376"/>
      <w:bookmarkEnd w:id="377"/>
      <w:bookmarkEnd w:id="378"/>
      <w:bookmarkEnd w:id="379"/>
      <w:bookmarkEnd w:id="380"/>
      <w:r w:rsidRPr="00313E3F">
        <w:t>Zlepšenie</w:t>
      </w:r>
      <w:r w:rsidRPr="00505C21">
        <w:t xml:space="preserve"> </w:t>
      </w:r>
      <w:r w:rsidRPr="004578DE">
        <w:t>mobility</w:t>
      </w:r>
      <w:bookmarkEnd w:id="381"/>
    </w:p>
    <w:p w:rsidR="0057570A" w:rsidRPr="0057570A" w:rsidRDefault="00AD653F">
      <w:r>
        <w:t xml:space="preserve">Čoraz rýchlejší a intenzívnejší spôsob života v mestách sprevádzajú rastúce nároky na mobilitu. Problémom </w:t>
      </w:r>
      <w:r w:rsidR="00A4078F">
        <w:t>väčšiny</w:t>
      </w:r>
      <w:r>
        <w:t xml:space="preserve"> miest je, že sú v čoraz väčšej miere uspokojované individuálnou automobilovou dopravou. </w:t>
      </w:r>
      <w:r w:rsidR="00EE2218">
        <w:t xml:space="preserve">To zákonite vedie ku </w:t>
      </w:r>
      <w:proofErr w:type="spellStart"/>
      <w:r w:rsidR="00EE2218">
        <w:t>kongesciám</w:t>
      </w:r>
      <w:proofErr w:type="spellEnd"/>
      <w:r w:rsidR="00EE2218">
        <w:t xml:space="preserve"> a k volaniu po budovaní nových ciest. Efektívnejšou – a navyše trvalo udržateľnou – cestou</w:t>
      </w:r>
      <w:r w:rsidR="0057570A" w:rsidRPr="0057570A">
        <w:t xml:space="preserve"> </w:t>
      </w:r>
      <w:r w:rsidR="00EE2218">
        <w:t xml:space="preserve">rozvoja </w:t>
      </w:r>
      <w:r w:rsidR="005668EB">
        <w:t>mestskej mobility</w:t>
      </w:r>
      <w:r w:rsidR="006F34C7">
        <w:t xml:space="preserve"> </w:t>
      </w:r>
      <w:r w:rsidR="005668EB">
        <w:t>je podpora rozvoja cyklistickej dopravy pri súčasnej podpore verejnej osobnej dopravy.</w:t>
      </w:r>
      <w:r w:rsidR="0057570A" w:rsidRPr="0057570A">
        <w:t xml:space="preserve"> </w:t>
      </w:r>
      <w:r w:rsidR="005668EB">
        <w:t>J</w:t>
      </w:r>
      <w:r w:rsidR="0057570A" w:rsidRPr="0057570A">
        <w:t xml:space="preserve">e </w:t>
      </w:r>
      <w:r w:rsidR="005668EB">
        <w:t xml:space="preserve">potrebné </w:t>
      </w:r>
      <w:r w:rsidR="0057570A" w:rsidRPr="0057570A">
        <w:t xml:space="preserve">vytvoriť také podmienky, aby bol bicykel použiteľný bez obmedzení ako plnohodnotný dopravný prostriedok pri ceste do zamestnania a škôl, za nákupmi, službami či </w:t>
      </w:r>
      <w:proofErr w:type="spellStart"/>
      <w:r w:rsidR="0057570A" w:rsidRPr="0057570A">
        <w:t>voľnočasovými</w:t>
      </w:r>
      <w:proofErr w:type="spellEnd"/>
      <w:r w:rsidR="0057570A" w:rsidRPr="0057570A">
        <w:t xml:space="preserve"> aktivitami. </w:t>
      </w:r>
      <w:r w:rsidR="00EE2218">
        <w:t xml:space="preserve">V mestách, ktoré sa touto cestou vydali, získali časom cyklisti </w:t>
      </w:r>
      <w:r w:rsidR="00A4078F">
        <w:t xml:space="preserve">(zvýšenie bezpečnosti) i </w:t>
      </w:r>
      <w:r w:rsidR="00EE2218">
        <w:t xml:space="preserve">motoristi (menej áut = menej </w:t>
      </w:r>
      <w:proofErr w:type="spellStart"/>
      <w:r w:rsidR="00EE2218">
        <w:t>kongescií</w:t>
      </w:r>
      <w:proofErr w:type="spellEnd"/>
      <w:r w:rsidR="00EE2218">
        <w:t>)</w:t>
      </w:r>
      <w:r w:rsidR="00A4078F">
        <w:t>.</w:t>
      </w:r>
      <w:r w:rsidR="00EE2218">
        <w:t xml:space="preserve"> </w:t>
      </w:r>
      <w:r w:rsidR="00A4078F">
        <w:t xml:space="preserve">Navyše nepotrebujú budovať a udržiavať viac ciest pre pribúdajúce autá. </w:t>
      </w:r>
    </w:p>
    <w:p w:rsidR="0057570A" w:rsidRPr="0057570A" w:rsidRDefault="0057570A" w:rsidP="004578DE">
      <w:pPr>
        <w:pStyle w:val="Nadpis2"/>
      </w:pPr>
      <w:bookmarkStart w:id="382" w:name="_Toc347921384"/>
      <w:r w:rsidRPr="0057570A">
        <w:t>Zlepšenie zdravia populácie</w:t>
      </w:r>
      <w:bookmarkEnd w:id="382"/>
    </w:p>
    <w:p w:rsidR="0057570A" w:rsidRPr="0057570A" w:rsidRDefault="00381094">
      <w:r>
        <w:t xml:space="preserve">V súčasnosti </w:t>
      </w:r>
      <w:r w:rsidR="0057570A" w:rsidRPr="0057570A">
        <w:t>vedie sedavý spôsob trávenia pracovného a voľného času</w:t>
      </w:r>
      <w:r>
        <w:t xml:space="preserve"> </w:t>
      </w:r>
      <w:r w:rsidRPr="0057570A">
        <w:t xml:space="preserve">40 až 60 </w:t>
      </w:r>
      <w:r w:rsidRPr="0057570A">
        <w:rPr>
          <w:lang w:val="en-US"/>
        </w:rPr>
        <w:t>%</w:t>
      </w:r>
      <w:r w:rsidRPr="0057570A">
        <w:t xml:space="preserve"> obyvateľov EÚ</w:t>
      </w:r>
      <w:r w:rsidR="0057570A" w:rsidRPr="0057570A">
        <w:t>, čo predstavuje zvýšené riziko vzniku nadmernej telesnej hmotnosti a je aj jedným z rizikových faktorov srdcovo-cievnych ochorení. V súlade s usmerňujúcimi dokumentmi Svetovej zdravotníckej organizácie Európska únia a jej členské štáty odporúčajú minimálne 60 minút fyzickej aktivity miernej intenzity denne v prípade detí a mladých ľudí a minimálne 30 minút fyzickej aktivity miernej intenzity denne v prípade dospelých, vrátane seniorov. Práve na to je ideálne napr. dochádzanie do práce či do školy pešo alebo na bicykli. Prínosom bude v dlhodobom horizonte zdravšia populácia a nižšie výdavky na zdravotníctvo.</w:t>
      </w:r>
    </w:p>
    <w:p w:rsidR="0057570A" w:rsidRPr="0057570A" w:rsidRDefault="0057570A" w:rsidP="00040C75">
      <w:pPr>
        <w:pStyle w:val="Nadpis2"/>
      </w:pPr>
      <w:bookmarkStart w:id="383" w:name="_Toc347921385"/>
      <w:r w:rsidRPr="0057570A">
        <w:t>Ochrana životného prostredia</w:t>
      </w:r>
      <w:bookmarkEnd w:id="383"/>
    </w:p>
    <w:p w:rsidR="0057570A" w:rsidRPr="0057570A" w:rsidRDefault="00E53D3E">
      <w:r>
        <w:t>Rozšírené p</w:t>
      </w:r>
      <w:r w:rsidR="0057570A" w:rsidRPr="0057570A">
        <w:t xml:space="preserve">oužívanie bicykla </w:t>
      </w:r>
      <w:r>
        <w:t xml:space="preserve">ako prostriedku prepravy </w:t>
      </w:r>
      <w:r w:rsidR="0057570A" w:rsidRPr="0057570A">
        <w:t xml:space="preserve">pomáha obmedzovať negatívny vplyv automobilovej dopravy, najmä hluk, emisie plynov a prachových častíc. </w:t>
      </w:r>
      <w:r>
        <w:t xml:space="preserve">Významné zlepšenie infraštruktúry prípadne ďalších podmienok na </w:t>
      </w:r>
      <w:proofErr w:type="spellStart"/>
      <w:r w:rsidR="0057570A" w:rsidRPr="0057570A">
        <w:t>cyklodoprav</w:t>
      </w:r>
      <w:r>
        <w:t>u</w:t>
      </w:r>
      <w:proofErr w:type="spellEnd"/>
      <w:r>
        <w:t xml:space="preserve"> môže výrazne zvýšiť popularitu tohto spôsobu prepravy</w:t>
      </w:r>
      <w:r w:rsidR="00F730A2">
        <w:t xml:space="preserve"> a viesť časť obyvateľov k obmedzeniu používania</w:t>
      </w:r>
      <w:r w:rsidR="0057570A" w:rsidRPr="0057570A">
        <w:t xml:space="preserve"> </w:t>
      </w:r>
      <w:r w:rsidR="00F730A2">
        <w:t>motorovej dopravy pri každodennej preprave najmä na krátke vzdialenosti v mestách. To</w:t>
      </w:r>
      <w:r w:rsidR="0057570A" w:rsidRPr="0057570A">
        <w:t xml:space="preserve"> vytvára predpoklady </w:t>
      </w:r>
      <w:r>
        <w:t>na</w:t>
      </w:r>
      <w:r w:rsidR="0057570A" w:rsidRPr="0057570A">
        <w:t xml:space="preserve"> znižovanie podielu plochy určenej pre automobilovú dopravu </w:t>
      </w:r>
      <w:r>
        <w:t xml:space="preserve">(dynamickú i statickú) </w:t>
      </w:r>
      <w:r w:rsidR="0057570A" w:rsidRPr="0057570A">
        <w:t>na celkovom verejnom priestore v prospech ekologickej nemotorovej dopravy a zelene.</w:t>
      </w:r>
    </w:p>
    <w:p w:rsidR="0057570A" w:rsidRPr="0057570A" w:rsidRDefault="0057570A" w:rsidP="00040C75">
      <w:pPr>
        <w:pStyle w:val="Nadpis2"/>
      </w:pPr>
      <w:bookmarkStart w:id="384" w:name="_Toc347921386"/>
      <w:r w:rsidRPr="0057570A">
        <w:t>Rozvoj cestovného ruchu</w:t>
      </w:r>
      <w:bookmarkEnd w:id="384"/>
    </w:p>
    <w:p w:rsidR="006F34C7" w:rsidRDefault="00F730A2" w:rsidP="00A4078F">
      <w:pPr>
        <w:spacing w:after="60"/>
      </w:pPr>
      <w:r>
        <w:t>Rozvoj</w:t>
      </w:r>
      <w:r w:rsidR="0057570A" w:rsidRPr="0057570A">
        <w:t xml:space="preserve"> cykloturistiky predstavuje </w:t>
      </w:r>
      <w:r w:rsidR="0068754E">
        <w:t xml:space="preserve">jednu z významných príležitostí </w:t>
      </w:r>
      <w:r w:rsidR="0057570A" w:rsidRPr="0057570A">
        <w:t>udržateľného rozvoja cestovného ruchu</w:t>
      </w:r>
      <w:r w:rsidR="004D629A">
        <w:t>. O</w:t>
      </w:r>
      <w:r w:rsidR="0068754E">
        <w:t xml:space="preserve">bzvlášť v krajine </w:t>
      </w:r>
      <w:r w:rsidR="004D629A">
        <w:t>ako Slovensk</w:t>
      </w:r>
      <w:r w:rsidR="00182A92">
        <w:t>o</w:t>
      </w:r>
      <w:r w:rsidR="004D629A">
        <w:t xml:space="preserve">, ktorá vyniká veľkou </w:t>
      </w:r>
      <w:r w:rsidR="0068754E">
        <w:t xml:space="preserve">rozmanitosťou </w:t>
      </w:r>
      <w:r w:rsidR="004D629A">
        <w:t>krajiny a pestrou paletou scenérií skoncentrovanou na pomerne malom území</w:t>
      </w:r>
      <w:r w:rsidR="0057570A" w:rsidRPr="0057570A">
        <w:t xml:space="preserve">. </w:t>
      </w:r>
      <w:r w:rsidR="006F34C7" w:rsidRPr="0057570A">
        <w:t>Veľký potenciál má cykloturistika v</w:t>
      </w:r>
      <w:r w:rsidR="006F34C7">
        <w:t> </w:t>
      </w:r>
      <w:r w:rsidR="006F34C7" w:rsidRPr="0057570A">
        <w:t>regiónoch s</w:t>
      </w:r>
      <w:r w:rsidR="006F34C7">
        <w:t xml:space="preserve"> atraktívnym prírodným prostredím, z ktorých mnohé čelia problému vysokej </w:t>
      </w:r>
      <w:r w:rsidR="006F34C7" w:rsidRPr="0057570A">
        <w:t>nezamestnanos</w:t>
      </w:r>
      <w:r w:rsidR="006F34C7">
        <w:t>ti.</w:t>
      </w:r>
      <w:r w:rsidR="006F34C7" w:rsidRPr="0057570A">
        <w:t xml:space="preserve"> </w:t>
      </w:r>
      <w:r w:rsidR="006F34C7">
        <w:t>Tu</w:t>
      </w:r>
      <w:r w:rsidR="006F34C7" w:rsidRPr="0057570A">
        <w:t xml:space="preserve"> môže pomôcť rastu zamestnanosti aj bez veľkých investícií do rozvoja cestnej infraštruktúry.</w:t>
      </w:r>
      <w:r w:rsidR="006F34C7">
        <w:t xml:space="preserve"> </w:t>
      </w:r>
    </w:p>
    <w:p w:rsidR="00040C75" w:rsidRDefault="00C17F72" w:rsidP="00B12FE2">
      <w:r>
        <w:t xml:space="preserve">Systematická podpora rozvoja cykloturistiky môže urobiť zo Slovenska atraktívnu destináciu pre čoraz početnejšiu cieľovú skupinu Európanov preferujúcu aktívne trávenie dovolenky </w:t>
      </w:r>
      <w:r w:rsidR="00F65F49">
        <w:t>spojené s</w:t>
      </w:r>
      <w:r>
        <w:t> poznávan</w:t>
      </w:r>
      <w:r w:rsidR="00F65F49">
        <w:t>ím</w:t>
      </w:r>
      <w:r>
        <w:t xml:space="preserve"> krajiny zo sedla bicykla</w:t>
      </w:r>
      <w:r w:rsidR="00F65F49">
        <w:t>.</w:t>
      </w:r>
      <w:r>
        <w:t xml:space="preserve"> </w:t>
      </w:r>
      <w:r w:rsidR="0057570A" w:rsidRPr="0057570A">
        <w:t xml:space="preserve">Cykloturistika </w:t>
      </w:r>
      <w:r w:rsidR="00F65F49">
        <w:t xml:space="preserve">pritom </w:t>
      </w:r>
      <w:r w:rsidR="0057570A" w:rsidRPr="0057570A">
        <w:t xml:space="preserve">nezaťažuje </w:t>
      </w:r>
      <w:r w:rsidR="004D629A">
        <w:t>prírodné prostredie</w:t>
      </w:r>
      <w:r w:rsidR="0057570A" w:rsidRPr="0057570A">
        <w:t xml:space="preserve"> </w:t>
      </w:r>
      <w:r w:rsidR="00F65F49">
        <w:t xml:space="preserve">či frekventované turistické ciele </w:t>
      </w:r>
      <w:r w:rsidR="0057570A" w:rsidRPr="0057570A">
        <w:t xml:space="preserve">hlukom a exhalátmi. </w:t>
      </w:r>
      <w:r w:rsidR="00F65F49">
        <w:t xml:space="preserve">Navyše záujem </w:t>
      </w:r>
      <w:proofErr w:type="spellStart"/>
      <w:r w:rsidR="00F65F49">
        <w:t>cykloturistov</w:t>
      </w:r>
      <w:proofErr w:type="spellEnd"/>
      <w:r w:rsidR="00F65F49">
        <w:t xml:space="preserve"> nie je natoľko koncentrovaný v hlavnej turistickej sezóne, a tak ponúka jestvujúcim turistickým destináciám šancu zabezpečiť si lepšie využitie kapacít </w:t>
      </w:r>
      <w:r w:rsidR="006F34C7">
        <w:t>aj v jarných či jesenných mesiacoch (zimným strediskám samozrejme aj v lete).</w:t>
      </w:r>
      <w:r w:rsidR="00F65F49">
        <w:t xml:space="preserve"> </w:t>
      </w:r>
    </w:p>
    <w:p w:rsidR="00505C21" w:rsidRDefault="00505C21" w:rsidP="007C5285">
      <w:pPr>
        <w:pStyle w:val="Nadpis1"/>
        <w:rPr>
          <w:rFonts w:eastAsia="Times New Roman"/>
        </w:rPr>
      </w:pPr>
      <w:bookmarkStart w:id="385" w:name="_Toc346611966"/>
      <w:bookmarkStart w:id="386" w:name="_Toc346612227"/>
      <w:bookmarkStart w:id="387" w:name="_Toc346612489"/>
      <w:bookmarkStart w:id="388" w:name="_Toc346612751"/>
      <w:bookmarkStart w:id="389" w:name="_Toc346613013"/>
      <w:bookmarkStart w:id="390" w:name="_Toc346613801"/>
      <w:bookmarkStart w:id="391" w:name="_Toc346614063"/>
      <w:bookmarkStart w:id="392" w:name="_Toc346614325"/>
      <w:bookmarkStart w:id="393" w:name="_Toc347921387"/>
      <w:bookmarkEnd w:id="385"/>
      <w:bookmarkEnd w:id="386"/>
      <w:bookmarkEnd w:id="387"/>
      <w:bookmarkEnd w:id="388"/>
      <w:bookmarkEnd w:id="389"/>
      <w:bookmarkEnd w:id="390"/>
      <w:bookmarkEnd w:id="391"/>
      <w:bookmarkEnd w:id="392"/>
      <w:r w:rsidRPr="00505C21">
        <w:rPr>
          <w:rFonts w:eastAsia="Times New Roman"/>
        </w:rPr>
        <w:lastRenderedPageBreak/>
        <w:t>Priority a</w:t>
      </w:r>
      <w:r w:rsidR="003C6FF3">
        <w:rPr>
          <w:rFonts w:eastAsia="Times New Roman"/>
        </w:rPr>
        <w:t> </w:t>
      </w:r>
      <w:r w:rsidRPr="00505C21">
        <w:rPr>
          <w:rFonts w:eastAsia="Times New Roman"/>
        </w:rPr>
        <w:t>opatrenia</w:t>
      </w:r>
      <w:bookmarkEnd w:id="393"/>
    </w:p>
    <w:p w:rsidR="003C6FF3" w:rsidRDefault="00A1527C" w:rsidP="00D723E9">
      <w:r>
        <w:t xml:space="preserve">Vychádzajúc z faktu, že od </w:t>
      </w:r>
      <w:r w:rsidR="00DC116E">
        <w:t>roku 1989</w:t>
      </w:r>
      <w:r>
        <w:t xml:space="preserve"> slovenská dopravná politika v oblasti cyklistickej dopravy výrazne zaostávala nielen </w:t>
      </w:r>
      <w:r w:rsidR="00E1444C">
        <w:t xml:space="preserve">za </w:t>
      </w:r>
      <w:r>
        <w:t xml:space="preserve">západnou Európou ale aj za </w:t>
      </w:r>
      <w:r w:rsidR="00026D31">
        <w:t>niektorými z okolitých krajín</w:t>
      </w:r>
      <w:r>
        <w:t>, je potrebné prispôsobiť tempo riešenia úloh tak, aby sa postupne znižovali rozdiely medzi Slovenskom a spomenutými krajinami.</w:t>
      </w:r>
      <w:r w:rsidR="00E1444C">
        <w:t xml:space="preserve"> </w:t>
      </w:r>
      <w:r w:rsidR="00843FB5">
        <w:t>Preto je v tejto kapitole navrhnutý</w:t>
      </w:r>
      <w:r w:rsidR="00E1444C">
        <w:t xml:space="preserve"> komplex opatrení</w:t>
      </w:r>
      <w:r w:rsidR="00843FB5">
        <w:t xml:space="preserve">, ktorých realizácia – v prípade aktívnej spolupráce všetkých relevantných subjektov – dáva reálne predpoklady </w:t>
      </w:r>
      <w:r w:rsidR="00026D31">
        <w:t xml:space="preserve">znižovať uvedené </w:t>
      </w:r>
      <w:r w:rsidR="00843FB5">
        <w:t>zaostávanie</w:t>
      </w:r>
      <w:r w:rsidR="00026D31">
        <w:t>.</w:t>
      </w:r>
    </w:p>
    <w:p w:rsidR="00366EDB" w:rsidRDefault="00370D33" w:rsidP="00370D33">
      <w:r w:rsidRPr="00370D33">
        <w:rPr>
          <w:b/>
        </w:rPr>
        <w:t xml:space="preserve">V záujme naplnenia stanovených cieľov je nutné už od začiatku ich zastrešenie a riadenie </w:t>
      </w:r>
      <w:r w:rsidR="00466D8B">
        <w:rPr>
          <w:b/>
        </w:rPr>
        <w:t xml:space="preserve">národným </w:t>
      </w:r>
      <w:proofErr w:type="spellStart"/>
      <w:r w:rsidRPr="00370D33">
        <w:rPr>
          <w:b/>
        </w:rPr>
        <w:t>cyklokoordinátorom</w:t>
      </w:r>
      <w:proofErr w:type="spellEnd"/>
      <w:r w:rsidRPr="00370D33">
        <w:rPr>
          <w:b/>
        </w:rPr>
        <w:t xml:space="preserve"> </w:t>
      </w:r>
      <w:r w:rsidR="00466D8B">
        <w:rPr>
          <w:b/>
        </w:rPr>
        <w:t>v úzkej súčinnosti s</w:t>
      </w:r>
      <w:r w:rsidR="009C6A07">
        <w:rPr>
          <w:b/>
        </w:rPr>
        <w:t>o samosprávami, resp.</w:t>
      </w:r>
      <w:r w:rsidR="00466D8B">
        <w:rPr>
          <w:b/>
        </w:rPr>
        <w:t> </w:t>
      </w:r>
      <w:proofErr w:type="spellStart"/>
      <w:r w:rsidR="00466D8B">
        <w:rPr>
          <w:b/>
        </w:rPr>
        <w:t>cyklokoordinátormi</w:t>
      </w:r>
      <w:proofErr w:type="spellEnd"/>
      <w:r w:rsidR="00466D8B">
        <w:rPr>
          <w:b/>
        </w:rPr>
        <w:t xml:space="preserve"> na regionálnej úrovni, </w:t>
      </w:r>
      <w:r w:rsidRPr="00370D33">
        <w:rPr>
          <w:b/>
        </w:rPr>
        <w:t> príslušným</w:t>
      </w:r>
      <w:r w:rsidR="009647AA">
        <w:rPr>
          <w:b/>
        </w:rPr>
        <w:t>i</w:t>
      </w:r>
      <w:r w:rsidRPr="00370D33">
        <w:rPr>
          <w:b/>
        </w:rPr>
        <w:t xml:space="preserve"> odbor</w:t>
      </w:r>
      <w:r w:rsidR="00796FBF">
        <w:rPr>
          <w:b/>
        </w:rPr>
        <w:t>nými útvarmi</w:t>
      </w:r>
      <w:r w:rsidRPr="00370D33">
        <w:rPr>
          <w:b/>
        </w:rPr>
        <w:t xml:space="preserve"> </w:t>
      </w:r>
      <w:r w:rsidR="00466D8B">
        <w:rPr>
          <w:b/>
        </w:rPr>
        <w:t xml:space="preserve">na </w:t>
      </w:r>
      <w:r w:rsidRPr="00370D33">
        <w:rPr>
          <w:b/>
        </w:rPr>
        <w:t xml:space="preserve">MDVRR SR </w:t>
      </w:r>
      <w:r w:rsidR="00466D8B">
        <w:rPr>
          <w:b/>
        </w:rPr>
        <w:t xml:space="preserve">a </w:t>
      </w:r>
      <w:r w:rsidRPr="00370D33">
        <w:rPr>
          <w:b/>
        </w:rPr>
        <w:t>v spolupráci s jednotlivými dotknutými rezortmi.</w:t>
      </w:r>
      <w:r>
        <w:t xml:space="preserve"> </w:t>
      </w:r>
    </w:p>
    <w:p w:rsidR="00370D33" w:rsidRDefault="00366EDB" w:rsidP="00370D33">
      <w:r w:rsidRPr="00366EDB">
        <w:rPr>
          <w:b/>
        </w:rPr>
        <w:t xml:space="preserve">Zodpovednosť za plnenie jednotlivých navrhnutých opatrení bude za MDVRR SR niesť národný </w:t>
      </w:r>
      <w:proofErr w:type="spellStart"/>
      <w:r w:rsidRPr="00366EDB">
        <w:rPr>
          <w:b/>
        </w:rPr>
        <w:t>cyklokoordinátor</w:t>
      </w:r>
      <w:proofErr w:type="spellEnd"/>
      <w:r w:rsidRPr="00366EDB">
        <w:rPr>
          <w:b/>
        </w:rPr>
        <w:t>.</w:t>
      </w:r>
      <w:r>
        <w:rPr>
          <w:b/>
        </w:rPr>
        <w:t xml:space="preserve"> </w:t>
      </w:r>
      <w:r w:rsidR="00370D33">
        <w:t>V tejto súvislosti bude zohrávať nezastupiteľnú úlohu navrhovan</w:t>
      </w:r>
      <w:r w:rsidR="00A20FE1">
        <w:t>é r</w:t>
      </w:r>
      <w:r w:rsidR="00A20FE1" w:rsidRPr="00A20FE1">
        <w:t xml:space="preserve">iadenie a koordinačná činnosť </w:t>
      </w:r>
      <w:proofErr w:type="spellStart"/>
      <w:r w:rsidR="00A20FE1" w:rsidRPr="00A20FE1">
        <w:t>cyklodopravy</w:t>
      </w:r>
      <w:proofErr w:type="spellEnd"/>
      <w:r w:rsidR="00A20FE1" w:rsidRPr="00A20FE1">
        <w:t xml:space="preserve"> a cykloturistiky</w:t>
      </w:r>
      <w:r w:rsidR="00370D33">
        <w:rPr>
          <w:b/>
          <w:i/>
        </w:rPr>
        <w:t xml:space="preserve"> </w:t>
      </w:r>
      <w:r w:rsidR="00370D33">
        <w:t>(</w:t>
      </w:r>
      <w:r w:rsidR="00703D21">
        <w:t>Príloha 2, Opatrenie 1.1.1</w:t>
      </w:r>
      <w:r w:rsidR="00370D33">
        <w:t xml:space="preserve">). </w:t>
      </w:r>
    </w:p>
    <w:p w:rsidR="00370D33" w:rsidRDefault="00370D33" w:rsidP="0007778E">
      <w:pPr>
        <w:spacing w:after="0"/>
      </w:pPr>
      <w:r>
        <w:t>Pre lepšiu prehľadnosť sú jednotlivé priority rozdelené do štyroch základných oblastí:</w:t>
      </w:r>
    </w:p>
    <w:p w:rsidR="00370D33" w:rsidRDefault="00370D33" w:rsidP="00341DE1">
      <w:pPr>
        <w:pStyle w:val="Odsekzoznamu"/>
        <w:numPr>
          <w:ilvl w:val="0"/>
          <w:numId w:val="12"/>
        </w:numPr>
      </w:pPr>
      <w:r>
        <w:t xml:space="preserve">Riadenie a legislatívna podpora </w:t>
      </w:r>
    </w:p>
    <w:p w:rsidR="00370D33" w:rsidRDefault="00370D33" w:rsidP="00341DE1">
      <w:pPr>
        <w:pStyle w:val="Odsekzoznamu"/>
        <w:numPr>
          <w:ilvl w:val="0"/>
          <w:numId w:val="12"/>
        </w:numPr>
      </w:pPr>
      <w:r>
        <w:t>Rozvoj cyklistickej infraštruktúry</w:t>
      </w:r>
    </w:p>
    <w:p w:rsidR="00370D33" w:rsidRDefault="00370D33" w:rsidP="00341DE1">
      <w:pPr>
        <w:pStyle w:val="Odsekzoznamu"/>
        <w:numPr>
          <w:ilvl w:val="0"/>
          <w:numId w:val="12"/>
        </w:numPr>
      </w:pPr>
      <w:r>
        <w:t xml:space="preserve">Zabezpečenie financií </w:t>
      </w:r>
      <w:r w:rsidR="00FE2D01">
        <w:t xml:space="preserve">na </w:t>
      </w:r>
      <w:r>
        <w:t>rozvoj infraštruktúry</w:t>
      </w:r>
      <w:r w:rsidR="009C6A07">
        <w:t xml:space="preserve"> pre </w:t>
      </w:r>
      <w:proofErr w:type="spellStart"/>
      <w:r w:rsidR="009C6A07">
        <w:t>cyklodopravu</w:t>
      </w:r>
      <w:proofErr w:type="spellEnd"/>
      <w:r w:rsidR="009C6A07">
        <w:t xml:space="preserve"> a cykloturistiku</w:t>
      </w:r>
    </w:p>
    <w:p w:rsidR="00370D33" w:rsidRDefault="00370D33" w:rsidP="00341DE1">
      <w:pPr>
        <w:pStyle w:val="Odsekzoznamu"/>
        <w:numPr>
          <w:ilvl w:val="0"/>
          <w:numId w:val="12"/>
        </w:numPr>
      </w:pPr>
      <w:r>
        <w:t>Osveta, výskum a vzdelávanie</w:t>
      </w:r>
    </w:p>
    <w:p w:rsidR="0007778E" w:rsidRDefault="00370D33" w:rsidP="0007778E">
      <w:r w:rsidRPr="0060643B">
        <w:t>Konkrétne opatrenia spolu so zodpovednosťou</w:t>
      </w:r>
      <w:r w:rsidR="0007778E" w:rsidRPr="0060643B">
        <w:t xml:space="preserve"> za ich rozpracovanie</w:t>
      </w:r>
      <w:r w:rsidRPr="0060643B">
        <w:t xml:space="preserve">, </w:t>
      </w:r>
      <w:r w:rsidR="0007778E" w:rsidRPr="0060643B">
        <w:t xml:space="preserve">identifikáciou </w:t>
      </w:r>
      <w:r w:rsidRPr="0060643B">
        <w:t>rezort</w:t>
      </w:r>
      <w:r w:rsidR="0007778E" w:rsidRPr="0060643B">
        <w:t>ov i ďalších subjektov, ktorých spolupráca je potrebná, sú</w:t>
      </w:r>
      <w:r w:rsidRPr="0060643B">
        <w:t xml:space="preserve"> podrobne uvedené </w:t>
      </w:r>
      <w:r w:rsidR="00AF28A3">
        <w:t> </w:t>
      </w:r>
      <w:r w:rsidR="00AF28A3" w:rsidRPr="0060643B">
        <w:t>v</w:t>
      </w:r>
      <w:r w:rsidR="00AF28A3">
        <w:t xml:space="preserve"> časti </w:t>
      </w:r>
      <w:r w:rsidR="00703D21">
        <w:t>Príloha 2</w:t>
      </w:r>
      <w:r w:rsidRPr="0060643B">
        <w:t>.</w:t>
      </w:r>
      <w:r w:rsidR="0007778E">
        <w:t xml:space="preserve"> V tejto kapitole je uvedený ich základný prehľad a rámcový popis.</w:t>
      </w:r>
      <w:r w:rsidR="00DC116E">
        <w:t xml:space="preserve"> </w:t>
      </w:r>
    </w:p>
    <w:p w:rsidR="00590536" w:rsidRPr="001C13C8" w:rsidRDefault="006756E8" w:rsidP="0007778E">
      <w:pPr>
        <w:pStyle w:val="Odsekzoznamu"/>
        <w:numPr>
          <w:ilvl w:val="0"/>
          <w:numId w:val="8"/>
        </w:numPr>
        <w:spacing w:before="240"/>
        <w:contextualSpacing w:val="0"/>
        <w:jc w:val="left"/>
        <w:rPr>
          <w:rFonts w:cs="Times New Roman"/>
          <w:b/>
          <w:sz w:val="32"/>
        </w:rPr>
      </w:pPr>
      <w:r w:rsidRPr="001C13C8">
        <w:rPr>
          <w:rFonts w:cs="Times New Roman"/>
          <w:b/>
          <w:sz w:val="32"/>
        </w:rPr>
        <w:t>Riadenie a l</w:t>
      </w:r>
      <w:r w:rsidR="006F0CA9" w:rsidRPr="001C13C8">
        <w:rPr>
          <w:rFonts w:cs="Times New Roman"/>
          <w:b/>
          <w:sz w:val="32"/>
        </w:rPr>
        <w:t>egislatívna podpora</w:t>
      </w:r>
    </w:p>
    <w:p w:rsidR="006F0CA9" w:rsidRDefault="006F0CA9" w:rsidP="00D723E9">
      <w:pPr>
        <w:spacing w:before="120"/>
      </w:pPr>
      <w:r w:rsidRPr="00D723E9">
        <w:rPr>
          <w:rFonts w:eastAsia="Times New Roman" w:cs="Times New Roman"/>
          <w:szCs w:val="24"/>
        </w:rPr>
        <w:t>Legislatívne prostredie v SR by malo vytvoriť optim</w:t>
      </w:r>
      <w:r w:rsidR="00E1444C">
        <w:rPr>
          <w:rFonts w:eastAsia="Times New Roman" w:cs="Times New Roman"/>
          <w:szCs w:val="24"/>
        </w:rPr>
        <w:t xml:space="preserve">álne podmienky </w:t>
      </w:r>
      <w:r w:rsidR="0088195C">
        <w:rPr>
          <w:rFonts w:eastAsia="Times New Roman" w:cs="Times New Roman"/>
          <w:szCs w:val="24"/>
        </w:rPr>
        <w:t>na</w:t>
      </w:r>
      <w:r w:rsidR="00E1444C">
        <w:rPr>
          <w:rFonts w:eastAsia="Times New Roman" w:cs="Times New Roman"/>
          <w:szCs w:val="24"/>
        </w:rPr>
        <w:t xml:space="preserve"> plánovanie a </w:t>
      </w:r>
      <w:r w:rsidRPr="00D723E9">
        <w:rPr>
          <w:rFonts w:eastAsia="Times New Roman" w:cs="Times New Roman"/>
          <w:szCs w:val="24"/>
        </w:rPr>
        <w:t xml:space="preserve">budovanie cyklistickej infraštruktúry, integráciu cyklistov do systémov </w:t>
      </w:r>
      <w:proofErr w:type="spellStart"/>
      <w:r w:rsidRPr="00D723E9">
        <w:rPr>
          <w:rFonts w:eastAsia="Times New Roman" w:cs="Times New Roman"/>
          <w:szCs w:val="24"/>
        </w:rPr>
        <w:t>multimodálnej</w:t>
      </w:r>
      <w:proofErr w:type="spellEnd"/>
      <w:r w:rsidRPr="00D723E9">
        <w:rPr>
          <w:rFonts w:eastAsia="Times New Roman" w:cs="Times New Roman"/>
          <w:szCs w:val="24"/>
        </w:rPr>
        <w:t xml:space="preserve"> dopravy a zvyšovanie bezpečnosti cyklistov. Nasledovné opatrenia by zároveň mali pomáhať </w:t>
      </w:r>
      <w:r w:rsidR="00F5325E">
        <w:rPr>
          <w:rFonts w:eastAsia="Times New Roman" w:cs="Times New Roman"/>
          <w:szCs w:val="24"/>
        </w:rPr>
        <w:t xml:space="preserve">k </w:t>
      </w:r>
      <w:r w:rsidRPr="00D723E9">
        <w:rPr>
          <w:rFonts w:eastAsia="Times New Roman" w:cs="Times New Roman"/>
          <w:szCs w:val="24"/>
        </w:rPr>
        <w:t>zvyšovaniu podielu cyklistickej dopravy na deľbe prepravnej práce v mestách aj mimo nich</w:t>
      </w:r>
      <w:r w:rsidR="00F5325E">
        <w:rPr>
          <w:rFonts w:eastAsia="Times New Roman" w:cs="Times New Roman"/>
          <w:szCs w:val="24"/>
        </w:rPr>
        <w:t xml:space="preserve"> tak, aby v roku 2020 dosiahla 10 %-</w:t>
      </w:r>
      <w:proofErr w:type="spellStart"/>
      <w:r w:rsidR="00F5325E">
        <w:rPr>
          <w:rFonts w:eastAsia="Times New Roman" w:cs="Times New Roman"/>
          <w:szCs w:val="24"/>
        </w:rPr>
        <w:t>ný</w:t>
      </w:r>
      <w:proofErr w:type="spellEnd"/>
      <w:r w:rsidR="00F5325E">
        <w:rPr>
          <w:rFonts w:eastAsia="Times New Roman" w:cs="Times New Roman"/>
          <w:szCs w:val="24"/>
        </w:rPr>
        <w:t xml:space="preserve"> podiel</w:t>
      </w:r>
      <w:r w:rsidRPr="00D723E9">
        <w:rPr>
          <w:rFonts w:eastAsia="Times New Roman" w:cs="Times New Roman"/>
          <w:szCs w:val="24"/>
        </w:rPr>
        <w:t>.</w:t>
      </w:r>
    </w:p>
    <w:p w:rsidR="00590536" w:rsidRPr="005133B5" w:rsidRDefault="006756E8"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 xml:space="preserve">Riadenie a koordinačná činnosť </w:t>
      </w:r>
      <w:proofErr w:type="spellStart"/>
      <w:r w:rsidRPr="005133B5">
        <w:rPr>
          <w:rFonts w:cs="Times New Roman"/>
          <w:b/>
          <w:sz w:val="28"/>
        </w:rPr>
        <w:t>cyklodopravy</w:t>
      </w:r>
      <w:proofErr w:type="spellEnd"/>
      <w:r w:rsidRPr="005133B5">
        <w:rPr>
          <w:rFonts w:cs="Times New Roman"/>
          <w:b/>
          <w:sz w:val="28"/>
        </w:rPr>
        <w:t xml:space="preserve"> a</w:t>
      </w:r>
      <w:r w:rsidR="000E1D7E" w:rsidRPr="005133B5">
        <w:rPr>
          <w:rFonts w:cs="Times New Roman"/>
          <w:b/>
          <w:sz w:val="28"/>
        </w:rPr>
        <w:t> </w:t>
      </w:r>
      <w:r w:rsidRPr="005133B5">
        <w:rPr>
          <w:rFonts w:cs="Times New Roman"/>
          <w:b/>
          <w:sz w:val="28"/>
        </w:rPr>
        <w:t>cykloturistiky</w:t>
      </w:r>
    </w:p>
    <w:p w:rsidR="00590536" w:rsidRPr="00013F5D" w:rsidRDefault="000E1D7E" w:rsidP="00EA28E5">
      <w:pPr>
        <w:spacing w:before="120"/>
        <w:ind w:left="357"/>
        <w:rPr>
          <w:rFonts w:eastAsia="Times New Roman" w:cs="Times New Roman"/>
          <w:color w:val="FF0000"/>
          <w:szCs w:val="24"/>
        </w:rPr>
      </w:pPr>
      <w:r>
        <w:rPr>
          <w:rFonts w:eastAsia="Times New Roman" w:cs="Times New Roman"/>
          <w:szCs w:val="24"/>
        </w:rPr>
        <w:t xml:space="preserve">Nevyhnutným predpokladom </w:t>
      </w:r>
      <w:r w:rsidR="008F776D">
        <w:rPr>
          <w:rFonts w:eastAsia="Times New Roman" w:cs="Times New Roman"/>
          <w:szCs w:val="24"/>
        </w:rPr>
        <w:t xml:space="preserve">pre zvládnutie </w:t>
      </w:r>
      <w:r w:rsidR="00FC27CB">
        <w:rPr>
          <w:rFonts w:eastAsia="Times New Roman" w:cs="Times New Roman"/>
          <w:szCs w:val="24"/>
        </w:rPr>
        <w:t>samotnej agendy cyklistickej dopravy a cykloturistiky je jej</w:t>
      </w:r>
      <w:r w:rsidR="00597E82">
        <w:rPr>
          <w:rFonts w:eastAsia="Times New Roman" w:cs="Times New Roman"/>
          <w:szCs w:val="24"/>
        </w:rPr>
        <w:t xml:space="preserve"> efektívne riadenie a koordinácia. Problematiku cyklistickej dopravy a cykloturistiky </w:t>
      </w:r>
      <w:r w:rsidR="0088195C">
        <w:rPr>
          <w:rFonts w:eastAsia="Times New Roman" w:cs="Times New Roman"/>
          <w:szCs w:val="24"/>
        </w:rPr>
        <w:t>je vhodné</w:t>
      </w:r>
      <w:r w:rsidR="00597E82">
        <w:rPr>
          <w:rFonts w:eastAsia="Times New Roman" w:cs="Times New Roman"/>
          <w:szCs w:val="24"/>
        </w:rPr>
        <w:t xml:space="preserve"> riešiť vytvorením </w:t>
      </w:r>
      <w:r w:rsidR="006E34BE">
        <w:rPr>
          <w:rFonts w:eastAsia="Times New Roman" w:cs="Times New Roman"/>
          <w:szCs w:val="24"/>
        </w:rPr>
        <w:t xml:space="preserve">pozície </w:t>
      </w:r>
      <w:r w:rsidR="00597E82">
        <w:rPr>
          <w:rFonts w:eastAsia="Times New Roman" w:cs="Times New Roman"/>
          <w:szCs w:val="24"/>
        </w:rPr>
        <w:t xml:space="preserve">národného </w:t>
      </w:r>
      <w:proofErr w:type="spellStart"/>
      <w:r w:rsidR="00597E82">
        <w:rPr>
          <w:rFonts w:eastAsia="Times New Roman" w:cs="Times New Roman"/>
          <w:szCs w:val="24"/>
        </w:rPr>
        <w:t>cyklokoordinátora</w:t>
      </w:r>
      <w:proofErr w:type="spellEnd"/>
      <w:r w:rsidR="00FC27CB">
        <w:rPr>
          <w:rFonts w:eastAsia="Times New Roman" w:cs="Times New Roman"/>
          <w:szCs w:val="24"/>
        </w:rPr>
        <w:t xml:space="preserve"> a</w:t>
      </w:r>
      <w:r w:rsidR="00466D8B">
        <w:rPr>
          <w:rFonts w:eastAsia="Times New Roman" w:cs="Times New Roman"/>
          <w:szCs w:val="24"/>
        </w:rPr>
        <w:t xml:space="preserve"> </w:t>
      </w:r>
      <w:proofErr w:type="spellStart"/>
      <w:r w:rsidR="00466D8B">
        <w:rPr>
          <w:rFonts w:eastAsia="Times New Roman" w:cs="Times New Roman"/>
          <w:szCs w:val="24"/>
        </w:rPr>
        <w:t>cyklokoordinátorov</w:t>
      </w:r>
      <w:proofErr w:type="spellEnd"/>
      <w:r w:rsidR="00466D8B">
        <w:rPr>
          <w:rFonts w:eastAsia="Times New Roman" w:cs="Times New Roman"/>
          <w:szCs w:val="24"/>
        </w:rPr>
        <w:t xml:space="preserve"> na regionálnej úrovni</w:t>
      </w:r>
      <w:r w:rsidR="00FC27CB">
        <w:rPr>
          <w:rFonts w:eastAsia="Times New Roman" w:cs="Times New Roman"/>
          <w:szCs w:val="24"/>
        </w:rPr>
        <w:t>.</w:t>
      </w:r>
      <w:r w:rsidR="00597E82">
        <w:rPr>
          <w:rFonts w:eastAsia="Times New Roman" w:cs="Times New Roman"/>
          <w:szCs w:val="24"/>
        </w:rPr>
        <w:t xml:space="preserve"> Národný </w:t>
      </w:r>
      <w:proofErr w:type="spellStart"/>
      <w:r w:rsidR="00597E82">
        <w:rPr>
          <w:rFonts w:eastAsia="Times New Roman" w:cs="Times New Roman"/>
          <w:szCs w:val="24"/>
        </w:rPr>
        <w:t>cyklokoordinátor</w:t>
      </w:r>
      <w:proofErr w:type="spellEnd"/>
      <w:r w:rsidR="00597E82">
        <w:rPr>
          <w:rFonts w:eastAsia="Times New Roman" w:cs="Times New Roman"/>
          <w:szCs w:val="24"/>
        </w:rPr>
        <w:t xml:space="preserve"> </w:t>
      </w:r>
      <w:r w:rsidR="00466D8B">
        <w:rPr>
          <w:rFonts w:eastAsia="Times New Roman" w:cs="Times New Roman"/>
          <w:szCs w:val="24"/>
        </w:rPr>
        <w:t xml:space="preserve">v úzkej súčinnosti s regionálnymi </w:t>
      </w:r>
      <w:proofErr w:type="spellStart"/>
      <w:r w:rsidR="00466D8B">
        <w:rPr>
          <w:rFonts w:eastAsia="Times New Roman" w:cs="Times New Roman"/>
          <w:szCs w:val="24"/>
        </w:rPr>
        <w:t>cyklokoordinátormi</w:t>
      </w:r>
      <w:proofErr w:type="spellEnd"/>
      <w:r w:rsidR="00466D8B">
        <w:rPr>
          <w:rFonts w:eastAsia="Times New Roman" w:cs="Times New Roman"/>
          <w:szCs w:val="24"/>
        </w:rPr>
        <w:t xml:space="preserve"> </w:t>
      </w:r>
      <w:r w:rsidR="00597E82">
        <w:rPr>
          <w:rFonts w:eastAsia="Times New Roman" w:cs="Times New Roman"/>
          <w:szCs w:val="24"/>
        </w:rPr>
        <w:t xml:space="preserve">bude zabezpečovať </w:t>
      </w:r>
      <w:r w:rsidR="006E34BE">
        <w:rPr>
          <w:rFonts w:eastAsia="Times New Roman" w:cs="Times New Roman"/>
          <w:szCs w:val="24"/>
        </w:rPr>
        <w:t xml:space="preserve">efektívnu výmenu informácií a skúseností, priebežnú </w:t>
      </w:r>
      <w:r w:rsidR="00597E82">
        <w:rPr>
          <w:rFonts w:eastAsia="Times New Roman" w:cs="Times New Roman"/>
          <w:szCs w:val="24"/>
        </w:rPr>
        <w:t xml:space="preserve">komunikáciu </w:t>
      </w:r>
      <w:r w:rsidR="00FC27CB">
        <w:rPr>
          <w:rFonts w:eastAsia="Times New Roman" w:cs="Times New Roman"/>
          <w:szCs w:val="24"/>
        </w:rPr>
        <w:t xml:space="preserve">a spoluprácu </w:t>
      </w:r>
      <w:r w:rsidR="00597E82">
        <w:rPr>
          <w:rFonts w:eastAsia="Times New Roman" w:cs="Times New Roman"/>
          <w:szCs w:val="24"/>
        </w:rPr>
        <w:t>medzi zúčastnenými subjektmi</w:t>
      </w:r>
      <w:r w:rsidR="00FC27CB">
        <w:rPr>
          <w:rFonts w:eastAsia="Times New Roman" w:cs="Times New Roman"/>
          <w:szCs w:val="24"/>
        </w:rPr>
        <w:t xml:space="preserve"> v záujme zabezpečenia plnenia opatrení vyplývajúcich z Národnej </w:t>
      </w:r>
      <w:proofErr w:type="spellStart"/>
      <w:r w:rsidR="00FC27CB">
        <w:rPr>
          <w:rFonts w:eastAsia="Times New Roman" w:cs="Times New Roman"/>
          <w:szCs w:val="24"/>
        </w:rPr>
        <w:t>cyklostratégie</w:t>
      </w:r>
      <w:proofErr w:type="spellEnd"/>
      <w:r w:rsidR="00FC27CB">
        <w:rPr>
          <w:rFonts w:eastAsia="Times New Roman" w:cs="Times New Roman"/>
          <w:szCs w:val="24"/>
        </w:rPr>
        <w:t>.</w:t>
      </w:r>
      <w:r w:rsidR="00013F5D">
        <w:rPr>
          <w:rFonts w:eastAsia="Times New Roman" w:cs="Times New Roman"/>
          <w:szCs w:val="24"/>
        </w:rPr>
        <w:t xml:space="preserve"> </w:t>
      </w:r>
      <w:r w:rsidR="00013F5D" w:rsidRPr="00EA28E5">
        <w:rPr>
          <w:rFonts w:eastAsia="Times New Roman" w:cs="Times New Roman"/>
          <w:szCs w:val="24"/>
        </w:rPr>
        <w:t xml:space="preserve">V záujme naplnenia cieľov a opatrení </w:t>
      </w:r>
      <w:proofErr w:type="spellStart"/>
      <w:r w:rsidR="00013F5D" w:rsidRPr="00EA28E5">
        <w:rPr>
          <w:rFonts w:eastAsia="Times New Roman" w:cs="Times New Roman"/>
          <w:szCs w:val="24"/>
        </w:rPr>
        <w:t>Cyklostratégie</w:t>
      </w:r>
      <w:proofErr w:type="spellEnd"/>
      <w:r w:rsidR="00013F5D" w:rsidRPr="00EA28E5">
        <w:rPr>
          <w:rFonts w:eastAsia="Times New Roman" w:cs="Times New Roman"/>
          <w:szCs w:val="24"/>
        </w:rPr>
        <w:t xml:space="preserve"> je nevyhnutné pri vytváraní pozícií </w:t>
      </w:r>
      <w:proofErr w:type="spellStart"/>
      <w:r w:rsidR="00013F5D" w:rsidRPr="00EA28E5">
        <w:rPr>
          <w:rFonts w:eastAsia="Times New Roman" w:cs="Times New Roman"/>
          <w:szCs w:val="24"/>
        </w:rPr>
        <w:t>cyklokoordinátorov</w:t>
      </w:r>
      <w:proofErr w:type="spellEnd"/>
      <w:r w:rsidR="00013F5D" w:rsidRPr="00EA28E5">
        <w:rPr>
          <w:rFonts w:eastAsia="Times New Roman" w:cs="Times New Roman"/>
          <w:szCs w:val="24"/>
        </w:rPr>
        <w:t xml:space="preserve"> na národnej a regionálnej úrovni </w:t>
      </w:r>
      <w:r w:rsidR="00013F5D" w:rsidRPr="00EA28E5">
        <w:rPr>
          <w:rFonts w:eastAsia="Times New Roman" w:cs="Times New Roman"/>
          <w:b/>
          <w:szCs w:val="24"/>
        </w:rPr>
        <w:t>trvať na požiadavke ich odbornej</w:t>
      </w:r>
      <w:r w:rsidR="00EA28E5">
        <w:rPr>
          <w:rFonts w:eastAsia="Times New Roman" w:cs="Times New Roman"/>
          <w:b/>
          <w:szCs w:val="24"/>
        </w:rPr>
        <w:t xml:space="preserve"> </w:t>
      </w:r>
      <w:r w:rsidR="00013F5D" w:rsidRPr="00EA28E5">
        <w:rPr>
          <w:rFonts w:eastAsia="Times New Roman" w:cs="Times New Roman"/>
          <w:b/>
          <w:szCs w:val="24"/>
        </w:rPr>
        <w:t>zdatnosti a pri ich výbere úzko spolupracovať s odbornou cyklistickou verejnosťou</w:t>
      </w:r>
      <w:r w:rsidR="00013F5D" w:rsidRPr="00EA28E5">
        <w:rPr>
          <w:rFonts w:eastAsia="Times New Roman" w:cs="Times New Roman"/>
          <w:szCs w:val="24"/>
        </w:rPr>
        <w:t>.</w:t>
      </w:r>
    </w:p>
    <w:p w:rsidR="00590536" w:rsidRPr="005133B5" w:rsidRDefault="00172F25" w:rsidP="00341DE1">
      <w:pPr>
        <w:pStyle w:val="Odsekzoznamu"/>
        <w:numPr>
          <w:ilvl w:val="1"/>
          <w:numId w:val="8"/>
        </w:numPr>
        <w:spacing w:before="240"/>
        <w:ind w:left="850" w:hanging="493"/>
        <w:contextualSpacing w:val="0"/>
        <w:jc w:val="left"/>
        <w:rPr>
          <w:rFonts w:cs="Times New Roman"/>
          <w:b/>
          <w:sz w:val="28"/>
        </w:rPr>
      </w:pPr>
      <w:r>
        <w:rPr>
          <w:rFonts w:cs="Times New Roman"/>
          <w:b/>
          <w:sz w:val="28"/>
        </w:rPr>
        <w:t>Strategický</w:t>
      </w:r>
      <w:r w:rsidRPr="005133B5">
        <w:rPr>
          <w:rFonts w:cs="Times New Roman"/>
          <w:b/>
          <w:sz w:val="28"/>
        </w:rPr>
        <w:t xml:space="preserve"> </w:t>
      </w:r>
      <w:r w:rsidR="006F0CA9" w:rsidRPr="005133B5">
        <w:rPr>
          <w:rFonts w:cs="Times New Roman"/>
          <w:b/>
          <w:sz w:val="28"/>
        </w:rPr>
        <w:t>rámec budovania cyklistickej infraštruktúry</w:t>
      </w:r>
    </w:p>
    <w:p w:rsidR="006F0CA9" w:rsidRDefault="006F0CA9" w:rsidP="00D723E9">
      <w:pPr>
        <w:spacing w:before="120"/>
        <w:ind w:left="360"/>
        <w:rPr>
          <w:rFonts w:eastAsia="Times New Roman" w:cs="Times New Roman"/>
          <w:szCs w:val="24"/>
        </w:rPr>
      </w:pPr>
      <w:r w:rsidRPr="00D723E9">
        <w:rPr>
          <w:rFonts w:eastAsia="Times New Roman" w:cs="Times New Roman"/>
          <w:szCs w:val="24"/>
        </w:rPr>
        <w:t>Prijatie opatrení tejto podoblasti by malo zabezpečiť novelizáciu zákonov</w:t>
      </w:r>
      <w:r w:rsidR="006E34BE">
        <w:rPr>
          <w:rFonts w:eastAsia="Times New Roman" w:cs="Times New Roman"/>
          <w:szCs w:val="24"/>
        </w:rPr>
        <w:t xml:space="preserve"> a </w:t>
      </w:r>
      <w:r w:rsidRPr="00D723E9">
        <w:rPr>
          <w:rFonts w:eastAsia="Times New Roman" w:cs="Times New Roman"/>
          <w:szCs w:val="24"/>
        </w:rPr>
        <w:t>vyhlášok</w:t>
      </w:r>
      <w:r w:rsidR="006E34BE">
        <w:rPr>
          <w:rFonts w:eastAsia="Times New Roman" w:cs="Times New Roman"/>
          <w:szCs w:val="24"/>
        </w:rPr>
        <w:t>, ako aj tvorbu</w:t>
      </w:r>
      <w:r w:rsidRPr="00D723E9">
        <w:rPr>
          <w:rFonts w:eastAsia="Times New Roman" w:cs="Times New Roman"/>
          <w:szCs w:val="24"/>
        </w:rPr>
        <w:t xml:space="preserve"> noriem relevantných pre rozvoj cyklistickej infraštruktúry</w:t>
      </w:r>
      <w:r w:rsidR="00F73280">
        <w:rPr>
          <w:rFonts w:eastAsia="Times New Roman" w:cs="Times New Roman"/>
          <w:szCs w:val="24"/>
        </w:rPr>
        <w:t>.</w:t>
      </w:r>
      <w:r w:rsidRPr="00D723E9">
        <w:rPr>
          <w:rFonts w:eastAsia="Times New Roman" w:cs="Times New Roman"/>
          <w:szCs w:val="24"/>
        </w:rPr>
        <w:t xml:space="preserve"> Tieto predpisy by </w:t>
      </w:r>
      <w:r w:rsidRPr="00D723E9">
        <w:rPr>
          <w:rFonts w:eastAsia="Times New Roman" w:cs="Times New Roman"/>
          <w:szCs w:val="24"/>
        </w:rPr>
        <w:lastRenderedPageBreak/>
        <w:t>mali zabezpečiť právny rámec plánovania, budovania a</w:t>
      </w:r>
      <w:r w:rsidR="00D723E9">
        <w:rPr>
          <w:rFonts w:eastAsia="Times New Roman" w:cs="Times New Roman"/>
          <w:szCs w:val="24"/>
        </w:rPr>
        <w:t> </w:t>
      </w:r>
      <w:r w:rsidRPr="00D723E9">
        <w:rPr>
          <w:rFonts w:eastAsia="Times New Roman" w:cs="Times New Roman"/>
          <w:szCs w:val="24"/>
        </w:rPr>
        <w:t>prevádzky cyklistickej infraštruktúry podľa najnovších trendov.</w:t>
      </w:r>
      <w:r w:rsidR="00A054E1">
        <w:rPr>
          <w:rFonts w:eastAsia="Times New Roman" w:cs="Times New Roman"/>
          <w:szCs w:val="24"/>
        </w:rPr>
        <w:t xml:space="preserve"> Predovšetkým je potrebné spracovať komplexnú a ucelenú technickú normu alebo technický predpis, obsahujúci postupy pre plánovanie a výstavbu cyklistickej infraštruktúry. </w:t>
      </w:r>
      <w:r w:rsidR="00A054E1" w:rsidRPr="00800E67">
        <w:rPr>
          <w:rFonts w:eastAsia="Times New Roman" w:cs="Times New Roman"/>
          <w:szCs w:val="24"/>
        </w:rPr>
        <w:t xml:space="preserve">Zároveň bude potrebné novelizovať súčasnú STN 01 8028 Cykloturistické značenie. </w:t>
      </w:r>
    </w:p>
    <w:p w:rsidR="00590536" w:rsidRPr="005133B5" w:rsidRDefault="009008C2"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 xml:space="preserve">Legislatívna podpora integrácie </w:t>
      </w:r>
      <w:proofErr w:type="spellStart"/>
      <w:r w:rsidRPr="005133B5">
        <w:rPr>
          <w:rFonts w:cs="Times New Roman"/>
          <w:b/>
          <w:sz w:val="28"/>
        </w:rPr>
        <w:t>cyklodopravy</w:t>
      </w:r>
      <w:proofErr w:type="spellEnd"/>
      <w:r w:rsidRPr="005133B5">
        <w:rPr>
          <w:rFonts w:cs="Times New Roman"/>
          <w:b/>
          <w:sz w:val="28"/>
        </w:rPr>
        <w:t xml:space="preserve"> a jej bezpečnosti</w:t>
      </w:r>
    </w:p>
    <w:p w:rsidR="009008C2" w:rsidRDefault="009008C2" w:rsidP="00D723E9">
      <w:pPr>
        <w:spacing w:before="120"/>
        <w:ind w:left="360"/>
        <w:rPr>
          <w:rFonts w:eastAsia="Times New Roman" w:cs="Times New Roman"/>
          <w:color w:val="92D050"/>
          <w:szCs w:val="24"/>
        </w:rPr>
      </w:pPr>
      <w:r w:rsidRPr="00D723E9">
        <w:rPr>
          <w:rFonts w:eastAsia="Times New Roman" w:cs="Times New Roman"/>
          <w:szCs w:val="24"/>
        </w:rPr>
        <w:t xml:space="preserve">Cieľom je presadenie legislatívnych opatrení </w:t>
      </w:r>
      <w:r w:rsidR="00A84224">
        <w:rPr>
          <w:rFonts w:eastAsia="Times New Roman" w:cs="Times New Roman"/>
          <w:szCs w:val="24"/>
        </w:rPr>
        <w:t>na</w:t>
      </w:r>
      <w:r w:rsidRPr="00D723E9">
        <w:rPr>
          <w:rFonts w:eastAsia="Times New Roman" w:cs="Times New Roman"/>
          <w:szCs w:val="24"/>
        </w:rPr>
        <w:t xml:space="preserve"> podporu prepravy cyklistov a bicyklov, či už pri každodennom dochádzaní do práce a školy alebo pri </w:t>
      </w:r>
      <w:proofErr w:type="spellStart"/>
      <w:r w:rsidRPr="00D723E9">
        <w:rPr>
          <w:rFonts w:eastAsia="Times New Roman" w:cs="Times New Roman"/>
          <w:szCs w:val="24"/>
        </w:rPr>
        <w:t>voľnočasových</w:t>
      </w:r>
      <w:proofErr w:type="spellEnd"/>
      <w:r w:rsidRPr="00D723E9">
        <w:rPr>
          <w:rFonts w:eastAsia="Times New Roman" w:cs="Times New Roman"/>
          <w:szCs w:val="24"/>
        </w:rPr>
        <w:t xml:space="preserve"> aktivitách, v prostriedkoch verejnej osobnej dopravy. </w:t>
      </w:r>
      <w:r w:rsidR="00A84224">
        <w:rPr>
          <w:rFonts w:eastAsia="Times New Roman" w:cs="Times New Roman"/>
          <w:szCs w:val="24"/>
        </w:rPr>
        <w:t xml:space="preserve">Vyžiada si to úpravu </w:t>
      </w:r>
      <w:r w:rsidRPr="00D723E9">
        <w:rPr>
          <w:rFonts w:eastAsia="Times New Roman" w:cs="Times New Roman"/>
          <w:szCs w:val="24"/>
        </w:rPr>
        <w:t>prepravn</w:t>
      </w:r>
      <w:r w:rsidR="00A84224">
        <w:rPr>
          <w:rFonts w:eastAsia="Times New Roman" w:cs="Times New Roman"/>
          <w:szCs w:val="24"/>
        </w:rPr>
        <w:t>ých</w:t>
      </w:r>
      <w:r w:rsidRPr="00D723E9">
        <w:rPr>
          <w:rFonts w:eastAsia="Times New Roman" w:cs="Times New Roman"/>
          <w:szCs w:val="24"/>
        </w:rPr>
        <w:t xml:space="preserve"> poriadk</w:t>
      </w:r>
      <w:r w:rsidR="00A84224">
        <w:rPr>
          <w:rFonts w:eastAsia="Times New Roman" w:cs="Times New Roman"/>
          <w:szCs w:val="24"/>
        </w:rPr>
        <w:t>ov</w:t>
      </w:r>
      <w:r w:rsidRPr="00D723E9">
        <w:rPr>
          <w:rFonts w:eastAsia="Times New Roman" w:cs="Times New Roman"/>
          <w:szCs w:val="24"/>
        </w:rPr>
        <w:t xml:space="preserve"> dopravcov</w:t>
      </w:r>
      <w:r w:rsidR="00A84224">
        <w:rPr>
          <w:rFonts w:eastAsia="Times New Roman" w:cs="Times New Roman"/>
          <w:szCs w:val="24"/>
        </w:rPr>
        <w:t xml:space="preserve"> i časti</w:t>
      </w:r>
      <w:r w:rsidR="00A84224" w:rsidRPr="00D723E9">
        <w:rPr>
          <w:rFonts w:eastAsia="Times New Roman" w:cs="Times New Roman"/>
          <w:szCs w:val="24"/>
        </w:rPr>
        <w:t xml:space="preserve"> dopravn</w:t>
      </w:r>
      <w:r w:rsidR="00A84224">
        <w:rPr>
          <w:rFonts w:eastAsia="Times New Roman" w:cs="Times New Roman"/>
          <w:szCs w:val="24"/>
        </w:rPr>
        <w:t>ých</w:t>
      </w:r>
      <w:r w:rsidR="00A84224" w:rsidRPr="00D723E9">
        <w:rPr>
          <w:rFonts w:eastAsia="Times New Roman" w:cs="Times New Roman"/>
          <w:szCs w:val="24"/>
        </w:rPr>
        <w:t xml:space="preserve"> prostriedk</w:t>
      </w:r>
      <w:r w:rsidR="00A84224">
        <w:rPr>
          <w:rFonts w:eastAsia="Times New Roman" w:cs="Times New Roman"/>
          <w:szCs w:val="24"/>
        </w:rPr>
        <w:t>ov</w:t>
      </w:r>
      <w:r w:rsidRPr="00D723E9">
        <w:rPr>
          <w:rFonts w:eastAsia="Times New Roman" w:cs="Times New Roman"/>
          <w:szCs w:val="24"/>
        </w:rPr>
        <w:t xml:space="preserve">. </w:t>
      </w:r>
    </w:p>
    <w:p w:rsidR="00D52E25" w:rsidRDefault="00D52E25" w:rsidP="00D52E25">
      <w:pPr>
        <w:ind w:left="360"/>
        <w:rPr>
          <w:rFonts w:eastAsia="Times New Roman" w:cs="Times New Roman"/>
          <w:color w:val="FF0000"/>
          <w:szCs w:val="24"/>
        </w:rPr>
      </w:pPr>
      <w:r w:rsidRPr="00800E67">
        <w:rPr>
          <w:rFonts w:eastAsia="Times New Roman" w:cs="Times New Roman"/>
          <w:szCs w:val="24"/>
        </w:rPr>
        <w:t>Je reálny predpoklad, že podľa stavu a úrovne rozvoja cyklistickej dopravy a cykloturistiky v SR bude v budúcnosti potrebné postupne novelizovať jednotlivé právne predpisy dotýkajúce sa cyklistickej dopravy a cykloturistiky (viď str. 7, časť 3.2). V súvislosti s možnosťou čerpania európskych fondov na rozvoj cyklistickej infraštruktúry bude potrebná najmä novelizácia zákonov súvisiacich s ochranou prírody a krajiny, lesmi, katastrom nehnuteľností,  </w:t>
      </w:r>
      <w:proofErr w:type="spellStart"/>
      <w:r w:rsidRPr="00800E67">
        <w:rPr>
          <w:rFonts w:eastAsia="Times New Roman" w:cs="Times New Roman"/>
          <w:szCs w:val="24"/>
        </w:rPr>
        <w:t>vysporiadaním</w:t>
      </w:r>
      <w:proofErr w:type="spellEnd"/>
      <w:r w:rsidRPr="00800E67">
        <w:rPr>
          <w:rFonts w:eastAsia="Times New Roman" w:cs="Times New Roman"/>
          <w:szCs w:val="24"/>
        </w:rPr>
        <w:t xml:space="preserve"> pozemkov, vodohospodárskou výstavbou a spravovaním vodných tokov, ako aj cestnou sieťou a cestnou premávkou.</w:t>
      </w:r>
    </w:p>
    <w:p w:rsidR="00A72ABE" w:rsidRDefault="00A72ABE" w:rsidP="00A72ABE">
      <w:pPr>
        <w:ind w:left="360"/>
        <w:rPr>
          <w:rFonts w:eastAsia="Times New Roman" w:cs="Times New Roman"/>
          <w:szCs w:val="24"/>
        </w:rPr>
      </w:pPr>
      <w:r w:rsidRPr="00D723E9">
        <w:rPr>
          <w:rFonts w:eastAsia="Times New Roman" w:cs="Times New Roman"/>
          <w:szCs w:val="24"/>
        </w:rPr>
        <w:t>Je potrebné vytvoriť priaznivé legislatívne prostredie pre plánovanie a projektovanie dopravných stavieb tak, aby bola cyklistická doprava riešená ako rovnocenná ostatným druhom dopravy, čo prispeje k zvýšeniu bezpečnosti dopravy všeobecne.</w:t>
      </w:r>
    </w:p>
    <w:p w:rsidR="00F97915" w:rsidRPr="00F97915" w:rsidRDefault="00F97915" w:rsidP="00F97915">
      <w:pPr>
        <w:spacing w:before="120"/>
        <w:ind w:left="360"/>
        <w:rPr>
          <w:rFonts w:eastAsia="Times New Roman" w:cs="Times New Roman"/>
          <w:color w:val="C00000"/>
          <w:szCs w:val="24"/>
        </w:rPr>
      </w:pPr>
      <w:r w:rsidRPr="00D52E25">
        <w:rPr>
          <w:rFonts w:eastAsia="Times New Roman" w:cs="Times New Roman"/>
          <w:szCs w:val="24"/>
        </w:rPr>
        <w:t xml:space="preserve">Zároveň je potrebné stanoviť povinnosť navrhovania a projektovania cyklotrás pri novej výstavbe, obnove a rekonštrukcii dopravných a peších komunikácií v mestách, obciach a aj mimo sídelných útvarov. Pri každej novej výstavbe nákupných centier, kancelárskych priestorov či iných verejno-prospešných stavieb vybudovať parkovacie miesta pre bicykle v primeranom množstve, ako aj zabezpečiť bezbariérové prístupy. </w:t>
      </w:r>
      <w:r w:rsidR="0023564A" w:rsidRPr="00D52E25">
        <w:rPr>
          <w:rFonts w:eastAsia="Times New Roman" w:cs="Times New Roman"/>
          <w:szCs w:val="24"/>
        </w:rPr>
        <w:t>Nemenej dôležité je stanovenie</w:t>
      </w:r>
      <w:r w:rsidRPr="00D52E25">
        <w:rPr>
          <w:rFonts w:eastAsia="Times New Roman" w:cs="Times New Roman"/>
          <w:szCs w:val="24"/>
        </w:rPr>
        <w:t xml:space="preserve"> povinnos</w:t>
      </w:r>
      <w:r w:rsidR="0023564A" w:rsidRPr="00D52E25">
        <w:rPr>
          <w:rFonts w:eastAsia="Times New Roman" w:cs="Times New Roman"/>
          <w:szCs w:val="24"/>
        </w:rPr>
        <w:t>ti</w:t>
      </w:r>
      <w:r w:rsidRPr="00D52E25">
        <w:rPr>
          <w:rFonts w:eastAsia="Times New Roman" w:cs="Times New Roman"/>
          <w:szCs w:val="24"/>
        </w:rPr>
        <w:t xml:space="preserve"> správnych orgánov neodsúhlasiť žiaden investičný projekt, ak nerieši problematiku </w:t>
      </w:r>
      <w:proofErr w:type="spellStart"/>
      <w:r w:rsidRPr="00D52E25">
        <w:rPr>
          <w:rFonts w:eastAsia="Times New Roman" w:cs="Times New Roman"/>
          <w:szCs w:val="24"/>
        </w:rPr>
        <w:t>cyklodopravy</w:t>
      </w:r>
      <w:proofErr w:type="spellEnd"/>
      <w:r w:rsidRPr="00D52E25">
        <w:rPr>
          <w:rFonts w:eastAsia="Times New Roman" w:cs="Times New Roman"/>
          <w:szCs w:val="24"/>
        </w:rPr>
        <w:t xml:space="preserve"> v rámci príslušných regionálnych možností a programov</w:t>
      </w:r>
      <w:r w:rsidRPr="00F97915">
        <w:rPr>
          <w:rFonts w:eastAsia="Times New Roman" w:cs="Times New Roman"/>
          <w:color w:val="C00000"/>
          <w:szCs w:val="24"/>
        </w:rPr>
        <w:t>.</w:t>
      </w:r>
    </w:p>
    <w:p w:rsidR="00800E67" w:rsidRPr="00D52E25" w:rsidRDefault="009008C2" w:rsidP="00D723E9">
      <w:pPr>
        <w:ind w:left="360"/>
        <w:rPr>
          <w:rFonts w:eastAsia="Times New Roman" w:cs="Times New Roman"/>
          <w:szCs w:val="24"/>
        </w:rPr>
      </w:pPr>
      <w:r w:rsidRPr="00D723E9">
        <w:rPr>
          <w:rFonts w:eastAsia="Times New Roman" w:cs="Times New Roman"/>
          <w:szCs w:val="24"/>
        </w:rPr>
        <w:t xml:space="preserve">Nutná je aj legislatívna úprava predpisov </w:t>
      </w:r>
      <w:r w:rsidR="00A84224">
        <w:rPr>
          <w:rFonts w:eastAsia="Times New Roman" w:cs="Times New Roman"/>
          <w:szCs w:val="24"/>
        </w:rPr>
        <w:t>v záujme</w:t>
      </w:r>
      <w:r w:rsidRPr="00D723E9">
        <w:rPr>
          <w:rFonts w:eastAsia="Times New Roman" w:cs="Times New Roman"/>
          <w:szCs w:val="24"/>
        </w:rPr>
        <w:t xml:space="preserve"> zvýšenia bezpečnosti cyklistov ako zraniteľných účastníkov cestnej premávky</w:t>
      </w:r>
      <w:r w:rsidR="00BA106E">
        <w:rPr>
          <w:rFonts w:eastAsia="Times New Roman" w:cs="Times New Roman"/>
          <w:szCs w:val="24"/>
        </w:rPr>
        <w:t>,</w:t>
      </w:r>
      <w:r w:rsidR="00BA106E" w:rsidRPr="00BA106E">
        <w:rPr>
          <w:rFonts w:eastAsia="Times New Roman" w:cs="Times New Roman"/>
          <w:szCs w:val="24"/>
        </w:rPr>
        <w:t xml:space="preserve"> </w:t>
      </w:r>
      <w:r w:rsidR="00BA106E" w:rsidRPr="00D52E25">
        <w:rPr>
          <w:rFonts w:eastAsia="Times New Roman" w:cs="Times New Roman"/>
          <w:szCs w:val="24"/>
        </w:rPr>
        <w:t>najmä je potrebné zaviesť zákonom</w:t>
      </w:r>
      <w:r w:rsidR="00FE5428" w:rsidRPr="00D52E25">
        <w:rPr>
          <w:rFonts w:eastAsia="Times New Roman" w:cs="Times New Roman"/>
          <w:szCs w:val="24"/>
        </w:rPr>
        <w:t xml:space="preserve"> </w:t>
      </w:r>
      <w:r w:rsidR="00BA106E" w:rsidRPr="00D52E25">
        <w:rPr>
          <w:rFonts w:eastAsia="Times New Roman" w:cs="Times New Roman"/>
          <w:szCs w:val="24"/>
        </w:rPr>
        <w:t>stanovenú povinnosť vybavenia každého bicykla stabilným (neblikajúcim) predným bielym svetlom a zvukovým výstražným zariadením a červeným zadným svetlom</w:t>
      </w:r>
      <w:r w:rsidR="00FE5428" w:rsidRPr="00D52E25">
        <w:rPr>
          <w:rFonts w:eastAsia="Times New Roman" w:cs="Times New Roman"/>
          <w:szCs w:val="24"/>
        </w:rPr>
        <w:t xml:space="preserve"> (Zákon č. 8/2009 Z. z. o cestnej premávke a o zmene a doplnení niektorých zákonov v znení neskorších predpisov).</w:t>
      </w:r>
    </w:p>
    <w:tbl>
      <w:tblPr>
        <w:tblW w:w="0" w:type="auto"/>
        <w:tblCellSpacing w:w="15" w:type="dxa"/>
        <w:tblCellMar>
          <w:top w:w="15" w:type="dxa"/>
          <w:left w:w="15" w:type="dxa"/>
          <w:bottom w:w="15" w:type="dxa"/>
          <w:right w:w="15" w:type="dxa"/>
        </w:tblCellMar>
        <w:tblLook w:val="04A0"/>
      </w:tblPr>
      <w:tblGrid>
        <w:gridCol w:w="81"/>
        <w:gridCol w:w="81"/>
      </w:tblGrid>
      <w:tr w:rsidR="00BA106E" w:rsidTr="00BA106E">
        <w:trPr>
          <w:tblCellSpacing w:w="15" w:type="dxa"/>
        </w:trPr>
        <w:tc>
          <w:tcPr>
            <w:tcW w:w="0" w:type="auto"/>
            <w:vAlign w:val="center"/>
            <w:hideMark/>
          </w:tcPr>
          <w:p w:rsidR="00BA106E" w:rsidRDefault="00BA106E">
            <w:pPr>
              <w:rPr>
                <w:szCs w:val="24"/>
              </w:rPr>
            </w:pPr>
          </w:p>
        </w:tc>
        <w:tc>
          <w:tcPr>
            <w:tcW w:w="0" w:type="auto"/>
            <w:vAlign w:val="center"/>
            <w:hideMark/>
          </w:tcPr>
          <w:p w:rsidR="00BA106E" w:rsidRDefault="00BA106E">
            <w:pPr>
              <w:rPr>
                <w:szCs w:val="24"/>
              </w:rPr>
            </w:pPr>
          </w:p>
        </w:tc>
      </w:tr>
    </w:tbl>
    <w:p w:rsidR="00590536" w:rsidRPr="005133B5" w:rsidRDefault="009008C2" w:rsidP="00341DE1">
      <w:pPr>
        <w:pStyle w:val="Odsekzoznamu"/>
        <w:numPr>
          <w:ilvl w:val="0"/>
          <w:numId w:val="8"/>
        </w:numPr>
        <w:spacing w:before="240"/>
        <w:contextualSpacing w:val="0"/>
        <w:jc w:val="left"/>
        <w:rPr>
          <w:rFonts w:cs="Times New Roman"/>
          <w:b/>
          <w:sz w:val="32"/>
        </w:rPr>
      </w:pPr>
      <w:r w:rsidRPr="005133B5">
        <w:rPr>
          <w:rFonts w:cs="Times New Roman"/>
          <w:b/>
          <w:sz w:val="32"/>
        </w:rPr>
        <w:t>Rozvoj cyklistickej infraštruktúry</w:t>
      </w:r>
    </w:p>
    <w:p w:rsidR="00711DAF" w:rsidRPr="00D723E9" w:rsidRDefault="009008C2" w:rsidP="00D723E9">
      <w:pPr>
        <w:spacing w:before="120"/>
        <w:rPr>
          <w:rFonts w:eastAsia="Times New Roman" w:cs="Times New Roman"/>
          <w:szCs w:val="24"/>
        </w:rPr>
      </w:pPr>
      <w:r w:rsidRPr="00D723E9">
        <w:rPr>
          <w:rFonts w:eastAsia="Times New Roman" w:cs="Times New Roman"/>
          <w:szCs w:val="24"/>
        </w:rPr>
        <w:t xml:space="preserve">Jednou z hlavných podmienok rozvoja cyklistickej dopravy je výstavba cyklistickej infraštruktúry, či už hlavnej, teda výstavba samotných </w:t>
      </w:r>
      <w:proofErr w:type="spellStart"/>
      <w:r w:rsidR="00A84224">
        <w:rPr>
          <w:rFonts w:eastAsia="Times New Roman" w:cs="Times New Roman"/>
          <w:szCs w:val="24"/>
        </w:rPr>
        <w:t>cyklociest</w:t>
      </w:r>
      <w:proofErr w:type="spellEnd"/>
      <w:r w:rsidR="00A84224">
        <w:rPr>
          <w:rFonts w:eastAsia="Times New Roman" w:cs="Times New Roman"/>
          <w:szCs w:val="24"/>
        </w:rPr>
        <w:t xml:space="preserve"> a </w:t>
      </w:r>
      <w:r w:rsidRPr="00D723E9">
        <w:rPr>
          <w:rFonts w:eastAsia="Times New Roman" w:cs="Times New Roman"/>
          <w:szCs w:val="24"/>
        </w:rPr>
        <w:t>cyklotrás</w:t>
      </w:r>
      <w:r w:rsidR="00A84224">
        <w:rPr>
          <w:rFonts w:eastAsia="Times New Roman" w:cs="Times New Roman"/>
          <w:szCs w:val="24"/>
        </w:rPr>
        <w:t>,</w:t>
      </w:r>
      <w:r w:rsidRPr="00D723E9">
        <w:rPr>
          <w:rFonts w:eastAsia="Times New Roman" w:cs="Times New Roman"/>
          <w:szCs w:val="24"/>
        </w:rPr>
        <w:t xml:space="preserve"> alebo doplnkovej vo forme stojanov a prístreškov na bicykle, odpočívadiel, informačných tabúľ a</w:t>
      </w:r>
      <w:r w:rsidR="006975AB">
        <w:rPr>
          <w:rFonts w:eastAsia="Times New Roman" w:cs="Times New Roman"/>
          <w:szCs w:val="24"/>
        </w:rPr>
        <w:t> </w:t>
      </w:r>
      <w:r w:rsidRPr="00D723E9">
        <w:rPr>
          <w:rFonts w:eastAsia="Times New Roman" w:cs="Times New Roman"/>
          <w:szCs w:val="24"/>
        </w:rPr>
        <w:t xml:space="preserve">značenia. </w:t>
      </w:r>
      <w:r w:rsidR="0007011E">
        <w:rPr>
          <w:rFonts w:eastAsia="Times New Roman" w:cs="Times New Roman"/>
          <w:szCs w:val="24"/>
        </w:rPr>
        <w:t>Na</w:t>
      </w:r>
      <w:r w:rsidRPr="00D723E9">
        <w:rPr>
          <w:rFonts w:eastAsia="Times New Roman" w:cs="Times New Roman"/>
          <w:szCs w:val="24"/>
        </w:rPr>
        <w:t xml:space="preserve"> výstavbu novej cyklistickej infraštruktúry je potrebné využiť projekty výstavby a rekonštrukcie cestných komunikácií</w:t>
      </w:r>
      <w:r w:rsidR="00A84224">
        <w:rPr>
          <w:rFonts w:eastAsia="Times New Roman" w:cs="Times New Roman"/>
          <w:szCs w:val="24"/>
        </w:rPr>
        <w:t xml:space="preserve"> (hlavne miestnych a regionálnych)</w:t>
      </w:r>
      <w:r w:rsidR="0007011E">
        <w:rPr>
          <w:rFonts w:eastAsia="Times New Roman" w:cs="Times New Roman"/>
          <w:szCs w:val="24"/>
        </w:rPr>
        <w:t>,</w:t>
      </w:r>
      <w:r w:rsidRPr="00D723E9">
        <w:rPr>
          <w:rFonts w:eastAsia="Times New Roman" w:cs="Times New Roman"/>
          <w:szCs w:val="24"/>
        </w:rPr>
        <w:t xml:space="preserve"> </w:t>
      </w:r>
      <w:r w:rsidR="00A84224">
        <w:rPr>
          <w:rFonts w:eastAsia="Times New Roman" w:cs="Times New Roman"/>
          <w:szCs w:val="24"/>
        </w:rPr>
        <w:t>hrádz</w:t>
      </w:r>
      <w:r w:rsidR="0007011E">
        <w:rPr>
          <w:rFonts w:eastAsia="Times New Roman" w:cs="Times New Roman"/>
          <w:szCs w:val="24"/>
        </w:rPr>
        <w:t>e</w:t>
      </w:r>
      <w:r w:rsidR="00A84224">
        <w:rPr>
          <w:rFonts w:eastAsia="Times New Roman" w:cs="Times New Roman"/>
          <w:szCs w:val="24"/>
        </w:rPr>
        <w:t xml:space="preserve"> vodných tokov, nevyužité </w:t>
      </w:r>
      <w:r w:rsidRPr="00D723E9">
        <w:rPr>
          <w:rFonts w:eastAsia="Times New Roman" w:cs="Times New Roman"/>
          <w:szCs w:val="24"/>
        </w:rPr>
        <w:t>železničn</w:t>
      </w:r>
      <w:r w:rsidR="0007011E">
        <w:rPr>
          <w:rFonts w:eastAsia="Times New Roman" w:cs="Times New Roman"/>
          <w:szCs w:val="24"/>
        </w:rPr>
        <w:t>é</w:t>
      </w:r>
      <w:r w:rsidRPr="00D723E9">
        <w:rPr>
          <w:rFonts w:eastAsia="Times New Roman" w:cs="Times New Roman"/>
          <w:szCs w:val="24"/>
        </w:rPr>
        <w:t xml:space="preserve"> trat</w:t>
      </w:r>
      <w:r w:rsidR="00A84224">
        <w:rPr>
          <w:rFonts w:eastAsia="Times New Roman" w:cs="Times New Roman"/>
          <w:szCs w:val="24"/>
        </w:rPr>
        <w:t>e</w:t>
      </w:r>
      <w:r w:rsidR="0007011E">
        <w:rPr>
          <w:rFonts w:eastAsia="Times New Roman" w:cs="Times New Roman"/>
          <w:szCs w:val="24"/>
        </w:rPr>
        <w:t>,</w:t>
      </w:r>
      <w:r w:rsidR="00F175E7">
        <w:rPr>
          <w:rFonts w:eastAsia="Times New Roman" w:cs="Times New Roman"/>
          <w:szCs w:val="24"/>
        </w:rPr>
        <w:t xml:space="preserve"> pozemky štátu v ochranných pásmach železničných tratí i ďalšie vhodné pozemky štátu či samospráv</w:t>
      </w:r>
      <w:r w:rsidRPr="00D723E9">
        <w:rPr>
          <w:rFonts w:eastAsia="Times New Roman" w:cs="Times New Roman"/>
          <w:szCs w:val="24"/>
        </w:rPr>
        <w:t xml:space="preserve">, kde je možné </w:t>
      </w:r>
      <w:r w:rsidR="00F175E7">
        <w:rPr>
          <w:rFonts w:eastAsia="Times New Roman" w:cs="Times New Roman"/>
          <w:szCs w:val="24"/>
        </w:rPr>
        <w:t>a účelné cyklistickú komunikáciu zriadiť</w:t>
      </w:r>
      <w:r w:rsidRPr="00D723E9">
        <w:rPr>
          <w:rFonts w:eastAsia="Times New Roman" w:cs="Times New Roman"/>
          <w:szCs w:val="24"/>
        </w:rPr>
        <w:t>. Rovnako je dôležité myslieť na doplnkovú cyklistickú infraštruktúru pri budovaní nákupných centier, priemyselných zón, staníc a</w:t>
      </w:r>
      <w:r w:rsidR="006975AB">
        <w:rPr>
          <w:rFonts w:eastAsia="Times New Roman" w:cs="Times New Roman"/>
          <w:szCs w:val="24"/>
        </w:rPr>
        <w:t> </w:t>
      </w:r>
      <w:r w:rsidRPr="00D723E9">
        <w:rPr>
          <w:rFonts w:eastAsia="Times New Roman" w:cs="Times New Roman"/>
          <w:szCs w:val="24"/>
        </w:rPr>
        <w:t>zastávok verejnej osobnej dopravy</w:t>
      </w:r>
      <w:r w:rsidR="00F175E7">
        <w:rPr>
          <w:rFonts w:eastAsia="Times New Roman" w:cs="Times New Roman"/>
          <w:szCs w:val="24"/>
        </w:rPr>
        <w:t>, optimálne aj obytných komplexov</w:t>
      </w:r>
      <w:r w:rsidRPr="00D723E9">
        <w:rPr>
          <w:rFonts w:eastAsia="Times New Roman" w:cs="Times New Roman"/>
          <w:szCs w:val="24"/>
        </w:rPr>
        <w:t xml:space="preserve">. Budovanie vhodnej cykloturistickej a </w:t>
      </w:r>
      <w:r w:rsidRPr="00D723E9">
        <w:rPr>
          <w:rFonts w:eastAsia="Times New Roman" w:cs="Times New Roman"/>
          <w:szCs w:val="24"/>
        </w:rPr>
        <w:lastRenderedPageBreak/>
        <w:t>doplnkovej infraštruktúry o</w:t>
      </w:r>
      <w:r w:rsidR="00F175E7">
        <w:rPr>
          <w:rFonts w:eastAsia="Times New Roman" w:cs="Times New Roman"/>
          <w:szCs w:val="24"/>
        </w:rPr>
        <w:t xml:space="preserve">krem iného </w:t>
      </w:r>
      <w:r w:rsidRPr="00D723E9">
        <w:rPr>
          <w:rFonts w:eastAsia="Times New Roman" w:cs="Times New Roman"/>
          <w:szCs w:val="24"/>
        </w:rPr>
        <w:t xml:space="preserve">pomôže rozvoju cestovného ruchu. Napríklad budovanie </w:t>
      </w:r>
      <w:proofErr w:type="spellStart"/>
      <w:r w:rsidRPr="00D723E9">
        <w:rPr>
          <w:rFonts w:eastAsia="Times New Roman" w:cs="Times New Roman"/>
          <w:szCs w:val="24"/>
        </w:rPr>
        <w:t>bike-parkov</w:t>
      </w:r>
      <w:proofErr w:type="spellEnd"/>
      <w:r w:rsidRPr="00D723E9">
        <w:rPr>
          <w:rFonts w:eastAsia="Times New Roman" w:cs="Times New Roman"/>
          <w:szCs w:val="24"/>
        </w:rPr>
        <w:t xml:space="preserve"> v</w:t>
      </w:r>
      <w:r w:rsidR="006975AB">
        <w:rPr>
          <w:rFonts w:eastAsia="Times New Roman" w:cs="Times New Roman"/>
          <w:szCs w:val="24"/>
        </w:rPr>
        <w:t> </w:t>
      </w:r>
      <w:r w:rsidRPr="00D723E9">
        <w:rPr>
          <w:rFonts w:eastAsia="Times New Roman" w:cs="Times New Roman"/>
          <w:szCs w:val="24"/>
        </w:rPr>
        <w:t>lyžiarskych strediskách umožní ich využívanie počas celého roka.</w:t>
      </w:r>
    </w:p>
    <w:p w:rsidR="00590536" w:rsidRPr="005133B5" w:rsidRDefault="009008C2"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Hlavná cyklistická infraštruktúra</w:t>
      </w:r>
    </w:p>
    <w:p w:rsidR="00590536" w:rsidRDefault="004C26D2" w:rsidP="00590536">
      <w:pPr>
        <w:pStyle w:val="Normaltext"/>
        <w:ind w:left="357"/>
        <w:rPr>
          <w:rFonts w:ascii="Times New Roman" w:hAnsi="Times New Roman"/>
          <w:sz w:val="24"/>
          <w:szCs w:val="24"/>
        </w:rPr>
      </w:pPr>
      <w:r>
        <w:rPr>
          <w:rFonts w:ascii="Times New Roman" w:hAnsi="Times New Roman"/>
          <w:sz w:val="24"/>
          <w:szCs w:val="24"/>
        </w:rPr>
        <w:t>V prvom rade je potrebné zabezpečiť podmienky</w:t>
      </w:r>
      <w:r w:rsidRPr="004C26D2">
        <w:t xml:space="preserve"> </w:t>
      </w:r>
      <w:r w:rsidR="00F175E7">
        <w:t>na</w:t>
      </w:r>
      <w:r w:rsidRPr="004C26D2">
        <w:rPr>
          <w:rFonts w:ascii="Times New Roman" w:hAnsi="Times New Roman"/>
          <w:sz w:val="24"/>
          <w:szCs w:val="24"/>
        </w:rPr>
        <w:t xml:space="preserve"> tvor</w:t>
      </w:r>
      <w:r>
        <w:rPr>
          <w:rFonts w:ascii="Times New Roman" w:hAnsi="Times New Roman"/>
          <w:sz w:val="24"/>
          <w:szCs w:val="24"/>
        </w:rPr>
        <w:t>bu a aktualizáciu plánovacích a </w:t>
      </w:r>
      <w:r w:rsidRPr="004C26D2">
        <w:rPr>
          <w:rFonts w:ascii="Times New Roman" w:hAnsi="Times New Roman"/>
          <w:sz w:val="24"/>
          <w:szCs w:val="24"/>
        </w:rPr>
        <w:t>strategických dokumentov integrujúcich cyklistickú d</w:t>
      </w:r>
      <w:r>
        <w:rPr>
          <w:rFonts w:ascii="Times New Roman" w:hAnsi="Times New Roman"/>
          <w:sz w:val="24"/>
          <w:szCs w:val="24"/>
        </w:rPr>
        <w:t xml:space="preserve">opravu a zabezpečujúcich trvalo </w:t>
      </w:r>
      <w:r w:rsidRPr="004C26D2">
        <w:rPr>
          <w:rFonts w:ascii="Times New Roman" w:hAnsi="Times New Roman"/>
          <w:sz w:val="24"/>
          <w:szCs w:val="24"/>
        </w:rPr>
        <w:t>udržateľnú mestskú mobilitu na regionálnej a lokálnej úrovni</w:t>
      </w:r>
      <w:r>
        <w:rPr>
          <w:rFonts w:ascii="Times New Roman" w:hAnsi="Times New Roman"/>
          <w:sz w:val="24"/>
          <w:szCs w:val="24"/>
        </w:rPr>
        <w:t xml:space="preserve">. Pri budovaní </w:t>
      </w:r>
      <w:r w:rsidR="00BB536E">
        <w:rPr>
          <w:rFonts w:ascii="Times New Roman" w:hAnsi="Times New Roman"/>
          <w:sz w:val="24"/>
          <w:szCs w:val="24"/>
        </w:rPr>
        <w:t xml:space="preserve">cyklistických cestičiek </w:t>
      </w:r>
      <w:r>
        <w:rPr>
          <w:rFonts w:ascii="Times New Roman" w:hAnsi="Times New Roman"/>
          <w:sz w:val="24"/>
          <w:szCs w:val="24"/>
        </w:rPr>
        <w:t>je možné podporiť vznik nových trás</w:t>
      </w:r>
      <w:r w:rsidR="00B21C06">
        <w:rPr>
          <w:rFonts w:ascii="Times New Roman" w:hAnsi="Times New Roman"/>
          <w:sz w:val="24"/>
          <w:szCs w:val="24"/>
        </w:rPr>
        <w:t>,</w:t>
      </w:r>
      <w:r>
        <w:rPr>
          <w:rFonts w:ascii="Times New Roman" w:hAnsi="Times New Roman"/>
          <w:sz w:val="24"/>
          <w:szCs w:val="24"/>
        </w:rPr>
        <w:t xml:space="preserve"> napríklad lepším využívaním existujúcej infraštruktúry </w:t>
      </w:r>
      <w:r w:rsidR="00BB536E">
        <w:rPr>
          <w:rFonts w:ascii="Times New Roman" w:hAnsi="Times New Roman"/>
          <w:sz w:val="24"/>
          <w:szCs w:val="24"/>
        </w:rPr>
        <w:t>(</w:t>
      </w:r>
      <w:r>
        <w:rPr>
          <w:rFonts w:ascii="Times New Roman" w:hAnsi="Times New Roman"/>
          <w:sz w:val="24"/>
          <w:szCs w:val="24"/>
        </w:rPr>
        <w:t>účelové komunikácie, lesné cesty, hrádze</w:t>
      </w:r>
      <w:r w:rsidR="00B21C06">
        <w:rPr>
          <w:rFonts w:ascii="Times New Roman" w:hAnsi="Times New Roman"/>
          <w:sz w:val="24"/>
          <w:szCs w:val="24"/>
        </w:rPr>
        <w:t xml:space="preserve"> vodných tokov, železničné trate, na ktorých bola zastavená prevádzka, viď opatrenie č. 2.1.4</w:t>
      </w:r>
      <w:r w:rsidR="00BB536E">
        <w:rPr>
          <w:rFonts w:ascii="Times New Roman" w:hAnsi="Times New Roman"/>
          <w:sz w:val="24"/>
          <w:szCs w:val="24"/>
        </w:rPr>
        <w:t xml:space="preserve">), ale </w:t>
      </w:r>
      <w:r w:rsidR="00657C8A">
        <w:rPr>
          <w:rFonts w:ascii="Times New Roman" w:hAnsi="Times New Roman"/>
          <w:sz w:val="24"/>
          <w:szCs w:val="24"/>
        </w:rPr>
        <w:t>aj</w:t>
      </w:r>
      <w:r w:rsidR="00BB536E">
        <w:rPr>
          <w:rFonts w:ascii="Times New Roman" w:hAnsi="Times New Roman"/>
          <w:sz w:val="24"/>
          <w:szCs w:val="24"/>
        </w:rPr>
        <w:t xml:space="preserve"> zmenou </w:t>
      </w:r>
      <w:r>
        <w:rPr>
          <w:rFonts w:ascii="Times New Roman" w:hAnsi="Times New Roman"/>
          <w:sz w:val="24"/>
          <w:szCs w:val="24"/>
        </w:rPr>
        <w:t xml:space="preserve">využitia časti cestnej infraštruktúry miest </w:t>
      </w:r>
      <w:r w:rsidR="00BB536E">
        <w:rPr>
          <w:rFonts w:ascii="Times New Roman" w:hAnsi="Times New Roman"/>
          <w:sz w:val="24"/>
          <w:szCs w:val="24"/>
        </w:rPr>
        <w:t xml:space="preserve">a obcí </w:t>
      </w:r>
      <w:r>
        <w:rPr>
          <w:rFonts w:ascii="Times New Roman" w:hAnsi="Times New Roman"/>
          <w:sz w:val="24"/>
          <w:szCs w:val="24"/>
        </w:rPr>
        <w:t>aplikáciou prvkov upokojenia či segregáciou cyklistickej a automobilovej dopravy na zaťaženejších úsekoch.</w:t>
      </w:r>
    </w:p>
    <w:p w:rsidR="00590536" w:rsidRPr="005133B5" w:rsidRDefault="00C81736"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 xml:space="preserve">Doplnková </w:t>
      </w:r>
      <w:r w:rsidR="00EC6BE6" w:rsidRPr="005133B5">
        <w:rPr>
          <w:rFonts w:cs="Times New Roman"/>
          <w:b/>
          <w:sz w:val="28"/>
        </w:rPr>
        <w:t>cykl</w:t>
      </w:r>
      <w:r w:rsidR="00577928">
        <w:rPr>
          <w:rFonts w:cs="Times New Roman"/>
          <w:b/>
          <w:sz w:val="28"/>
        </w:rPr>
        <w:t xml:space="preserve">istická </w:t>
      </w:r>
      <w:r w:rsidRPr="005133B5">
        <w:rPr>
          <w:rFonts w:cs="Times New Roman"/>
          <w:b/>
          <w:sz w:val="28"/>
        </w:rPr>
        <w:t>infraštruktúra</w:t>
      </w:r>
    </w:p>
    <w:p w:rsidR="00C81736" w:rsidRDefault="00C81736" w:rsidP="00D723E9">
      <w:pPr>
        <w:pStyle w:val="Normaltext"/>
        <w:ind w:left="360"/>
        <w:rPr>
          <w:rFonts w:ascii="Times New Roman" w:hAnsi="Times New Roman"/>
          <w:sz w:val="24"/>
          <w:szCs w:val="24"/>
        </w:rPr>
      </w:pPr>
      <w:r w:rsidRPr="001C40EF">
        <w:rPr>
          <w:rFonts w:ascii="Times New Roman" w:hAnsi="Times New Roman"/>
          <w:sz w:val="24"/>
          <w:szCs w:val="24"/>
        </w:rPr>
        <w:t>Pre podporu cyklistiky je popri vybudovaní cyklotrás veľmi dôležitá aj doplnková cyklistická infraštruktúra, ktorá umožní väčšej časti obyvateľstva intenzívnejšie využívanie bicykla. Tomu pomôže napr. zriaďovanie systémov verejných bicyklov či zriaďovanie požičovní bicyklov, kryté parkoviská či úschovne bicyklov na pracoviskách, pri obytných domoch či železničných a autobusových staniciach, možnosť uschovať bicykel v ubytovacích zariadeniach, stojany a parkoviská pre bicykle v centr</w:t>
      </w:r>
      <w:r w:rsidR="00496B8A">
        <w:rPr>
          <w:rFonts w:ascii="Times New Roman" w:hAnsi="Times New Roman"/>
          <w:sz w:val="24"/>
          <w:szCs w:val="24"/>
        </w:rPr>
        <w:t>ách</w:t>
      </w:r>
      <w:r w:rsidRPr="001C40EF">
        <w:rPr>
          <w:rFonts w:ascii="Times New Roman" w:hAnsi="Times New Roman"/>
          <w:sz w:val="24"/>
          <w:szCs w:val="24"/>
        </w:rPr>
        <w:t xml:space="preserve"> miest, pri obchodných centrách, obchodoch</w:t>
      </w:r>
      <w:r w:rsidR="00496B8A">
        <w:rPr>
          <w:rFonts w:ascii="Times New Roman" w:hAnsi="Times New Roman"/>
          <w:sz w:val="24"/>
          <w:szCs w:val="24"/>
        </w:rPr>
        <w:t>, prevádzkach služieb</w:t>
      </w:r>
      <w:r w:rsidRPr="001C40EF">
        <w:rPr>
          <w:rFonts w:ascii="Times New Roman" w:hAnsi="Times New Roman"/>
          <w:sz w:val="24"/>
          <w:szCs w:val="24"/>
        </w:rPr>
        <w:t xml:space="preserve"> a úradoch. Hlavne zvýšenie bezpečnosti odstavených bicyklov je jednou z najčastejších požiadaviek pravidelných cyklistov a podmienkou častejšieho používania bicykla u ostatnej verejnosti.</w:t>
      </w:r>
    </w:p>
    <w:p w:rsidR="00D43E43" w:rsidRPr="00496B8A" w:rsidRDefault="00D43E43" w:rsidP="00D723E9">
      <w:pPr>
        <w:pStyle w:val="Normaltext"/>
        <w:ind w:left="360"/>
        <w:rPr>
          <w:rFonts w:ascii="Times New Roman" w:hAnsi="Times New Roman"/>
          <w:sz w:val="24"/>
          <w:szCs w:val="24"/>
        </w:rPr>
      </w:pPr>
      <w:r w:rsidRPr="00496B8A">
        <w:rPr>
          <w:rFonts w:ascii="Times New Roman" w:hAnsi="Times New Roman"/>
          <w:sz w:val="24"/>
          <w:szCs w:val="24"/>
        </w:rPr>
        <w:t xml:space="preserve">Doplnková cykloturistická infraštruktúra znamená </w:t>
      </w:r>
      <w:r w:rsidR="00496B8A" w:rsidRPr="00496B8A">
        <w:rPr>
          <w:rFonts w:ascii="Times New Roman" w:hAnsi="Times New Roman"/>
          <w:sz w:val="24"/>
          <w:szCs w:val="24"/>
        </w:rPr>
        <w:t>tiež</w:t>
      </w:r>
      <w:r w:rsidRPr="00496B8A">
        <w:rPr>
          <w:rFonts w:ascii="Times New Roman" w:hAnsi="Times New Roman"/>
          <w:sz w:val="24"/>
          <w:szCs w:val="24"/>
        </w:rPr>
        <w:t xml:space="preserve"> zriaďovanie prístreškov a odpočinkových miest na cykloturistických trasách, ako aj stacionárnych informačných panelov s vyobrazením máp s príslušnými cyklotrasami. Takéto doplnky na cyklotrasách výrazne zvyšujú atraktivitu trasy a tým aj jej návštevnosť a význam pre cestovný ruch.</w:t>
      </w:r>
    </w:p>
    <w:p w:rsidR="00590536" w:rsidRPr="005133B5" w:rsidRDefault="00C021B7" w:rsidP="00341DE1">
      <w:pPr>
        <w:pStyle w:val="Odsekzoznamu"/>
        <w:keepNext/>
        <w:numPr>
          <w:ilvl w:val="0"/>
          <w:numId w:val="8"/>
        </w:numPr>
        <w:spacing w:before="240"/>
        <w:contextualSpacing w:val="0"/>
        <w:jc w:val="left"/>
        <w:rPr>
          <w:rFonts w:cs="Times New Roman"/>
          <w:b/>
          <w:sz w:val="32"/>
        </w:rPr>
      </w:pPr>
      <w:r w:rsidRPr="005133B5">
        <w:rPr>
          <w:rFonts w:cs="Times New Roman"/>
          <w:b/>
          <w:sz w:val="32"/>
        </w:rPr>
        <w:t>Zabezpečenie fin</w:t>
      </w:r>
      <w:r w:rsidR="00ED1831" w:rsidRPr="005133B5">
        <w:rPr>
          <w:rFonts w:cs="Times New Roman"/>
          <w:b/>
          <w:sz w:val="32"/>
        </w:rPr>
        <w:t xml:space="preserve">ancií </w:t>
      </w:r>
      <w:r w:rsidR="00E96A20">
        <w:rPr>
          <w:rFonts w:cs="Times New Roman"/>
          <w:b/>
          <w:sz w:val="32"/>
        </w:rPr>
        <w:t>pre</w:t>
      </w:r>
      <w:r w:rsidR="00E96A20" w:rsidRPr="005133B5">
        <w:rPr>
          <w:rFonts w:cs="Times New Roman"/>
          <w:b/>
          <w:sz w:val="32"/>
        </w:rPr>
        <w:t xml:space="preserve"> </w:t>
      </w:r>
      <w:r w:rsidR="00ED1831" w:rsidRPr="005133B5">
        <w:rPr>
          <w:rFonts w:cs="Times New Roman"/>
          <w:b/>
          <w:sz w:val="32"/>
        </w:rPr>
        <w:t xml:space="preserve">rozvoj </w:t>
      </w:r>
      <w:r w:rsidR="00E96A20">
        <w:rPr>
          <w:rFonts w:cs="Times New Roman"/>
          <w:b/>
          <w:sz w:val="32"/>
        </w:rPr>
        <w:t xml:space="preserve">cyklistickej a cykloturistickej </w:t>
      </w:r>
      <w:r w:rsidRPr="005133B5">
        <w:rPr>
          <w:rFonts w:cs="Times New Roman"/>
          <w:b/>
          <w:sz w:val="32"/>
        </w:rPr>
        <w:t>infraštruktúry</w:t>
      </w:r>
      <w:r w:rsidR="00496B8A" w:rsidRPr="005133B5">
        <w:rPr>
          <w:rFonts w:cs="Times New Roman"/>
          <w:b/>
          <w:sz w:val="32"/>
        </w:rPr>
        <w:t xml:space="preserve"> </w:t>
      </w:r>
    </w:p>
    <w:p w:rsidR="00C021B7" w:rsidRPr="00D723E9" w:rsidRDefault="00496B8A" w:rsidP="00D723E9">
      <w:r>
        <w:t xml:space="preserve">Realizácia Národnej </w:t>
      </w:r>
      <w:proofErr w:type="spellStart"/>
      <w:r>
        <w:t>cyklostratégie</w:t>
      </w:r>
      <w:proofErr w:type="spellEnd"/>
      <w:r w:rsidR="00C021B7" w:rsidRPr="00D723E9">
        <w:t xml:space="preserve"> je podmienená vyčlenením </w:t>
      </w:r>
      <w:r>
        <w:t>nevyhnutných zdrojov na</w:t>
      </w:r>
      <w:r w:rsidR="00C021B7" w:rsidRPr="00D723E9">
        <w:t xml:space="preserve"> všetkých úrovniach verejnej správy. Cieľom nasledovných opatrení je združovať a</w:t>
      </w:r>
      <w:r w:rsidR="0031655A">
        <w:t> </w:t>
      </w:r>
      <w:r w:rsidR="00C021B7" w:rsidRPr="00D723E9">
        <w:t>získavať finančné prostriedky na realizáciu projektov, a to ako v podobe programov EÚ a</w:t>
      </w:r>
      <w:r w:rsidR="0031655A">
        <w:t> </w:t>
      </w:r>
      <w:r w:rsidR="00C021B7" w:rsidRPr="00D723E9">
        <w:t>štrukturálnych fondov E</w:t>
      </w:r>
      <w:r w:rsidR="000F508D">
        <w:t>Ú</w:t>
      </w:r>
      <w:r w:rsidR="00C021B7" w:rsidRPr="00D723E9">
        <w:t>, tak aj finančnej podpory štátu prostredníctvom jednotlivých ministerstiev, krajských samospráv, rozpočtov miest a obcí, ale aj súkromnej sféry, či ďalších grantových schém. Nevyhnutné je uvedomiť si, že väčšina dotácií a príspevkov si bude vyžadovať finančnú spoluúčasť žiadateľa, čo je jedným z európskych dotačných princípov. To zabezpečuje zároveň väčšiu zainteresovanosť žiadateľa.</w:t>
      </w:r>
    </w:p>
    <w:p w:rsidR="00590536" w:rsidRPr="005133B5" w:rsidRDefault="00C021B7"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 xml:space="preserve">Vytvorenie trvalého finančného mechanizmu na implementáciu </w:t>
      </w:r>
      <w:proofErr w:type="spellStart"/>
      <w:r w:rsidR="00E96A20">
        <w:rPr>
          <w:rFonts w:cs="Times New Roman"/>
          <w:b/>
          <w:sz w:val="28"/>
        </w:rPr>
        <w:t>C</w:t>
      </w:r>
      <w:r w:rsidR="00E96A20" w:rsidRPr="005133B5">
        <w:rPr>
          <w:rFonts w:cs="Times New Roman"/>
          <w:b/>
          <w:sz w:val="28"/>
        </w:rPr>
        <w:t>yklostratégie</w:t>
      </w:r>
      <w:proofErr w:type="spellEnd"/>
    </w:p>
    <w:p w:rsidR="00AE46E0" w:rsidRDefault="000F508D" w:rsidP="00AE46E0">
      <w:pPr>
        <w:ind w:left="284"/>
        <w:rPr>
          <w:color w:val="FF0000"/>
        </w:rPr>
      </w:pPr>
      <w:r>
        <w:t>Vytvorenie trvalého finančného mechanizmu si vyžaduje</w:t>
      </w:r>
      <w:r w:rsidR="00C021B7" w:rsidRPr="00D723E9">
        <w:t xml:space="preserve"> vyčlenenie </w:t>
      </w:r>
      <w:r w:rsidR="00EC6BE6">
        <w:t xml:space="preserve">trvalého objemu finančných prostriedkov </w:t>
      </w:r>
      <w:r w:rsidR="00EC6BE6" w:rsidRPr="00D723E9">
        <w:t xml:space="preserve">na budovanie </w:t>
      </w:r>
      <w:r w:rsidR="00EC6BE6">
        <w:t xml:space="preserve">a údržbu </w:t>
      </w:r>
      <w:r w:rsidR="00EC6BE6" w:rsidRPr="00D723E9">
        <w:t>cyklistickej infraštruktúry</w:t>
      </w:r>
      <w:r w:rsidR="00EC6BE6">
        <w:t xml:space="preserve"> zo štátneho rozpočtu</w:t>
      </w:r>
      <w:r w:rsidR="00C021B7" w:rsidRPr="00D723E9">
        <w:t xml:space="preserve">, </w:t>
      </w:r>
      <w:r w:rsidR="00EC6BE6">
        <w:t xml:space="preserve">rozpočtov </w:t>
      </w:r>
      <w:r w:rsidR="00C021B7" w:rsidRPr="00D723E9">
        <w:t xml:space="preserve">samosprávnych </w:t>
      </w:r>
      <w:r w:rsidR="00C021B7" w:rsidRPr="001139F8">
        <w:t>krajov, miest a obcí.</w:t>
      </w:r>
      <w:r w:rsidR="00FC27CB" w:rsidRPr="001139F8">
        <w:t xml:space="preserve"> </w:t>
      </w:r>
      <w:r w:rsidR="00AE46E0" w:rsidRPr="001139F8">
        <w:t xml:space="preserve">Ako príklad možno uviesť návrh financovania cyklistickej infraštruktúry v novej nemeckej národnej </w:t>
      </w:r>
      <w:proofErr w:type="spellStart"/>
      <w:r w:rsidR="00AE46E0" w:rsidRPr="001139F8">
        <w:t>cyklostratégii</w:t>
      </w:r>
      <w:proofErr w:type="spellEnd"/>
      <w:r w:rsidR="00AE46E0" w:rsidRPr="001139F8">
        <w:t xml:space="preserve"> na roky 2013 – 2020. V tomto dokumente je stanovený predpoklad potreby finančných </w:t>
      </w:r>
      <w:r w:rsidR="00AE46E0" w:rsidRPr="001139F8">
        <w:lastRenderedPageBreak/>
        <w:t xml:space="preserve">prostriedkov pre mestá a obce (v závislosti od ich veľkosti) </w:t>
      </w:r>
      <w:r w:rsidR="00FC0FE7" w:rsidRPr="001139F8">
        <w:t>na</w:t>
      </w:r>
      <w:r w:rsidR="00AE46E0" w:rsidRPr="001139F8">
        <w:t xml:space="preserve"> novú výstavbu, údržbu a prevádzku cyklistickej infraštruktúry </w:t>
      </w:r>
      <w:r w:rsidR="0007616D">
        <w:t xml:space="preserve">vo výške </w:t>
      </w:r>
      <w:r w:rsidR="00AE46E0" w:rsidRPr="001139F8">
        <w:t xml:space="preserve">6 </w:t>
      </w:r>
      <w:r w:rsidR="0007616D">
        <w:t xml:space="preserve">až </w:t>
      </w:r>
      <w:r w:rsidR="00AE46E0" w:rsidRPr="001139F8">
        <w:t xml:space="preserve">15 </w:t>
      </w:r>
      <w:r w:rsidR="00FC0FE7" w:rsidRPr="001139F8">
        <w:t xml:space="preserve">€ na </w:t>
      </w:r>
      <w:r w:rsidR="00AE46E0" w:rsidRPr="001139F8">
        <w:t>obyvateľa/rok</w:t>
      </w:r>
      <w:r w:rsidR="001139F8" w:rsidRPr="001139F8">
        <w:t>.</w:t>
      </w:r>
    </w:p>
    <w:p w:rsidR="00590536" w:rsidRPr="005133B5" w:rsidRDefault="00F65A8F" w:rsidP="005133B5">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Nastavenie Programovacieho obdobia ŠF EÚ 2014 – 2020 na čerpanie financií pre rozvoj cyklistickej a cykloturistickej infraštruktúry</w:t>
      </w:r>
    </w:p>
    <w:p w:rsidR="00FC2F08" w:rsidRPr="0060643B" w:rsidRDefault="00786DFC" w:rsidP="001139F8">
      <w:pPr>
        <w:tabs>
          <w:tab w:val="num" w:pos="284"/>
        </w:tabs>
        <w:ind w:left="284"/>
        <w:rPr>
          <w:rFonts w:eastAsia="Times New Roman" w:cs="Times New Roman"/>
          <w:szCs w:val="24"/>
        </w:rPr>
      </w:pPr>
      <w:r w:rsidRPr="0060643B">
        <w:rPr>
          <w:rFonts w:eastAsia="Times New Roman" w:cs="Times New Roman"/>
          <w:szCs w:val="24"/>
        </w:rPr>
        <w:t>Na</w:t>
      </w:r>
      <w:r w:rsidR="00A17591" w:rsidRPr="0060643B">
        <w:rPr>
          <w:rFonts w:eastAsia="Times New Roman" w:cs="Times New Roman"/>
          <w:szCs w:val="24"/>
        </w:rPr>
        <w:t xml:space="preserve"> rozvoj cyklistickej dopravy a cykloturistiky je </w:t>
      </w:r>
      <w:r w:rsidRPr="0060643B">
        <w:rPr>
          <w:rFonts w:eastAsia="Times New Roman" w:cs="Times New Roman"/>
          <w:szCs w:val="24"/>
        </w:rPr>
        <w:t>vhodné</w:t>
      </w:r>
      <w:r w:rsidR="00A17591" w:rsidRPr="0060643B">
        <w:rPr>
          <w:rFonts w:eastAsia="Times New Roman" w:cs="Times New Roman"/>
          <w:szCs w:val="24"/>
        </w:rPr>
        <w:t xml:space="preserve"> využiť aj nenávratnú finančnú pomoc zo štrukturálnych fondov </w:t>
      </w:r>
      <w:r w:rsidRPr="0060643B">
        <w:rPr>
          <w:rFonts w:eastAsia="Times New Roman" w:cs="Times New Roman"/>
          <w:szCs w:val="24"/>
        </w:rPr>
        <w:t xml:space="preserve">EÚ </w:t>
      </w:r>
      <w:r w:rsidR="00A17591" w:rsidRPr="0060643B">
        <w:rPr>
          <w:rFonts w:eastAsia="Times New Roman" w:cs="Times New Roman"/>
          <w:szCs w:val="24"/>
        </w:rPr>
        <w:t>v rámci nového programového obdobia 2014 – 2020</w:t>
      </w:r>
      <w:r w:rsidRPr="0060643B">
        <w:rPr>
          <w:rFonts w:eastAsia="Times New Roman" w:cs="Times New Roman"/>
          <w:szCs w:val="24"/>
        </w:rPr>
        <w:t xml:space="preserve">. Medzi cieľmi EK na toto obdobie je aj </w:t>
      </w:r>
      <w:r w:rsidR="00A17591" w:rsidRPr="0060643B">
        <w:rPr>
          <w:rFonts w:eastAsia="Times New Roman" w:cs="Times New Roman"/>
          <w:szCs w:val="24"/>
        </w:rPr>
        <w:t>podpor</w:t>
      </w:r>
      <w:r w:rsidRPr="0060643B">
        <w:rPr>
          <w:rFonts w:eastAsia="Times New Roman" w:cs="Times New Roman"/>
          <w:szCs w:val="24"/>
        </w:rPr>
        <w:t xml:space="preserve">a trvalo udržateľného rozvoja </w:t>
      </w:r>
      <w:r w:rsidR="00A17591" w:rsidRPr="0060643B">
        <w:rPr>
          <w:rFonts w:eastAsia="Times New Roman" w:cs="Times New Roman"/>
          <w:szCs w:val="24"/>
        </w:rPr>
        <w:t>mobility</w:t>
      </w:r>
      <w:r w:rsidRPr="0060643B">
        <w:rPr>
          <w:rFonts w:eastAsia="Times New Roman" w:cs="Times New Roman"/>
          <w:szCs w:val="24"/>
        </w:rPr>
        <w:t xml:space="preserve"> v</w:t>
      </w:r>
      <w:r w:rsidR="00FC2F08" w:rsidRPr="0060643B">
        <w:rPr>
          <w:rFonts w:eastAsia="Times New Roman" w:cs="Times New Roman"/>
          <w:szCs w:val="24"/>
        </w:rPr>
        <w:t> urbanizovaných územiach</w:t>
      </w:r>
      <w:r w:rsidRPr="0060643B">
        <w:rPr>
          <w:rFonts w:eastAsia="Times New Roman" w:cs="Times New Roman"/>
          <w:szCs w:val="24"/>
        </w:rPr>
        <w:t>, čo vytvára predpoklady na krytie rozhodujúcej časti finančných potrieb súvisiacich s rozvojom infraštruktúry pre cyklistickú dopravu a</w:t>
      </w:r>
      <w:r w:rsidR="00FC2F08" w:rsidRPr="0060643B">
        <w:rPr>
          <w:rFonts w:eastAsia="Times New Roman" w:cs="Times New Roman"/>
          <w:szCs w:val="24"/>
        </w:rPr>
        <w:t> možnosti jej kombinovaného využívania s verejnou osobnou dopravou</w:t>
      </w:r>
      <w:r w:rsidR="00A17591" w:rsidRPr="0060643B">
        <w:rPr>
          <w:rFonts w:eastAsia="Times New Roman" w:cs="Times New Roman"/>
          <w:szCs w:val="24"/>
        </w:rPr>
        <w:t xml:space="preserve">. </w:t>
      </w:r>
    </w:p>
    <w:p w:rsidR="00FC2F08" w:rsidRPr="0060643B" w:rsidRDefault="00FC2F08" w:rsidP="001139F8">
      <w:pPr>
        <w:tabs>
          <w:tab w:val="num" w:pos="284"/>
        </w:tabs>
        <w:ind w:left="284"/>
        <w:rPr>
          <w:rFonts w:eastAsia="Times New Roman" w:cs="Times New Roman"/>
          <w:szCs w:val="24"/>
        </w:rPr>
      </w:pPr>
      <w:r w:rsidRPr="0060643B">
        <w:rPr>
          <w:rFonts w:eastAsia="Times New Roman" w:cs="Times New Roman"/>
          <w:szCs w:val="24"/>
        </w:rPr>
        <w:t>Zároveň možn</w:t>
      </w:r>
      <w:r w:rsidR="00522F52" w:rsidRPr="0060643B">
        <w:rPr>
          <w:rFonts w:eastAsia="Times New Roman" w:cs="Times New Roman"/>
          <w:szCs w:val="24"/>
        </w:rPr>
        <w:t>o</w:t>
      </w:r>
      <w:r w:rsidRPr="0060643B">
        <w:rPr>
          <w:rFonts w:eastAsia="Times New Roman" w:cs="Times New Roman"/>
          <w:szCs w:val="24"/>
        </w:rPr>
        <w:t xml:space="preserve"> uvažovať s podporou rozvoja cykloturistickej infraštruktúry v rámci iných cieľov EK, ktorými sú zvyšovanie konkurencieschopnosti malých stredných podnikov, ako aj podpora zamestnanosti. Investície do cyklotrás</w:t>
      </w:r>
      <w:r w:rsidR="0007778E" w:rsidRPr="0060643B">
        <w:rPr>
          <w:rFonts w:eastAsia="Times New Roman" w:cs="Times New Roman"/>
          <w:szCs w:val="24"/>
        </w:rPr>
        <w:t xml:space="preserve"> a doplnkovej infraštruktúry</w:t>
      </w:r>
      <w:r w:rsidRPr="0060643B">
        <w:rPr>
          <w:rFonts w:eastAsia="Times New Roman" w:cs="Times New Roman"/>
          <w:szCs w:val="24"/>
        </w:rPr>
        <w:t xml:space="preserve"> </w:t>
      </w:r>
      <w:r w:rsidR="00522F52" w:rsidRPr="0060643B">
        <w:rPr>
          <w:rFonts w:eastAsia="Times New Roman" w:cs="Times New Roman"/>
          <w:szCs w:val="24"/>
        </w:rPr>
        <w:t xml:space="preserve">by </w:t>
      </w:r>
      <w:r w:rsidRPr="0060643B">
        <w:rPr>
          <w:rFonts w:eastAsia="Times New Roman" w:cs="Times New Roman"/>
          <w:szCs w:val="24"/>
        </w:rPr>
        <w:t>zvyšovali atraktivitu a konkurencieschopnosť väčšiny zariadení cestovného ruchu v príslušnom regióne a prispievali tak k tvorbe pracovných miest, obzvlášť vo vidieckych oblastiach.</w:t>
      </w:r>
    </w:p>
    <w:p w:rsidR="00A17591" w:rsidRPr="0060643B" w:rsidRDefault="00A17591" w:rsidP="001139F8">
      <w:pPr>
        <w:tabs>
          <w:tab w:val="num" w:pos="284"/>
        </w:tabs>
        <w:ind w:left="284"/>
        <w:rPr>
          <w:rFonts w:eastAsia="Times New Roman" w:cs="Times New Roman"/>
          <w:szCs w:val="24"/>
        </w:rPr>
      </w:pPr>
      <w:r w:rsidRPr="0060643B">
        <w:rPr>
          <w:rFonts w:eastAsia="Times New Roman" w:cs="Times New Roman"/>
          <w:szCs w:val="24"/>
        </w:rPr>
        <w:t>Do návrhu zoznamu hlavných aktivít, ktoré by mali byť financované zo štrukturálnych fondov a Kohézneho fondu EÚ v programovom období 2014 – 2020</w:t>
      </w:r>
      <w:r w:rsidR="0007778E" w:rsidRPr="0060643B">
        <w:rPr>
          <w:rFonts w:eastAsia="Times New Roman" w:cs="Times New Roman"/>
          <w:szCs w:val="24"/>
        </w:rPr>
        <w:t>, preto MDVRR SR</w:t>
      </w:r>
      <w:r w:rsidRPr="0060643B">
        <w:rPr>
          <w:rFonts w:eastAsia="Times New Roman" w:cs="Times New Roman"/>
          <w:szCs w:val="24"/>
        </w:rPr>
        <w:t xml:space="preserve"> zahrnul</w:t>
      </w:r>
      <w:r w:rsidR="0007778E" w:rsidRPr="0060643B">
        <w:rPr>
          <w:rFonts w:eastAsia="Times New Roman" w:cs="Times New Roman"/>
          <w:szCs w:val="24"/>
        </w:rPr>
        <w:t>o aj tieto aktivity</w:t>
      </w:r>
      <w:r w:rsidRPr="0060643B">
        <w:rPr>
          <w:rFonts w:eastAsia="Times New Roman" w:cs="Times New Roman"/>
          <w:szCs w:val="24"/>
        </w:rPr>
        <w:t>:</w:t>
      </w:r>
    </w:p>
    <w:p w:rsidR="00A17591" w:rsidRPr="0060643B" w:rsidRDefault="00A17591" w:rsidP="0007778E">
      <w:pPr>
        <w:pStyle w:val="Odsekzoznamu"/>
        <w:numPr>
          <w:ilvl w:val="0"/>
          <w:numId w:val="28"/>
        </w:numPr>
      </w:pPr>
      <w:r w:rsidRPr="0060643B">
        <w:t>Podpora budovania cyklistických komunikácií a doplnkovej infraštruktúry stimulujúcej k širšiemu využívaniu nemotorovej dopravy v urbanizovaných územiach.</w:t>
      </w:r>
    </w:p>
    <w:p w:rsidR="00A17591" w:rsidRPr="0060643B" w:rsidRDefault="00A17591" w:rsidP="0007778E">
      <w:pPr>
        <w:pStyle w:val="Odsekzoznamu"/>
        <w:numPr>
          <w:ilvl w:val="0"/>
          <w:numId w:val="28"/>
        </w:numPr>
      </w:pPr>
      <w:r w:rsidRPr="0060643B">
        <w:t>Podpora budovania infraštruktúry pre cykloturistiku s potenciálom rozvoja zamestnanosti v nadväzujúcich službách cestovného ruchu.</w:t>
      </w:r>
    </w:p>
    <w:p w:rsidR="00A17591" w:rsidRPr="0060643B" w:rsidRDefault="00A17591" w:rsidP="0007778E">
      <w:pPr>
        <w:pStyle w:val="Odsekzoznamu"/>
        <w:numPr>
          <w:ilvl w:val="0"/>
          <w:numId w:val="28"/>
        </w:numPr>
      </w:pPr>
      <w:r w:rsidRPr="0060643B">
        <w:t xml:space="preserve">Podpora zabezpečovania </w:t>
      </w:r>
      <w:proofErr w:type="spellStart"/>
      <w:r w:rsidRPr="0060643B">
        <w:t>intermodality</w:t>
      </w:r>
      <w:proofErr w:type="spellEnd"/>
      <w:r w:rsidRPr="0060643B">
        <w:t xml:space="preserve"> (vzájomného prepojenia verejnej osobnej dopravy, individuálnej automobilovej dopravy a cyklistickej dopravy) v prestupných uzloch (záchytné parkoviská, prístrešky pre bicykle).</w:t>
      </w:r>
    </w:p>
    <w:p w:rsidR="00A17591" w:rsidRPr="0060643B" w:rsidRDefault="00A17591" w:rsidP="0007778E">
      <w:pPr>
        <w:pStyle w:val="Odsekzoznamu"/>
        <w:numPr>
          <w:ilvl w:val="0"/>
          <w:numId w:val="28"/>
        </w:numPr>
      </w:pPr>
      <w:r w:rsidRPr="0060643B">
        <w:t xml:space="preserve">Podpora osvety a zvyšovania bezpečnosti zraniteľných účastníkov cestnej premávky, budovanie a modernizácia dopravných ihrísk. </w:t>
      </w:r>
    </w:p>
    <w:p w:rsidR="00A17591" w:rsidRDefault="00A17591" w:rsidP="0007778E">
      <w:pPr>
        <w:pStyle w:val="Odsekzoznamu"/>
        <w:numPr>
          <w:ilvl w:val="0"/>
          <w:numId w:val="28"/>
        </w:numPr>
      </w:pPr>
      <w:r w:rsidRPr="0060643B">
        <w:t>Podpora výstavby prvkov a zón upokojenia dopravy, ako aj bezpečného oddelenia motorovej a nemotorovej dopravy najmä v intravilánoch a extravilánoch s dôrazom na komunikácie s vysokým podielom zraniteľných účastníkov premávky.</w:t>
      </w:r>
    </w:p>
    <w:p w:rsidR="00DF767A" w:rsidRPr="0060643B" w:rsidRDefault="00DF767A" w:rsidP="0007778E">
      <w:pPr>
        <w:pStyle w:val="Odsekzoznamu"/>
        <w:numPr>
          <w:ilvl w:val="0"/>
          <w:numId w:val="28"/>
        </w:numPr>
      </w:pPr>
      <w:r>
        <w:t xml:space="preserve">Podpora tvorby projektových dokumentácií a </w:t>
      </w:r>
      <w:proofErr w:type="spellStart"/>
      <w:r>
        <w:t>generelov</w:t>
      </w:r>
      <w:proofErr w:type="spellEnd"/>
      <w:r>
        <w:t xml:space="preserve"> pre cyklistickú dopravu.</w:t>
      </w:r>
    </w:p>
    <w:p w:rsidR="00590536" w:rsidRPr="005133B5" w:rsidRDefault="00F65A8F"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Spolufinancovanie pri stavbách verejnoprospešného charakteru</w:t>
      </w:r>
    </w:p>
    <w:p w:rsidR="00C021B7" w:rsidRDefault="00F43963" w:rsidP="00D723E9">
      <w:pPr>
        <w:ind w:left="360"/>
      </w:pPr>
      <w:r>
        <w:t xml:space="preserve">Z hľadiska výšky zdrojov na rozvoj </w:t>
      </w:r>
      <w:proofErr w:type="spellStart"/>
      <w:r w:rsidR="003C7C0D">
        <w:t>cykloinfraštruktúry</w:t>
      </w:r>
      <w:proofErr w:type="spellEnd"/>
      <w:r w:rsidR="003C7C0D">
        <w:t xml:space="preserve"> je úloha súkromných zdrojov skôr doplnková, pre harmonický rozvoj podmienok pre </w:t>
      </w:r>
      <w:proofErr w:type="spellStart"/>
      <w:r w:rsidR="003C7C0D">
        <w:t>cyklomobilitu</w:t>
      </w:r>
      <w:proofErr w:type="spellEnd"/>
      <w:r w:rsidR="003C7C0D">
        <w:t xml:space="preserve"> je však nemenej dôležitá. Ide napríklad o v</w:t>
      </w:r>
      <w:r w:rsidR="00F65A8F">
        <w:t xml:space="preserve">ytvorenie </w:t>
      </w:r>
      <w:r w:rsidR="00C021B7" w:rsidRPr="00D723E9">
        <w:t>tlak</w:t>
      </w:r>
      <w:r w:rsidR="00F65A8F">
        <w:t>u</w:t>
      </w:r>
      <w:r w:rsidR="00C021B7" w:rsidRPr="00D723E9">
        <w:t xml:space="preserve"> na investorov, aby v rámci stavieb verejnoprospešného charakteru budovali cyklistickú infraštruktúru z vlastných zdrojov, teda aby náklady na potrebnú cyklistickú infraštruktúru zahrnuli už do svojich projektových nákladov ako vynútené investície. </w:t>
      </w:r>
      <w:r w:rsidR="003C7C0D">
        <w:t>Hoci takéto snahy sa môžu spočiatku stretnúť s odporom, s rastúcim počtom zákazníkov preferujúcich prepravu bicyklom bude časom zrejmé</w:t>
      </w:r>
      <w:r w:rsidR="00C021B7" w:rsidRPr="00D723E9">
        <w:t xml:space="preserve">, že </w:t>
      </w:r>
      <w:r w:rsidR="003C7C0D">
        <w:t xml:space="preserve">vybudovanie </w:t>
      </w:r>
      <w:proofErr w:type="spellStart"/>
      <w:r w:rsidR="003C7C0D">
        <w:t>cykloinfraštruktúry</w:t>
      </w:r>
      <w:proofErr w:type="spellEnd"/>
      <w:r w:rsidR="003C7C0D">
        <w:t xml:space="preserve"> </w:t>
      </w:r>
      <w:r w:rsidR="00C021B7" w:rsidRPr="00D723E9">
        <w:t>zv</w:t>
      </w:r>
      <w:r w:rsidR="003C7C0D">
        <w:t>ýši</w:t>
      </w:r>
      <w:r w:rsidR="00C021B7" w:rsidRPr="00D723E9">
        <w:t xml:space="preserve"> atraktivitu nimi ponúkaných </w:t>
      </w:r>
      <w:r>
        <w:t xml:space="preserve">priestorov, resp. </w:t>
      </w:r>
      <w:r w:rsidR="00C021B7" w:rsidRPr="00D723E9">
        <w:t>služieb.</w:t>
      </w:r>
    </w:p>
    <w:p w:rsidR="00FC3ECC" w:rsidRDefault="00FC3ECC" w:rsidP="00D723E9">
      <w:pPr>
        <w:ind w:left="360"/>
      </w:pPr>
    </w:p>
    <w:p w:rsidR="00FC3ECC" w:rsidRDefault="00FC3ECC" w:rsidP="00D723E9">
      <w:pPr>
        <w:ind w:left="360"/>
      </w:pPr>
    </w:p>
    <w:p w:rsidR="00590536" w:rsidRPr="005133B5" w:rsidRDefault="00C021B7" w:rsidP="00341DE1">
      <w:pPr>
        <w:pStyle w:val="Odsekzoznamu"/>
        <w:numPr>
          <w:ilvl w:val="0"/>
          <w:numId w:val="8"/>
        </w:numPr>
        <w:spacing w:before="240"/>
        <w:contextualSpacing w:val="0"/>
        <w:jc w:val="left"/>
        <w:rPr>
          <w:rFonts w:cs="Times New Roman"/>
          <w:b/>
          <w:sz w:val="32"/>
        </w:rPr>
      </w:pPr>
      <w:r w:rsidRPr="005133B5">
        <w:rPr>
          <w:rFonts w:cs="Times New Roman"/>
          <w:b/>
          <w:sz w:val="32"/>
        </w:rPr>
        <w:lastRenderedPageBreak/>
        <w:t>Osveta, výskum a vzdelávanie</w:t>
      </w:r>
    </w:p>
    <w:p w:rsidR="00C021B7" w:rsidRPr="00D723E9" w:rsidRDefault="00C021B7" w:rsidP="00D723E9">
      <w:r w:rsidRPr="00D723E9">
        <w:t xml:space="preserve">Vzhľadom </w:t>
      </w:r>
      <w:r>
        <w:t>na súčasný nepriaznivý stav</w:t>
      </w:r>
      <w:r w:rsidRPr="00D723E9">
        <w:t xml:space="preserve"> vnímania cyklistov ostatnými účastníkmi cestnej premávky ale aj zamestnancami inštitúcií, ktoré ovplyvňujú rozvoj cyklistiky, bude v</w:t>
      </w:r>
      <w:r w:rsidR="00A05537">
        <w:t> </w:t>
      </w:r>
      <w:r w:rsidRPr="00D723E9">
        <w:t xml:space="preserve">nasledujúcich rokoch veľmi dôležitá snaha o zmenu ich postojov. Dôležitú úlohu v tomto bude zohrávať osveta, vzdelávanie a výskum v oblasti </w:t>
      </w:r>
      <w:proofErr w:type="spellStart"/>
      <w:r w:rsidRPr="00D723E9">
        <w:t>cyklodopravy</w:t>
      </w:r>
      <w:proofErr w:type="spellEnd"/>
      <w:r w:rsidRPr="00D723E9">
        <w:t xml:space="preserve"> a cykloturistiky. Nasledovné opatrenia majú viesť k zvýšeniu bezpečnosti, zlepšeniu životného štýlu a</w:t>
      </w:r>
      <w:r w:rsidR="00A05537">
        <w:t> </w:t>
      </w:r>
      <w:r w:rsidRPr="00D723E9">
        <w:t>zdravotného stavu obyvateľstva, čo vytvorí predpoklady pre fungovanie dlhodobo ekonomicky aktívnej a zdravej pracovnej sily.</w:t>
      </w:r>
    </w:p>
    <w:p w:rsidR="00590536" w:rsidRPr="005133B5" w:rsidRDefault="00C021B7" w:rsidP="00341DE1">
      <w:pPr>
        <w:pStyle w:val="Odsekzoznamu"/>
        <w:keepNext/>
        <w:numPr>
          <w:ilvl w:val="1"/>
          <w:numId w:val="8"/>
        </w:numPr>
        <w:spacing w:before="240"/>
        <w:ind w:left="850" w:hanging="493"/>
        <w:contextualSpacing w:val="0"/>
        <w:jc w:val="left"/>
        <w:rPr>
          <w:rFonts w:cs="Times New Roman"/>
          <w:b/>
          <w:sz w:val="28"/>
        </w:rPr>
      </w:pPr>
      <w:r w:rsidRPr="005133B5">
        <w:rPr>
          <w:rFonts w:cs="Times New Roman"/>
          <w:b/>
          <w:sz w:val="28"/>
        </w:rPr>
        <w:t>Osvetová činnosť na zlepšenie všeobecného povedomia a</w:t>
      </w:r>
      <w:r w:rsidR="00A05537" w:rsidRPr="005133B5">
        <w:rPr>
          <w:rFonts w:cs="Times New Roman"/>
          <w:b/>
          <w:sz w:val="28"/>
        </w:rPr>
        <w:t> </w:t>
      </w:r>
      <w:r w:rsidRPr="005133B5">
        <w:rPr>
          <w:rFonts w:cs="Times New Roman"/>
          <w:b/>
          <w:sz w:val="28"/>
        </w:rPr>
        <w:t xml:space="preserve">bezpečnosti </w:t>
      </w:r>
      <w:proofErr w:type="spellStart"/>
      <w:r w:rsidRPr="005133B5">
        <w:rPr>
          <w:rFonts w:cs="Times New Roman"/>
          <w:b/>
          <w:sz w:val="28"/>
        </w:rPr>
        <w:t>cyklodopravy</w:t>
      </w:r>
      <w:proofErr w:type="spellEnd"/>
      <w:r w:rsidRPr="005133B5">
        <w:rPr>
          <w:rFonts w:cs="Times New Roman"/>
          <w:b/>
          <w:sz w:val="28"/>
        </w:rPr>
        <w:t xml:space="preserve"> a cykloturistiky</w:t>
      </w:r>
    </w:p>
    <w:p w:rsidR="00DE07CF" w:rsidRDefault="00C021B7" w:rsidP="00D723E9">
      <w:pPr>
        <w:ind w:left="360"/>
      </w:pPr>
      <w:r w:rsidRPr="00D723E9">
        <w:t xml:space="preserve">Osvetová činnosť by mala byť zameraná na odstraňovanie predsudkov, omylov a neprávd o cyklistike a propagáciu jej pozitívnych dopadov. Bicykel </w:t>
      </w:r>
      <w:r w:rsidR="003C7C0D">
        <w:t>by mal byť postupne aj na Slovensku vnímaný ako</w:t>
      </w:r>
      <w:r w:rsidRPr="00D723E9">
        <w:t xml:space="preserve"> praktick</w:t>
      </w:r>
      <w:r w:rsidR="003C7C0D">
        <w:t>ý</w:t>
      </w:r>
      <w:r w:rsidRPr="00D723E9">
        <w:t>, užitočný a efektívny prostried</w:t>
      </w:r>
      <w:r w:rsidR="00705FD8">
        <w:t>o</w:t>
      </w:r>
      <w:r w:rsidRPr="00D723E9">
        <w:t xml:space="preserve">k </w:t>
      </w:r>
      <w:r w:rsidR="003C7C0D">
        <w:t>na</w:t>
      </w:r>
      <w:r w:rsidRPr="00D723E9">
        <w:t xml:space="preserve"> pohyb v</w:t>
      </w:r>
      <w:r w:rsidR="00E1649F">
        <w:t> </w:t>
      </w:r>
      <w:r w:rsidRPr="00D723E9">
        <w:t>mest</w:t>
      </w:r>
      <w:r w:rsidR="00E1649F">
        <w:t>ách a ich okolí, ako aj spoznávanie</w:t>
      </w:r>
      <w:r w:rsidRPr="00D723E9">
        <w:t xml:space="preserve"> krajin</w:t>
      </w:r>
      <w:r w:rsidR="00E1649F">
        <w:t>y</w:t>
      </w:r>
      <w:r w:rsidRPr="00D723E9">
        <w:t>.</w:t>
      </w:r>
      <w:r w:rsidR="00DE07CF">
        <w:t xml:space="preserve"> </w:t>
      </w:r>
    </w:p>
    <w:p w:rsidR="00FC3ECC" w:rsidRDefault="00FC3ECC" w:rsidP="00D723E9">
      <w:pPr>
        <w:ind w:left="360"/>
      </w:pPr>
      <w:r w:rsidRPr="000009AA">
        <w:t xml:space="preserve">Cieľom navrhovaných opatrení </w:t>
      </w:r>
      <w:proofErr w:type="spellStart"/>
      <w:r w:rsidRPr="000009AA">
        <w:t>Cyklostratégie</w:t>
      </w:r>
      <w:proofErr w:type="spellEnd"/>
      <w:r w:rsidRPr="000009AA">
        <w:t xml:space="preserve"> je dosiahnuť </w:t>
      </w:r>
      <w:r>
        <w:t>do roku</w:t>
      </w:r>
      <w:r w:rsidRPr="000009AA">
        <w:t xml:space="preserve"> 2020 zníženie </w:t>
      </w:r>
      <w:r>
        <w:t xml:space="preserve">nehodovosti </w:t>
      </w:r>
      <w:r w:rsidR="0092256B">
        <w:t xml:space="preserve">(úmrtí) </w:t>
      </w:r>
      <w:r>
        <w:t>cyklistov</w:t>
      </w:r>
      <w:r w:rsidRPr="000009AA">
        <w:t xml:space="preserve"> o cca 60 % oproti údajom vykazovaným v roku 2014, kedy už tieto údaje budú sledované.</w:t>
      </w:r>
    </w:p>
    <w:p w:rsidR="00590536" w:rsidRPr="005133B5" w:rsidRDefault="00835020"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Výskum</w:t>
      </w:r>
      <w:r w:rsidR="00C021B7" w:rsidRPr="005133B5">
        <w:rPr>
          <w:rFonts w:cs="Times New Roman"/>
          <w:b/>
          <w:sz w:val="28"/>
        </w:rPr>
        <w:t xml:space="preserve"> v oblasti </w:t>
      </w:r>
      <w:proofErr w:type="spellStart"/>
      <w:r w:rsidR="00C021B7" w:rsidRPr="005133B5">
        <w:rPr>
          <w:rFonts w:cs="Times New Roman"/>
          <w:b/>
          <w:sz w:val="28"/>
        </w:rPr>
        <w:t>cyklodopravy</w:t>
      </w:r>
      <w:proofErr w:type="spellEnd"/>
      <w:r w:rsidR="00C021B7" w:rsidRPr="005133B5">
        <w:rPr>
          <w:rFonts w:cs="Times New Roman"/>
          <w:b/>
          <w:sz w:val="28"/>
        </w:rPr>
        <w:t xml:space="preserve"> a cykloturistiky</w:t>
      </w:r>
    </w:p>
    <w:p w:rsidR="00C021B7" w:rsidRDefault="00DA2CFE" w:rsidP="00DA2CFE">
      <w:pPr>
        <w:ind w:left="426"/>
      </w:pPr>
      <w:r w:rsidRPr="0060643B">
        <w:t xml:space="preserve">Výskum by mal byť zameraný na zabezpečenie zberu údajov o stave a rozvoji </w:t>
      </w:r>
      <w:proofErr w:type="spellStart"/>
      <w:r w:rsidRPr="0060643B">
        <w:t>cykloinfraštruktúry</w:t>
      </w:r>
      <w:proofErr w:type="spellEnd"/>
      <w:r w:rsidRPr="0060643B">
        <w:t>, ako aj vykonávanie prieskumov a sčítaní objektivizujúcich údaj</w:t>
      </w:r>
      <w:r w:rsidR="0007616D">
        <w:t>ov</w:t>
      </w:r>
      <w:r w:rsidRPr="0060643B">
        <w:t xml:space="preserve"> o </w:t>
      </w:r>
      <w:proofErr w:type="spellStart"/>
      <w:r w:rsidRPr="0060643B">
        <w:t>cyklomobilite</w:t>
      </w:r>
      <w:proofErr w:type="spellEnd"/>
      <w:r w:rsidRPr="0060643B">
        <w:t xml:space="preserve"> v SR a hlavných prekážkach i príležitostiach jej rozvoja. Výsledky by mali pomôcť optimalizovať plánovanie a realizáciu dopravnej infraštruktúry.</w:t>
      </w:r>
    </w:p>
    <w:p w:rsidR="00590536" w:rsidRPr="005133B5" w:rsidRDefault="00C021B7" w:rsidP="00341DE1">
      <w:pPr>
        <w:pStyle w:val="Odsekzoznamu"/>
        <w:numPr>
          <w:ilvl w:val="1"/>
          <w:numId w:val="8"/>
        </w:numPr>
        <w:spacing w:before="240"/>
        <w:ind w:left="850" w:hanging="493"/>
        <w:contextualSpacing w:val="0"/>
        <w:jc w:val="left"/>
        <w:rPr>
          <w:rFonts w:cs="Times New Roman"/>
          <w:b/>
          <w:sz w:val="28"/>
        </w:rPr>
      </w:pPr>
      <w:r w:rsidRPr="005133B5">
        <w:rPr>
          <w:rFonts w:cs="Times New Roman"/>
          <w:b/>
          <w:sz w:val="28"/>
        </w:rPr>
        <w:t xml:space="preserve">Vzdelávanie </w:t>
      </w:r>
    </w:p>
    <w:p w:rsidR="00040C75" w:rsidRDefault="00C021B7" w:rsidP="00D723E9">
      <w:pPr>
        <w:ind w:left="360"/>
      </w:pPr>
      <w:r w:rsidRPr="00D723E9">
        <w:t>Cieľom je skvalitnenie a rozšírenie výučby žiakov a študentov v oblasti bezpečnosti a rozvoja cyklistiky na všetkých úrovniach škôl a v relevantných edukačných zariadeniach, ale aj celoživotné vzdelávanie odborníkov z praxe či pracovníkov úradov. Bude tiež potrebné vytvori</w:t>
      </w:r>
      <w:r w:rsidR="00522F52">
        <w:t>ť</w:t>
      </w:r>
      <w:r w:rsidRPr="00D723E9">
        <w:t xml:space="preserve"> vzdelávac</w:t>
      </w:r>
      <w:r w:rsidR="00522F52">
        <w:t>í</w:t>
      </w:r>
      <w:r w:rsidRPr="00D723E9">
        <w:t xml:space="preserve"> program pre odbornú verejnosť, ktorý umožní transfer najnovších poznatkov z krajín s väčšími skúsenosťami v oblasti cyklistickej dopravy.</w:t>
      </w:r>
    </w:p>
    <w:p w:rsidR="00A13A3B" w:rsidRDefault="00A13A3B">
      <w:pPr>
        <w:spacing w:after="200" w:line="276" w:lineRule="auto"/>
        <w:jc w:val="left"/>
        <w:rPr>
          <w:rFonts w:eastAsiaTheme="majorEastAsia" w:cstheme="majorBidi"/>
          <w:b/>
          <w:bCs/>
          <w:sz w:val="36"/>
          <w:szCs w:val="28"/>
        </w:rPr>
      </w:pPr>
      <w:bookmarkStart w:id="394" w:name="_Toc345943309"/>
      <w:bookmarkStart w:id="395" w:name="_Toc345943310"/>
      <w:bookmarkStart w:id="396" w:name="_Toc345583413"/>
      <w:bookmarkStart w:id="397" w:name="_Toc345662855"/>
      <w:bookmarkStart w:id="398" w:name="_Toc345662978"/>
      <w:bookmarkStart w:id="399" w:name="_Toc345667218"/>
      <w:bookmarkStart w:id="400" w:name="_Toc345943311"/>
      <w:bookmarkEnd w:id="394"/>
      <w:bookmarkEnd w:id="395"/>
      <w:bookmarkEnd w:id="396"/>
      <w:bookmarkEnd w:id="397"/>
      <w:bookmarkEnd w:id="398"/>
      <w:bookmarkEnd w:id="399"/>
      <w:bookmarkEnd w:id="400"/>
      <w:r>
        <w:br w:type="page"/>
      </w:r>
    </w:p>
    <w:p w:rsidR="00493671" w:rsidRDefault="00493671" w:rsidP="007C5285">
      <w:pPr>
        <w:pStyle w:val="Nadpis1"/>
      </w:pPr>
      <w:bookmarkStart w:id="401" w:name="_Toc347921388"/>
      <w:r>
        <w:lastRenderedPageBreak/>
        <w:t xml:space="preserve">Finančné nástroje implementácie </w:t>
      </w:r>
      <w:proofErr w:type="spellStart"/>
      <w:r w:rsidR="00447BF9">
        <w:t>C</w:t>
      </w:r>
      <w:r>
        <w:t>yklostratégie</w:t>
      </w:r>
      <w:bookmarkEnd w:id="401"/>
      <w:proofErr w:type="spellEnd"/>
    </w:p>
    <w:p w:rsidR="00A406DC" w:rsidRDefault="008431C1" w:rsidP="00493671">
      <w:r>
        <w:t>Hoci i</w:t>
      </w:r>
      <w:r w:rsidR="00493671" w:rsidRPr="00493671">
        <w:t xml:space="preserve">mplementácia </w:t>
      </w:r>
      <w:r w:rsidR="006D42BA">
        <w:t>n</w:t>
      </w:r>
      <w:r w:rsidR="00493671" w:rsidRPr="00493671">
        <w:t xml:space="preserve">árodnej </w:t>
      </w:r>
      <w:proofErr w:type="spellStart"/>
      <w:r w:rsidR="006D42BA">
        <w:t>C</w:t>
      </w:r>
      <w:r w:rsidR="006D42BA" w:rsidRPr="00493671">
        <w:t>yklostratégie</w:t>
      </w:r>
      <w:proofErr w:type="spellEnd"/>
      <w:r w:rsidR="006D42BA" w:rsidRPr="00493671">
        <w:t xml:space="preserve"> </w:t>
      </w:r>
      <w:r>
        <w:t xml:space="preserve">má reálne predpoklady priniesť komplex prínosov (zhrnuté v kapitole 4), ktorých hodnota výrazne prevýši investované náklady, ich dosiahnutie by nebolo možné </w:t>
      </w:r>
      <w:r w:rsidR="00F04FA4">
        <w:t>bez finančného zabezpečenia v</w:t>
      </w:r>
      <w:r w:rsidR="00493671" w:rsidRPr="00493671">
        <w:t xml:space="preserve">ýstavby cyklistickej infraštruktúry na Slovensku </w:t>
      </w:r>
      <w:r w:rsidR="00F04FA4">
        <w:t>a ďalších potrebných opatrení</w:t>
      </w:r>
      <w:r w:rsidR="00493671" w:rsidRPr="00493671">
        <w:t xml:space="preserve">. </w:t>
      </w:r>
    </w:p>
    <w:p w:rsidR="00A406DC" w:rsidRDefault="00A406DC" w:rsidP="00A406DC">
      <w:r>
        <w:t>Vzhľadom k </w:t>
      </w:r>
      <w:r w:rsidR="0009508C">
        <w:t>nevyhnutnosti</w:t>
      </w:r>
      <w:r>
        <w:t xml:space="preserve"> znižova</w:t>
      </w:r>
      <w:r w:rsidR="0009508C">
        <w:t>ť</w:t>
      </w:r>
      <w:r>
        <w:t xml:space="preserve"> deficit verejných financií nie je reálne predpokladať, že by zdroje potrebné na realizáciu </w:t>
      </w:r>
      <w:proofErr w:type="spellStart"/>
      <w:r w:rsidR="0009508C">
        <w:t>C</w:t>
      </w:r>
      <w:r>
        <w:t>yklostratégie</w:t>
      </w:r>
      <w:proofErr w:type="spellEnd"/>
      <w:r>
        <w:t xml:space="preserve"> bolo možné v plnej miere pokryť zo štátneho rozpočtu a rozpočtov samospráv. Je preto nanajvýš vhodné využiť fakt, že trvalo udržateľný rozvoj mobility v mestských aglomeráciách patrí medzi dôležité ciele Európskej únie a opatrenia napĺňajúce tento cieľ bude možné financovať z fondov EÚ na programové obdobie 2014 – 2020. Preto je dôležité, aby financovanie opatrení na podporu širšieho využívania nemotorovej i konkrétne cyklistickej dopravy bolo zahrnuté do </w:t>
      </w:r>
      <w:r w:rsidR="00DC3B34">
        <w:t>budúcich operačných programov</w:t>
      </w:r>
      <w:r>
        <w:t xml:space="preserve"> na </w:t>
      </w:r>
      <w:r w:rsidR="00DC3B34">
        <w:t xml:space="preserve">obdobie </w:t>
      </w:r>
      <w:r>
        <w:t>2014 – 2020 a aby v</w:t>
      </w:r>
      <w:r w:rsidRPr="00D723E9">
        <w:t xml:space="preserve"> relevantných operačných programo</w:t>
      </w:r>
      <w:r>
        <w:t>ch boli vyčlenené zdroje umožňujúce pokrytie čo najväčšej časti finančných potrieb odhadnutých v </w:t>
      </w:r>
      <w:proofErr w:type="spellStart"/>
      <w:r w:rsidR="0009508C">
        <w:t>C</w:t>
      </w:r>
      <w:r>
        <w:t>yklostratégii</w:t>
      </w:r>
      <w:proofErr w:type="spellEnd"/>
      <w:r>
        <w:t xml:space="preserve"> </w:t>
      </w:r>
      <w:r w:rsidR="00E96A20">
        <w:t xml:space="preserve">v časti </w:t>
      </w:r>
      <w:r>
        <w:t xml:space="preserve">Príloha3. </w:t>
      </w:r>
    </w:p>
    <w:p w:rsidR="00A406DC" w:rsidRDefault="00A406DC" w:rsidP="00A406DC">
      <w:r>
        <w:t>Z európskych zdrojov môže byť reálne zabezpeč</w:t>
      </w:r>
      <w:r w:rsidR="00483911">
        <w:t>enie</w:t>
      </w:r>
      <w:r>
        <w:t xml:space="preserve"> rozhodujúc</w:t>
      </w:r>
      <w:r w:rsidR="00483911">
        <w:t>eho</w:t>
      </w:r>
      <w:r>
        <w:t xml:space="preserve"> podiel</w:t>
      </w:r>
      <w:r w:rsidR="00483911">
        <w:t>u</w:t>
      </w:r>
      <w:r>
        <w:t xml:space="preserve"> zdrojov potrebných na budovanie </w:t>
      </w:r>
      <w:proofErr w:type="spellStart"/>
      <w:r w:rsidRPr="00D723E9">
        <w:t>cykloc</w:t>
      </w:r>
      <w:r>
        <w:t>iest</w:t>
      </w:r>
      <w:proofErr w:type="spellEnd"/>
      <w:r w:rsidRPr="00D723E9">
        <w:t>, parkov</w:t>
      </w:r>
      <w:r>
        <w:t>ísk</w:t>
      </w:r>
      <w:r w:rsidRPr="00D723E9">
        <w:t xml:space="preserve"> pre bicykle, </w:t>
      </w:r>
      <w:r>
        <w:t xml:space="preserve">zriadenie </w:t>
      </w:r>
      <w:r w:rsidRPr="00D723E9">
        <w:t>cyklotr</w:t>
      </w:r>
      <w:r>
        <w:t>ás i opatrenia zlepšujúce možnosti integrácie a kombinovaného využívania cyklistickej a verejnej osobnej dopravy. V štátnom rozpočte i rozpočtoch samospráv</w:t>
      </w:r>
      <w:r w:rsidR="00241D77">
        <w:t>, miest a obcí</w:t>
      </w:r>
      <w:r>
        <w:t xml:space="preserve"> je v každom prípade potrebné počítať so zdrojmi na nevyhnutné spolufinancovanie projektov</w:t>
      </w:r>
      <w:r w:rsidR="00F52C4A">
        <w:t xml:space="preserve"> v</w:t>
      </w:r>
      <w:r w:rsidR="00241D77">
        <w:t xml:space="preserve"> celkovej</w:t>
      </w:r>
      <w:r w:rsidR="00F52C4A">
        <w:t xml:space="preserve"> výške </w:t>
      </w:r>
      <w:r w:rsidR="00FC3ECC">
        <w:t xml:space="preserve">   </w:t>
      </w:r>
      <w:r w:rsidR="00F52C4A">
        <w:t>15 %</w:t>
      </w:r>
      <w:r>
        <w:t xml:space="preserve">, ďalej na </w:t>
      </w:r>
      <w:proofErr w:type="spellStart"/>
      <w:r>
        <w:t>cyklokoordinátorov</w:t>
      </w:r>
      <w:proofErr w:type="spellEnd"/>
      <w:r>
        <w:t xml:space="preserve"> ako aj na ďalšie opatrenia, ktorých financovanie z fondov EÚ nebude možné.</w:t>
      </w:r>
      <w:r w:rsidR="00630A20">
        <w:t xml:space="preserve"> </w:t>
      </w:r>
    </w:p>
    <w:p w:rsidR="00630A20" w:rsidRPr="00FC3ECC" w:rsidRDefault="00630A20" w:rsidP="00A406DC">
      <w:r w:rsidRPr="00FC3ECC">
        <w:t>Pri budovaní cyklistickej infraštruktúry bude potrebné navrhnúť modely a postupy na zabezpečenie finančnej náhrady za obmedzenie vlastníckych práv pri využívaní cudzích nehnuteľností tak, aby boli dodržané práva vlastníkov pozemkov dotknutých návrhom budovania cyklotrasy v súlade s Ústavou SR.</w:t>
      </w:r>
    </w:p>
    <w:p w:rsidR="00B60C0B" w:rsidRPr="00493671" w:rsidRDefault="00B60C0B" w:rsidP="00B60C0B">
      <w:r w:rsidRPr="00493671">
        <w:t xml:space="preserve">Nemenej dôležité je </w:t>
      </w:r>
      <w:r>
        <w:t>zapájať zdroje</w:t>
      </w:r>
      <w:r w:rsidRPr="00493671">
        <w:t xml:space="preserve"> súkromného sektora, a to napr</w:t>
      </w:r>
      <w:r>
        <w:t>íklad</w:t>
      </w:r>
      <w:r w:rsidRPr="00493671">
        <w:t xml:space="preserve"> </w:t>
      </w:r>
      <w:r>
        <w:t>vyžadovaním</w:t>
      </w:r>
      <w:r w:rsidRPr="00493671">
        <w:t xml:space="preserve"> realiz</w:t>
      </w:r>
      <w:r>
        <w:t>ácie</w:t>
      </w:r>
      <w:r w:rsidRPr="00493671">
        <w:t xml:space="preserve"> cyklistick</w:t>
      </w:r>
      <w:r>
        <w:t>ej</w:t>
      </w:r>
      <w:r w:rsidRPr="00493671">
        <w:t xml:space="preserve"> infraštruktúr</w:t>
      </w:r>
      <w:r>
        <w:t>y</w:t>
      </w:r>
      <w:r w:rsidRPr="00493671">
        <w:t xml:space="preserve"> (nadväznosť na cyklotrasy, parkoviská pre bicykle) pri </w:t>
      </w:r>
      <w:r>
        <w:t>stavebných projektoch s predpokladom dochádzania väčšieho počtu ľudí</w:t>
      </w:r>
      <w:r w:rsidRPr="00493671">
        <w:t>, alebo aj formou reklamy napr</w:t>
      </w:r>
      <w:r>
        <w:t>íklad</w:t>
      </w:r>
      <w:r w:rsidRPr="00493671">
        <w:t xml:space="preserve"> na stojanoch na bicykle.</w:t>
      </w:r>
    </w:p>
    <w:p w:rsidR="00F04FA4" w:rsidRDefault="00B60C0B" w:rsidP="00493671">
      <w:r>
        <w:t>Z pohľadu iniciátorov konkrétnych projektov je dôležité, že nemôžu uvažovať s</w:t>
      </w:r>
      <w:r w:rsidR="00493671" w:rsidRPr="00493671">
        <w:t xml:space="preserve"> </w:t>
      </w:r>
      <w:r w:rsidR="00F04FA4">
        <w:t>j</w:t>
      </w:r>
      <w:r w:rsidR="00493671" w:rsidRPr="00493671">
        <w:t>ediný</w:t>
      </w:r>
      <w:r>
        <w:t>m</w:t>
      </w:r>
      <w:r w:rsidR="00493671" w:rsidRPr="00493671">
        <w:t xml:space="preserve"> zdroj</w:t>
      </w:r>
      <w:r>
        <w:t>om</w:t>
      </w:r>
      <w:r w:rsidR="00493671" w:rsidRPr="00493671">
        <w:t xml:space="preserve"> financovania cyklistických trás a cyklistických komunikácií. </w:t>
      </w:r>
      <w:r w:rsidR="00F04FA4">
        <w:t xml:space="preserve">Je preto potrebné </w:t>
      </w:r>
      <w:r w:rsidR="00493671" w:rsidRPr="00493671">
        <w:t xml:space="preserve">získavať a združovať finančné prostriedky na každý jeden projekt a aktivitu postupne a aktívne využívať každú príležitosť na financovanie cyklistickej infraštruktúry. </w:t>
      </w:r>
    </w:p>
    <w:p w:rsidR="00210BA2" w:rsidRDefault="00F04FA4" w:rsidP="00493671">
      <w:r>
        <w:t>Obzvlášť dôležité j</w:t>
      </w:r>
      <w:r w:rsidR="00493671" w:rsidRPr="00493671">
        <w:t xml:space="preserve">e </w:t>
      </w:r>
      <w:r>
        <w:t xml:space="preserve">v Partnerskej dohode SR </w:t>
      </w:r>
      <w:r w:rsidR="0009508C">
        <w:t>a</w:t>
      </w:r>
      <w:r>
        <w:t xml:space="preserve"> EÚ a operačných programoch na obdobie rokov 2014 – 2020 vyčleniť a následne efektívne </w:t>
      </w:r>
      <w:r w:rsidR="00493671" w:rsidRPr="00493671">
        <w:t xml:space="preserve">využívať zdroje európskych fondov a </w:t>
      </w:r>
      <w:r w:rsidR="00D06733">
        <w:t>vhodne</w:t>
      </w:r>
      <w:r w:rsidR="00493671" w:rsidRPr="00493671">
        <w:t xml:space="preserve"> ich kombinovať s príspevkami zo štátneho, regionálneho či mestského/obecného rozpočtu ako aj z ďalších existujúcich grantových schém (Nórsky finančný mechanizmus, Granty </w:t>
      </w:r>
      <w:proofErr w:type="spellStart"/>
      <w:r w:rsidR="00493671" w:rsidRPr="00493671">
        <w:t>Ekopolis</w:t>
      </w:r>
      <w:proofErr w:type="spellEnd"/>
      <w:r w:rsidR="00493671" w:rsidRPr="00493671">
        <w:t>, UNDP</w:t>
      </w:r>
      <w:r w:rsidR="00210BA2">
        <w:t xml:space="preserve"> a pod.).</w:t>
      </w:r>
    </w:p>
    <w:p w:rsidR="00493671" w:rsidRDefault="00493671" w:rsidP="00493671">
      <w:r w:rsidRPr="0060643B">
        <w:t>V</w:t>
      </w:r>
      <w:r w:rsidR="00705FD8" w:rsidRPr="0060643B">
        <w:t xml:space="preserve"> roku 2013 </w:t>
      </w:r>
      <w:proofErr w:type="spellStart"/>
      <w:r w:rsidR="0009508C" w:rsidRPr="0060643B">
        <w:t>C</w:t>
      </w:r>
      <w:r w:rsidR="00705FD8" w:rsidRPr="0060643B">
        <w:t>yklostratégi</w:t>
      </w:r>
      <w:r w:rsidR="0009508C" w:rsidRPr="0060643B">
        <w:t>a</w:t>
      </w:r>
      <w:proofErr w:type="spellEnd"/>
      <w:r w:rsidRPr="0060643B">
        <w:t xml:space="preserve"> </w:t>
      </w:r>
      <w:r w:rsidR="0009508C" w:rsidRPr="0060643B">
        <w:t xml:space="preserve">nepočíta s navýšením verejných výdavkov na úrovni štátu ani samospráv, </w:t>
      </w:r>
      <w:r w:rsidR="00F3201E" w:rsidRPr="0060643B">
        <w:t xml:space="preserve">predpokladá však </w:t>
      </w:r>
      <w:r w:rsidR="00796FBF" w:rsidRPr="0060643B">
        <w:t xml:space="preserve">efektívne </w:t>
      </w:r>
      <w:r w:rsidRPr="0060643B">
        <w:t>využíva</w:t>
      </w:r>
      <w:r w:rsidR="00F3201E" w:rsidRPr="0060643B">
        <w:t>nie</w:t>
      </w:r>
      <w:r w:rsidRPr="0060643B">
        <w:t xml:space="preserve"> </w:t>
      </w:r>
      <w:r w:rsidR="00BA223F">
        <w:t xml:space="preserve">verejných </w:t>
      </w:r>
      <w:r w:rsidR="0009508C" w:rsidRPr="0060643B">
        <w:t>zdroj</w:t>
      </w:r>
      <w:r w:rsidR="00F3201E" w:rsidRPr="0060643B">
        <w:t>ov</w:t>
      </w:r>
      <w:r w:rsidR="0009508C" w:rsidRPr="0060643B">
        <w:t xml:space="preserve"> </w:t>
      </w:r>
      <w:r w:rsidRPr="0060643B">
        <w:t xml:space="preserve">aj </w:t>
      </w:r>
      <w:r w:rsidR="00F3201E" w:rsidRPr="0060643B">
        <w:t xml:space="preserve">s ohľadom </w:t>
      </w:r>
      <w:r w:rsidR="002D044D" w:rsidRPr="0060643B">
        <w:t>na</w:t>
      </w:r>
      <w:r w:rsidRPr="0060643B">
        <w:t xml:space="preserve"> po</w:t>
      </w:r>
      <w:r w:rsidR="00F3201E" w:rsidRPr="0060643B">
        <w:t>treby</w:t>
      </w:r>
      <w:r w:rsidRPr="0060643B">
        <w:t xml:space="preserve"> cyklistickej dopravy a</w:t>
      </w:r>
      <w:r w:rsidR="00F3201E" w:rsidRPr="0060643B">
        <w:t> </w:t>
      </w:r>
      <w:r w:rsidRPr="0060643B">
        <w:t>cykloturistiky</w:t>
      </w:r>
      <w:r w:rsidR="00F3201E" w:rsidRPr="0060643B">
        <w:t xml:space="preserve"> konštatované v tomto materiáli a spadajúce do ich pôsobnosti</w:t>
      </w:r>
      <w:r w:rsidRPr="0060643B">
        <w:t>.</w:t>
      </w:r>
      <w:r w:rsidR="00931225">
        <w:t xml:space="preserve"> </w:t>
      </w:r>
    </w:p>
    <w:p w:rsidR="00FC3ECC" w:rsidRDefault="00FC3ECC" w:rsidP="00931225"/>
    <w:p w:rsidR="00931225" w:rsidRPr="00FC3ECC" w:rsidRDefault="00931225" w:rsidP="00931225">
      <w:r w:rsidRPr="00FC3ECC">
        <w:lastRenderedPageBreak/>
        <w:t xml:space="preserve">Pre r. 2013 sú v rozpočte MDVRR SR pokryté výdavky na spracovanie Technických podmienok pre navrhovanie cyklistickej infraštruktúry, výdavky na osvetu a propagáciu cyklistickej dopravy a cykloturistiky, ako aj aktivity v oblasti bezpečnosti cyklistickej premávky. </w:t>
      </w:r>
    </w:p>
    <w:p w:rsidR="009E056D" w:rsidRDefault="00705FD8" w:rsidP="00AF28A3">
      <w:pPr>
        <w:spacing w:after="0"/>
      </w:pPr>
      <w:r w:rsidRPr="0060643B">
        <w:t>Od r</w:t>
      </w:r>
      <w:r w:rsidR="00F3201E" w:rsidRPr="0060643B">
        <w:t>oku</w:t>
      </w:r>
      <w:r w:rsidRPr="0060643B">
        <w:t xml:space="preserve"> 2014</w:t>
      </w:r>
      <w:r w:rsidR="00493671" w:rsidRPr="0060643B">
        <w:t xml:space="preserve"> však bude potrebné vyčleniť na financovanie projektov </w:t>
      </w:r>
      <w:r w:rsidR="00F3201E" w:rsidRPr="0060643B">
        <w:t>rozvoja</w:t>
      </w:r>
      <w:r w:rsidR="00493671" w:rsidRPr="0060643B">
        <w:t xml:space="preserve"> cyklistickej dopravy a cykloturistiky výraznejšie prostriedky zo štátneho rozpočtu a rozpočtov jednotlivých samosprávnych krajov a sídiel. V súvislosti s tým je </w:t>
      </w:r>
      <w:r w:rsidR="00F3201E" w:rsidRPr="0060643B">
        <w:t>potrebné</w:t>
      </w:r>
      <w:r w:rsidR="00493671" w:rsidRPr="0060643B">
        <w:t xml:space="preserve"> </w:t>
      </w:r>
      <w:r w:rsidR="00F3201E" w:rsidRPr="0060643B">
        <w:t>vy</w:t>
      </w:r>
      <w:r w:rsidR="00493671" w:rsidRPr="0060643B">
        <w:t xml:space="preserve">pracovať </w:t>
      </w:r>
      <w:r w:rsidR="00493671" w:rsidRPr="0060643B">
        <w:rPr>
          <w:b/>
        </w:rPr>
        <w:t xml:space="preserve">návrh trvalého finančného mechanizmu na implementáciu </w:t>
      </w:r>
      <w:proofErr w:type="spellStart"/>
      <w:r w:rsidR="006D42BA">
        <w:rPr>
          <w:b/>
        </w:rPr>
        <w:t>C</w:t>
      </w:r>
      <w:r w:rsidR="006D42BA" w:rsidRPr="0060643B">
        <w:rPr>
          <w:b/>
        </w:rPr>
        <w:t>yklostratégie</w:t>
      </w:r>
      <w:proofErr w:type="spellEnd"/>
      <w:r w:rsidR="006D42BA" w:rsidRPr="0060643B">
        <w:t xml:space="preserve"> </w:t>
      </w:r>
      <w:r w:rsidR="00210BA2" w:rsidRPr="0060643B">
        <w:t>(</w:t>
      </w:r>
      <w:r w:rsidR="00703D21">
        <w:t>Príloha 2, Opatrenie 3.1.1</w:t>
      </w:r>
      <w:r w:rsidR="00210BA2" w:rsidRPr="0060643B">
        <w:t>)</w:t>
      </w:r>
      <w:r w:rsidR="00493671" w:rsidRPr="0060643B">
        <w:t xml:space="preserve">. </w:t>
      </w:r>
      <w:r w:rsidR="0085555F" w:rsidRPr="0060643B">
        <w:t>Dodatočn</w:t>
      </w:r>
      <w:r w:rsidR="009D7A4B">
        <w:t>á</w:t>
      </w:r>
      <w:r w:rsidR="0085555F" w:rsidRPr="0060643B">
        <w:t xml:space="preserve"> záťaž pre štátny </w:t>
      </w:r>
      <w:r w:rsidR="009D7A4B">
        <w:t xml:space="preserve">rozpočet a návrh </w:t>
      </w:r>
      <w:r w:rsidR="00D65370" w:rsidRPr="0060643B">
        <w:t xml:space="preserve">finančného krytia </w:t>
      </w:r>
      <w:r w:rsidR="009D7A4B">
        <w:t xml:space="preserve">vybraných </w:t>
      </w:r>
      <w:r w:rsidR="00552B52" w:rsidRPr="0060643B">
        <w:t xml:space="preserve">opatrení </w:t>
      </w:r>
      <w:proofErr w:type="spellStart"/>
      <w:r w:rsidR="0085555F" w:rsidRPr="0060643B">
        <w:t>C</w:t>
      </w:r>
      <w:r w:rsidR="00552B52" w:rsidRPr="0060643B">
        <w:t>yklostratégie</w:t>
      </w:r>
      <w:proofErr w:type="spellEnd"/>
      <w:r w:rsidR="00552B52" w:rsidRPr="0060643B">
        <w:t xml:space="preserve"> na obdobie rokov 2014 – 2016 </w:t>
      </w:r>
      <w:r w:rsidR="00796FBF" w:rsidRPr="0060643B">
        <w:t xml:space="preserve">je </w:t>
      </w:r>
      <w:r w:rsidR="009D7A4B" w:rsidRPr="0060643B">
        <w:t>uveden</w:t>
      </w:r>
      <w:r w:rsidR="009D7A4B">
        <w:t>á</w:t>
      </w:r>
      <w:r w:rsidR="009D7A4B" w:rsidRPr="0060643B">
        <w:t xml:space="preserve"> </w:t>
      </w:r>
      <w:r w:rsidR="00552B52" w:rsidRPr="0060643B">
        <w:t>v</w:t>
      </w:r>
      <w:r w:rsidR="009D7A4B">
        <w:t xml:space="preserve"> časti </w:t>
      </w:r>
      <w:r w:rsidR="00703D21">
        <w:t xml:space="preserve">Príloha 3 </w:t>
      </w:r>
      <w:r w:rsidR="00552B52" w:rsidRPr="0060643B">
        <w:t>a postup výpočtov v</w:t>
      </w:r>
      <w:r w:rsidR="007630AE">
        <w:t> </w:t>
      </w:r>
      <w:r w:rsidR="009D7A4B">
        <w:t>časti</w:t>
      </w:r>
      <w:r w:rsidR="007630AE">
        <w:t xml:space="preserve"> Príloha 4.</w:t>
      </w:r>
    </w:p>
    <w:sectPr w:rsidR="009E056D" w:rsidSect="003560A1">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EA" w:rsidRDefault="000933EA" w:rsidP="00673588">
      <w:pPr>
        <w:spacing w:after="0"/>
      </w:pPr>
      <w:r>
        <w:separator/>
      </w:r>
    </w:p>
  </w:endnote>
  <w:endnote w:type="continuationSeparator" w:id="0">
    <w:p w:rsidR="000933EA" w:rsidRDefault="000933EA" w:rsidP="006735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6943"/>
      <w:docPartObj>
        <w:docPartGallery w:val="Page Numbers (Bottom of Page)"/>
        <w:docPartUnique/>
      </w:docPartObj>
    </w:sdtPr>
    <w:sdtContent>
      <w:p w:rsidR="00603E5E" w:rsidRDefault="0025434D">
        <w:pPr>
          <w:pStyle w:val="Pta"/>
          <w:jc w:val="center"/>
        </w:pPr>
        <w:fldSimple w:instr="PAGE   \* MERGEFORMAT">
          <w:r w:rsidR="007D37BB">
            <w:rPr>
              <w:noProof/>
            </w:rPr>
            <w:t>24</w:t>
          </w:r>
        </w:fldSimple>
      </w:p>
    </w:sdtContent>
  </w:sdt>
  <w:p w:rsidR="00603E5E" w:rsidRDefault="00603E5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EA" w:rsidRDefault="000933EA" w:rsidP="00673588">
      <w:pPr>
        <w:spacing w:after="0"/>
      </w:pPr>
      <w:r>
        <w:separator/>
      </w:r>
    </w:p>
  </w:footnote>
  <w:footnote w:type="continuationSeparator" w:id="0">
    <w:p w:rsidR="000933EA" w:rsidRDefault="000933EA" w:rsidP="00673588">
      <w:pPr>
        <w:spacing w:after="0"/>
      </w:pPr>
      <w:r>
        <w:continuationSeparator/>
      </w:r>
    </w:p>
  </w:footnote>
  <w:footnote w:id="1">
    <w:p w:rsidR="00603E5E" w:rsidRDefault="00603E5E">
      <w:pPr>
        <w:pStyle w:val="Textpoznmkypodiarou"/>
      </w:pPr>
      <w:r>
        <w:rPr>
          <w:rStyle w:val="Odkaznapoznmkupodiarou"/>
        </w:rPr>
        <w:footnoteRef/>
      </w:r>
      <w:r>
        <w:t xml:space="preserve"> </w:t>
      </w:r>
      <w:proofErr w:type="spellStart"/>
      <w:r>
        <w:t>Cycling</w:t>
      </w:r>
      <w:proofErr w:type="spellEnd"/>
      <w:r>
        <w:t xml:space="preserve"> in </w:t>
      </w:r>
      <w:proofErr w:type="spellStart"/>
      <w:r>
        <w:t>the</w:t>
      </w:r>
      <w:proofErr w:type="spellEnd"/>
      <w:r>
        <w:t xml:space="preserve"> </w:t>
      </w:r>
      <w:proofErr w:type="spellStart"/>
      <w:r>
        <w:t>Netherlands</w:t>
      </w:r>
      <w:proofErr w:type="spellEnd"/>
      <w:r>
        <w:t>,</w:t>
      </w:r>
      <w:r w:rsidRPr="001C2C90">
        <w:t xml:space="preserve"> </w:t>
      </w:r>
      <w:proofErr w:type="spellStart"/>
      <w:r w:rsidRPr="001C2C90">
        <w:t>Ministerie</w:t>
      </w:r>
      <w:proofErr w:type="spellEnd"/>
      <w:r w:rsidRPr="001C2C90">
        <w:t xml:space="preserve"> </w:t>
      </w:r>
      <w:proofErr w:type="spellStart"/>
      <w:r w:rsidRPr="001C2C90">
        <w:t>van</w:t>
      </w:r>
      <w:proofErr w:type="spellEnd"/>
      <w:r w:rsidRPr="001C2C90">
        <w:t xml:space="preserve"> </w:t>
      </w:r>
      <w:proofErr w:type="spellStart"/>
      <w:r w:rsidRPr="001C2C90">
        <w:t>Verkeer</w:t>
      </w:r>
      <w:proofErr w:type="spellEnd"/>
      <w:r w:rsidRPr="001C2C90">
        <w:t xml:space="preserve"> en </w:t>
      </w:r>
      <w:proofErr w:type="spellStart"/>
      <w:r w:rsidRPr="001C2C90">
        <w:t>Waterstaat</w:t>
      </w:r>
      <w:proofErr w:type="spellEnd"/>
      <w:r>
        <w:t>,</w:t>
      </w:r>
      <w:r w:rsidRPr="001C2C90">
        <w:t xml:space="preserve"> 2009</w:t>
      </w:r>
    </w:p>
  </w:footnote>
  <w:footnote w:id="2">
    <w:p w:rsidR="00603E5E" w:rsidRDefault="00603E5E">
      <w:pPr>
        <w:pStyle w:val="Textpoznmkypodiarou"/>
      </w:pPr>
      <w:r>
        <w:rPr>
          <w:rStyle w:val="Odkaznapoznmkupodiarou"/>
        </w:rPr>
        <w:footnoteRef/>
      </w:r>
      <w:r>
        <w:t xml:space="preserve"> Dokumenty Svetovej zdravotníckej organizácie</w:t>
      </w:r>
    </w:p>
  </w:footnote>
  <w:footnote w:id="3">
    <w:p w:rsidR="00603E5E" w:rsidRPr="005561B9" w:rsidRDefault="00603E5E" w:rsidP="00BD3F93">
      <w:pPr>
        <w:pStyle w:val="Bezriadkovania"/>
        <w:spacing w:after="80"/>
        <w:rPr>
          <w:rFonts w:ascii="Times New Roman" w:hAnsi="Times New Roman" w:cs="Times New Roman"/>
          <w:sz w:val="20"/>
          <w:szCs w:val="20"/>
        </w:rPr>
      </w:pPr>
      <w:r>
        <w:rPr>
          <w:rStyle w:val="Odkaznapoznmkupodiarou"/>
        </w:rPr>
        <w:footnoteRef/>
      </w:r>
      <w:r>
        <w:t xml:space="preserve"> </w:t>
      </w:r>
      <w:r w:rsidRPr="005561B9">
        <w:rPr>
          <w:rFonts w:ascii="Times New Roman" w:hAnsi="Times New Roman" w:cs="Times New Roman"/>
          <w:sz w:val="20"/>
          <w:szCs w:val="20"/>
        </w:rPr>
        <w:t>Najvýznamnejší správcovia cykloturistických trás na Slovensku podľa krajov</w:t>
      </w:r>
      <w:r>
        <w:rPr>
          <w:rFonts w:ascii="Times New Roman" w:hAnsi="Times New Roman" w:cs="Times New Roman"/>
          <w:sz w:val="20"/>
          <w:szCs w:val="20"/>
        </w:rPr>
        <w:t xml:space="preserve"> (zdroj: Slovenský </w:t>
      </w:r>
      <w:proofErr w:type="spellStart"/>
      <w:r>
        <w:rPr>
          <w:rFonts w:ascii="Times New Roman" w:hAnsi="Times New Roman" w:cs="Times New Roman"/>
          <w:sz w:val="20"/>
          <w:szCs w:val="20"/>
        </w:rPr>
        <w:t>cykloklub</w:t>
      </w:r>
      <w:proofErr w:type="spellEnd"/>
      <w:r>
        <w:rPr>
          <w:rFonts w:ascii="Times New Roman" w:hAnsi="Times New Roman" w:cs="Times New Roman"/>
          <w:sz w:val="20"/>
          <w:szCs w:val="20"/>
        </w:rPr>
        <w:t>)</w:t>
      </w:r>
      <w:r w:rsidRPr="005561B9">
        <w:rPr>
          <w:rFonts w:ascii="Times New Roman" w:hAnsi="Times New Roman" w:cs="Times New Roman"/>
          <w:sz w:val="20"/>
          <w:szCs w:val="20"/>
        </w:rPr>
        <w:t>:</w:t>
      </w:r>
    </w:p>
    <w:p w:rsidR="00603E5E"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Bratislavský kraj: </w:t>
      </w:r>
      <w:r>
        <w:rPr>
          <w:rFonts w:ascii="Times New Roman" w:hAnsi="Times New Roman" w:cs="Times New Roman"/>
          <w:sz w:val="20"/>
          <w:szCs w:val="20"/>
        </w:rPr>
        <w:tab/>
      </w:r>
      <w:r w:rsidRPr="005561B9">
        <w:rPr>
          <w:rFonts w:ascii="Times New Roman" w:hAnsi="Times New Roman" w:cs="Times New Roman"/>
          <w:sz w:val="20"/>
          <w:szCs w:val="20"/>
        </w:rPr>
        <w:t xml:space="preserve">AŠK </w:t>
      </w:r>
      <w:proofErr w:type="spellStart"/>
      <w:r w:rsidRPr="005561B9">
        <w:rPr>
          <w:rFonts w:ascii="Times New Roman" w:hAnsi="Times New Roman" w:cs="Times New Roman"/>
          <w:sz w:val="20"/>
          <w:szCs w:val="20"/>
        </w:rPr>
        <w:t>Inter</w:t>
      </w:r>
      <w:proofErr w:type="spellEnd"/>
      <w:r w:rsidRPr="005561B9">
        <w:rPr>
          <w:rFonts w:ascii="Times New Roman" w:hAnsi="Times New Roman" w:cs="Times New Roman"/>
          <w:sz w:val="20"/>
          <w:szCs w:val="20"/>
        </w:rPr>
        <w:t xml:space="preserve">, SCK, SCK Záhorák Malacky; </w:t>
      </w:r>
    </w:p>
    <w:p w:rsidR="00603E5E"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Trnavský kraj: </w:t>
      </w:r>
      <w:r>
        <w:rPr>
          <w:rFonts w:ascii="Times New Roman" w:hAnsi="Times New Roman" w:cs="Times New Roman"/>
          <w:sz w:val="20"/>
          <w:szCs w:val="20"/>
        </w:rPr>
        <w:tab/>
      </w:r>
      <w:r w:rsidRPr="005561B9">
        <w:rPr>
          <w:rFonts w:ascii="Times New Roman" w:hAnsi="Times New Roman" w:cs="Times New Roman"/>
          <w:sz w:val="20"/>
          <w:szCs w:val="20"/>
        </w:rPr>
        <w:t>KST Horná Nitra, SCK, SCK Stará Turá</w:t>
      </w:r>
      <w:r>
        <w:rPr>
          <w:rFonts w:ascii="Times New Roman" w:hAnsi="Times New Roman" w:cs="Times New Roman"/>
          <w:sz w:val="20"/>
          <w:szCs w:val="20"/>
        </w:rPr>
        <w:t>;</w:t>
      </w:r>
      <w:r w:rsidRPr="005561B9">
        <w:rPr>
          <w:rFonts w:ascii="Times New Roman" w:hAnsi="Times New Roman" w:cs="Times New Roman"/>
          <w:sz w:val="20"/>
          <w:szCs w:val="20"/>
        </w:rPr>
        <w:t xml:space="preserve"> </w:t>
      </w:r>
    </w:p>
    <w:p w:rsidR="00603E5E" w:rsidRPr="005561B9"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Nitriansky kraj: </w:t>
      </w:r>
      <w:r>
        <w:rPr>
          <w:rFonts w:ascii="Times New Roman" w:hAnsi="Times New Roman" w:cs="Times New Roman"/>
          <w:sz w:val="20"/>
          <w:szCs w:val="20"/>
        </w:rPr>
        <w:tab/>
      </w:r>
      <w:r w:rsidRPr="005561B9">
        <w:rPr>
          <w:rFonts w:ascii="Times New Roman" w:hAnsi="Times New Roman" w:cs="Times New Roman"/>
          <w:sz w:val="20"/>
          <w:szCs w:val="20"/>
        </w:rPr>
        <w:t xml:space="preserve">KST Zlaté Moravce, </w:t>
      </w:r>
      <w:proofErr w:type="spellStart"/>
      <w:r w:rsidRPr="005561B9">
        <w:rPr>
          <w:rFonts w:ascii="Times New Roman" w:hAnsi="Times New Roman" w:cs="Times New Roman"/>
          <w:sz w:val="20"/>
          <w:szCs w:val="20"/>
        </w:rPr>
        <w:t>Sotdum</w:t>
      </w:r>
      <w:proofErr w:type="spellEnd"/>
      <w:r w:rsidRPr="005561B9">
        <w:rPr>
          <w:rFonts w:ascii="Times New Roman" w:hAnsi="Times New Roman" w:cs="Times New Roman"/>
          <w:sz w:val="20"/>
          <w:szCs w:val="20"/>
        </w:rPr>
        <w:t xml:space="preserve">; </w:t>
      </w:r>
    </w:p>
    <w:p w:rsidR="00603E5E"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Trenčiansky kraj: </w:t>
      </w:r>
      <w:r>
        <w:rPr>
          <w:rFonts w:ascii="Times New Roman" w:hAnsi="Times New Roman" w:cs="Times New Roman"/>
          <w:sz w:val="20"/>
          <w:szCs w:val="20"/>
        </w:rPr>
        <w:tab/>
      </w:r>
      <w:proofErr w:type="spellStart"/>
      <w:r w:rsidRPr="005561B9">
        <w:rPr>
          <w:rFonts w:ascii="Times New Roman" w:hAnsi="Times New Roman" w:cs="Times New Roman"/>
          <w:sz w:val="20"/>
          <w:szCs w:val="20"/>
        </w:rPr>
        <w:t>Bicyglo</w:t>
      </w:r>
      <w:proofErr w:type="spellEnd"/>
      <w:r w:rsidRPr="005561B9">
        <w:rPr>
          <w:rFonts w:ascii="Times New Roman" w:hAnsi="Times New Roman" w:cs="Times New Roman"/>
          <w:sz w:val="20"/>
          <w:szCs w:val="20"/>
        </w:rPr>
        <w:t xml:space="preserve"> Trnava, SCK, SCK Záhorák Malacky; </w:t>
      </w:r>
    </w:p>
    <w:p w:rsidR="00603E5E"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Žilinský kraj: </w:t>
      </w:r>
      <w:r>
        <w:rPr>
          <w:rFonts w:ascii="Times New Roman" w:hAnsi="Times New Roman" w:cs="Times New Roman"/>
          <w:sz w:val="20"/>
          <w:szCs w:val="20"/>
        </w:rPr>
        <w:tab/>
      </w:r>
      <w:r w:rsidRPr="005561B9">
        <w:rPr>
          <w:rFonts w:ascii="Times New Roman" w:hAnsi="Times New Roman" w:cs="Times New Roman"/>
          <w:sz w:val="20"/>
          <w:szCs w:val="20"/>
        </w:rPr>
        <w:t xml:space="preserve">TBS JUS Martin, SCK Liptov, SCK Turzovka; </w:t>
      </w:r>
    </w:p>
    <w:p w:rsidR="00603E5E"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Banskobystrický kraj: SCK Ďumbier, </w:t>
      </w:r>
      <w:proofErr w:type="spellStart"/>
      <w:r w:rsidRPr="005561B9">
        <w:rPr>
          <w:rFonts w:ascii="Times New Roman" w:hAnsi="Times New Roman" w:cs="Times New Roman"/>
          <w:sz w:val="20"/>
          <w:szCs w:val="20"/>
        </w:rPr>
        <w:t>Cykloklub</w:t>
      </w:r>
      <w:proofErr w:type="spellEnd"/>
      <w:r w:rsidRPr="005561B9">
        <w:rPr>
          <w:rFonts w:ascii="Times New Roman" w:hAnsi="Times New Roman" w:cs="Times New Roman"/>
          <w:sz w:val="20"/>
          <w:szCs w:val="20"/>
        </w:rPr>
        <w:t xml:space="preserve"> Poľana Detva; </w:t>
      </w:r>
    </w:p>
    <w:p w:rsidR="00603E5E" w:rsidRPr="005561B9" w:rsidRDefault="00603E5E" w:rsidP="00BD3F93">
      <w:pPr>
        <w:pStyle w:val="Bezriadkovania"/>
        <w:ind w:firstLine="567"/>
        <w:jc w:val="both"/>
        <w:rPr>
          <w:rFonts w:ascii="Times New Roman" w:hAnsi="Times New Roman" w:cs="Times New Roman"/>
          <w:sz w:val="20"/>
          <w:szCs w:val="20"/>
        </w:rPr>
      </w:pPr>
      <w:r w:rsidRPr="005561B9">
        <w:rPr>
          <w:rFonts w:ascii="Times New Roman" w:hAnsi="Times New Roman" w:cs="Times New Roman"/>
          <w:sz w:val="20"/>
          <w:szCs w:val="20"/>
        </w:rPr>
        <w:t xml:space="preserve">Prešovský kraj: </w:t>
      </w:r>
      <w:r>
        <w:rPr>
          <w:rFonts w:ascii="Times New Roman" w:hAnsi="Times New Roman" w:cs="Times New Roman"/>
          <w:sz w:val="20"/>
          <w:szCs w:val="20"/>
        </w:rPr>
        <w:tab/>
      </w:r>
      <w:r w:rsidRPr="005561B9">
        <w:rPr>
          <w:rFonts w:ascii="Times New Roman" w:hAnsi="Times New Roman" w:cs="Times New Roman"/>
          <w:sz w:val="20"/>
          <w:szCs w:val="20"/>
        </w:rPr>
        <w:t xml:space="preserve">SCK - Slovenský </w:t>
      </w:r>
      <w:proofErr w:type="spellStart"/>
      <w:r w:rsidRPr="005561B9">
        <w:rPr>
          <w:rFonts w:ascii="Times New Roman" w:hAnsi="Times New Roman" w:cs="Times New Roman"/>
          <w:sz w:val="20"/>
          <w:szCs w:val="20"/>
        </w:rPr>
        <w:t>cykloklub</w:t>
      </w:r>
      <w:proofErr w:type="spellEnd"/>
      <w:r w:rsidRPr="005561B9">
        <w:rPr>
          <w:rFonts w:ascii="Times New Roman" w:hAnsi="Times New Roman" w:cs="Times New Roman"/>
          <w:sz w:val="20"/>
          <w:szCs w:val="20"/>
        </w:rPr>
        <w:t xml:space="preserve">, PBS </w:t>
      </w:r>
      <w:proofErr w:type="spellStart"/>
      <w:r w:rsidRPr="005561B9">
        <w:rPr>
          <w:rFonts w:ascii="Times New Roman" w:hAnsi="Times New Roman" w:cs="Times New Roman"/>
          <w:sz w:val="20"/>
          <w:szCs w:val="20"/>
        </w:rPr>
        <w:t>Kostitras</w:t>
      </w:r>
      <w:proofErr w:type="spellEnd"/>
      <w:r w:rsidRPr="005561B9">
        <w:rPr>
          <w:rFonts w:ascii="Times New Roman" w:hAnsi="Times New Roman" w:cs="Times New Roman"/>
          <w:sz w:val="20"/>
          <w:szCs w:val="20"/>
        </w:rPr>
        <w:t xml:space="preserve">, SCK Šariš; </w:t>
      </w:r>
    </w:p>
    <w:p w:rsidR="00603E5E" w:rsidRDefault="00603E5E" w:rsidP="00BD3F93">
      <w:pPr>
        <w:pStyle w:val="Bezriadkovania"/>
        <w:ind w:firstLine="567"/>
        <w:jc w:val="both"/>
      </w:pPr>
      <w:r w:rsidRPr="005561B9">
        <w:rPr>
          <w:rFonts w:ascii="Times New Roman" w:hAnsi="Times New Roman" w:cs="Times New Roman"/>
          <w:sz w:val="20"/>
          <w:szCs w:val="20"/>
        </w:rPr>
        <w:t xml:space="preserve">Košický kraj: </w:t>
      </w:r>
      <w:r>
        <w:rPr>
          <w:rFonts w:ascii="Times New Roman" w:hAnsi="Times New Roman" w:cs="Times New Roman"/>
          <w:sz w:val="20"/>
          <w:szCs w:val="20"/>
        </w:rPr>
        <w:tab/>
      </w:r>
      <w:r w:rsidRPr="005561B9">
        <w:rPr>
          <w:rFonts w:ascii="Times New Roman" w:hAnsi="Times New Roman" w:cs="Times New Roman"/>
          <w:sz w:val="20"/>
          <w:szCs w:val="20"/>
        </w:rPr>
        <w:t>SCK Gemerská Hôrka, Rozvoj Spiš, SCK</w:t>
      </w:r>
    </w:p>
  </w:footnote>
  <w:footnote w:id="4">
    <w:p w:rsidR="00603E5E" w:rsidRDefault="00603E5E">
      <w:pPr>
        <w:pStyle w:val="Textpoznmkypodiarou"/>
      </w:pPr>
      <w:r>
        <w:rPr>
          <w:rStyle w:val="Odkaznapoznmkupodiarou"/>
        </w:rPr>
        <w:footnoteRef/>
      </w:r>
      <w:r>
        <w:t xml:space="preserve"> </w:t>
      </w:r>
      <w:r w:rsidRPr="001E60F9">
        <w:rPr>
          <w:rFonts w:cs="Times New Roman"/>
          <w:i/>
        </w:rPr>
        <w:t>Pre porovnanie: Český SFDI po</w:t>
      </w:r>
      <w:r>
        <w:rPr>
          <w:rFonts w:cs="Times New Roman"/>
          <w:i/>
        </w:rPr>
        <w:t xml:space="preserve">dporil rozvoj infraštruktúry pre </w:t>
      </w:r>
      <w:r w:rsidRPr="001E60F9">
        <w:rPr>
          <w:rFonts w:cs="Times New Roman"/>
          <w:i/>
        </w:rPr>
        <w:t>cyklistickú dopravu a cykloturistiku za desať rokov (2001 – 2010) dotáci</w:t>
      </w:r>
      <w:r>
        <w:rPr>
          <w:rFonts w:cs="Times New Roman"/>
          <w:i/>
        </w:rPr>
        <w:t>ami</w:t>
      </w:r>
      <w:r w:rsidRPr="001E60F9">
        <w:rPr>
          <w:rFonts w:cs="Times New Roman"/>
          <w:i/>
        </w:rPr>
        <w:t xml:space="preserve"> v</w:t>
      </w:r>
      <w:r>
        <w:rPr>
          <w:rFonts w:cs="Times New Roman"/>
          <w:i/>
        </w:rPr>
        <w:t xml:space="preserve"> celkovej</w:t>
      </w:r>
      <w:r w:rsidRPr="001E60F9">
        <w:rPr>
          <w:rFonts w:cs="Times New Roman"/>
          <w:i/>
        </w:rPr>
        <w:t xml:space="preserve"> výške 126 mil. €, pričom dotácia mohla byť do výšky 75% nákladov. </w:t>
      </w:r>
      <w:r w:rsidRPr="001E60F9">
        <w:rPr>
          <w:rFonts w:eastAsiaTheme="minorEastAsia" w:cs="Times New Roman"/>
          <w:i/>
          <w:lang w:eastAsia="sk-SK"/>
        </w:rPr>
        <w:t xml:space="preserve">Na Slovensku bola poskytnutá dotácia výlučne na </w:t>
      </w:r>
      <w:r>
        <w:rPr>
          <w:rFonts w:eastAsiaTheme="minorEastAsia" w:cs="Times New Roman"/>
          <w:i/>
          <w:lang w:eastAsia="sk-SK"/>
        </w:rPr>
        <w:t>značenie</w:t>
      </w:r>
      <w:r w:rsidRPr="001E60F9">
        <w:rPr>
          <w:rFonts w:eastAsiaTheme="minorEastAsia" w:cs="Times New Roman"/>
          <w:i/>
          <w:lang w:eastAsia="sk-SK"/>
        </w:rPr>
        <w:t xml:space="preserve"> cykloturistických trás a súvisiace náklady </w:t>
      </w:r>
      <w:r>
        <w:rPr>
          <w:rFonts w:eastAsiaTheme="minorEastAsia" w:cs="Times New Roman"/>
          <w:i/>
          <w:lang w:eastAsia="sk-SK"/>
        </w:rPr>
        <w:t xml:space="preserve">cez </w:t>
      </w:r>
      <w:proofErr w:type="spellStart"/>
      <w:r w:rsidRPr="001E60F9">
        <w:rPr>
          <w:rFonts w:eastAsiaTheme="minorEastAsia" w:cs="Times New Roman"/>
          <w:i/>
          <w:lang w:eastAsia="sk-SK"/>
        </w:rPr>
        <w:t>MŠVVaŠ</w:t>
      </w:r>
      <w:proofErr w:type="spellEnd"/>
      <w:r w:rsidRPr="001E60F9">
        <w:rPr>
          <w:rFonts w:eastAsiaTheme="minorEastAsia" w:cs="Times New Roman"/>
          <w:i/>
          <w:lang w:eastAsia="sk-SK"/>
        </w:rPr>
        <w:t xml:space="preserve"> SR</w:t>
      </w:r>
      <w:r>
        <w:rPr>
          <w:rFonts w:eastAsiaTheme="minorEastAsia" w:cs="Times New Roman"/>
          <w:i/>
          <w:lang w:eastAsia="sk-SK"/>
        </w:rPr>
        <w:t xml:space="preserve"> –</w:t>
      </w:r>
      <w:r w:rsidRPr="001E60F9">
        <w:rPr>
          <w:rFonts w:eastAsiaTheme="minorEastAsia" w:cs="Times New Roman"/>
          <w:i/>
          <w:lang w:eastAsia="sk-SK"/>
        </w:rPr>
        <w:t xml:space="preserve"> od roku 1999 do roku 2012 spolu vo výške 155,5 tis</w:t>
      </w:r>
      <w:r>
        <w:rPr>
          <w:rFonts w:eastAsiaTheme="minorEastAsia" w:cs="Times New Roman"/>
          <w:i/>
          <w:lang w:eastAsia="sk-SK"/>
        </w:rPr>
        <w:t>.</w:t>
      </w:r>
      <w:r w:rsidRPr="001E60F9">
        <w:rPr>
          <w:rFonts w:eastAsiaTheme="minorEastAsia" w:cs="Times New Roman"/>
          <w:i/>
          <w:lang w:eastAsia="sk-SK"/>
        </w:rPr>
        <w:t xml:space="preserve"> € (čo  ročne činí približne tisícinu štátnej podpory v ČR).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AA5"/>
    <w:multiLevelType w:val="hybridMultilevel"/>
    <w:tmpl w:val="2F7037E6"/>
    <w:lvl w:ilvl="0" w:tplc="041B0001">
      <w:start w:val="1"/>
      <w:numFmt w:val="bullet"/>
      <w:lvlText w:val=""/>
      <w:lvlJc w:val="left"/>
      <w:pPr>
        <w:ind w:left="2931" w:hanging="360"/>
      </w:pPr>
      <w:rPr>
        <w:rFonts w:ascii="Symbol" w:hAnsi="Symbol" w:hint="default"/>
      </w:rPr>
    </w:lvl>
    <w:lvl w:ilvl="1" w:tplc="041B0003" w:tentative="1">
      <w:start w:val="1"/>
      <w:numFmt w:val="bullet"/>
      <w:lvlText w:val="o"/>
      <w:lvlJc w:val="left"/>
      <w:pPr>
        <w:ind w:left="3651" w:hanging="360"/>
      </w:pPr>
      <w:rPr>
        <w:rFonts w:ascii="Courier New" w:hAnsi="Courier New" w:cs="Courier New" w:hint="default"/>
      </w:rPr>
    </w:lvl>
    <w:lvl w:ilvl="2" w:tplc="041B0005" w:tentative="1">
      <w:start w:val="1"/>
      <w:numFmt w:val="bullet"/>
      <w:lvlText w:val=""/>
      <w:lvlJc w:val="left"/>
      <w:pPr>
        <w:ind w:left="4371" w:hanging="360"/>
      </w:pPr>
      <w:rPr>
        <w:rFonts w:ascii="Wingdings" w:hAnsi="Wingdings" w:hint="default"/>
      </w:rPr>
    </w:lvl>
    <w:lvl w:ilvl="3" w:tplc="041B0001" w:tentative="1">
      <w:start w:val="1"/>
      <w:numFmt w:val="bullet"/>
      <w:lvlText w:val=""/>
      <w:lvlJc w:val="left"/>
      <w:pPr>
        <w:ind w:left="5091" w:hanging="360"/>
      </w:pPr>
      <w:rPr>
        <w:rFonts w:ascii="Symbol" w:hAnsi="Symbol" w:hint="default"/>
      </w:rPr>
    </w:lvl>
    <w:lvl w:ilvl="4" w:tplc="041B0003" w:tentative="1">
      <w:start w:val="1"/>
      <w:numFmt w:val="bullet"/>
      <w:lvlText w:val="o"/>
      <w:lvlJc w:val="left"/>
      <w:pPr>
        <w:ind w:left="5811" w:hanging="360"/>
      </w:pPr>
      <w:rPr>
        <w:rFonts w:ascii="Courier New" w:hAnsi="Courier New" w:cs="Courier New" w:hint="default"/>
      </w:rPr>
    </w:lvl>
    <w:lvl w:ilvl="5" w:tplc="041B0005" w:tentative="1">
      <w:start w:val="1"/>
      <w:numFmt w:val="bullet"/>
      <w:lvlText w:val=""/>
      <w:lvlJc w:val="left"/>
      <w:pPr>
        <w:ind w:left="6531" w:hanging="360"/>
      </w:pPr>
      <w:rPr>
        <w:rFonts w:ascii="Wingdings" w:hAnsi="Wingdings" w:hint="default"/>
      </w:rPr>
    </w:lvl>
    <w:lvl w:ilvl="6" w:tplc="041B0001" w:tentative="1">
      <w:start w:val="1"/>
      <w:numFmt w:val="bullet"/>
      <w:lvlText w:val=""/>
      <w:lvlJc w:val="left"/>
      <w:pPr>
        <w:ind w:left="7251" w:hanging="360"/>
      </w:pPr>
      <w:rPr>
        <w:rFonts w:ascii="Symbol" w:hAnsi="Symbol" w:hint="default"/>
      </w:rPr>
    </w:lvl>
    <w:lvl w:ilvl="7" w:tplc="041B0003" w:tentative="1">
      <w:start w:val="1"/>
      <w:numFmt w:val="bullet"/>
      <w:lvlText w:val="o"/>
      <w:lvlJc w:val="left"/>
      <w:pPr>
        <w:ind w:left="7971" w:hanging="360"/>
      </w:pPr>
      <w:rPr>
        <w:rFonts w:ascii="Courier New" w:hAnsi="Courier New" w:cs="Courier New" w:hint="default"/>
      </w:rPr>
    </w:lvl>
    <w:lvl w:ilvl="8" w:tplc="041B0005" w:tentative="1">
      <w:start w:val="1"/>
      <w:numFmt w:val="bullet"/>
      <w:lvlText w:val=""/>
      <w:lvlJc w:val="left"/>
      <w:pPr>
        <w:ind w:left="8691" w:hanging="360"/>
      </w:pPr>
      <w:rPr>
        <w:rFonts w:ascii="Wingdings" w:hAnsi="Wingdings" w:hint="default"/>
      </w:rPr>
    </w:lvl>
  </w:abstractNum>
  <w:abstractNum w:abstractNumId="1">
    <w:nsid w:val="09E8446A"/>
    <w:multiLevelType w:val="multilevel"/>
    <w:tmpl w:val="180860F0"/>
    <w:numStyleLink w:val="tl1"/>
  </w:abstractNum>
  <w:abstractNum w:abstractNumId="2">
    <w:nsid w:val="0C0E1552"/>
    <w:multiLevelType w:val="hybridMultilevel"/>
    <w:tmpl w:val="40DA5C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6D48CA"/>
    <w:multiLevelType w:val="hybridMultilevel"/>
    <w:tmpl w:val="A368645A"/>
    <w:lvl w:ilvl="0" w:tplc="575CE02C">
      <w:start w:val="1"/>
      <w:numFmt w:val="decimal"/>
      <w:pStyle w:val="Nadpisprlohy"/>
      <w:lvlText w:val="Príloha %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201495"/>
    <w:multiLevelType w:val="hybridMultilevel"/>
    <w:tmpl w:val="96887A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E465F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E15DCD"/>
    <w:multiLevelType w:val="hybridMultilevel"/>
    <w:tmpl w:val="A7421F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5D23D70"/>
    <w:multiLevelType w:val="hybridMultilevel"/>
    <w:tmpl w:val="69A698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130604B"/>
    <w:multiLevelType w:val="hybridMultilevel"/>
    <w:tmpl w:val="AE28BB92"/>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A006D9"/>
    <w:multiLevelType w:val="hybridMultilevel"/>
    <w:tmpl w:val="E4F8A08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8841F4"/>
    <w:multiLevelType w:val="hybridMultilevel"/>
    <w:tmpl w:val="6C3A7356"/>
    <w:lvl w:ilvl="0" w:tplc="ADDA1A46">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1">
    <w:nsid w:val="2CE764FD"/>
    <w:multiLevelType w:val="hybridMultilevel"/>
    <w:tmpl w:val="2C401BDE"/>
    <w:lvl w:ilvl="0" w:tplc="7292DDFA">
      <w:start w:val="7"/>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E522FAC"/>
    <w:multiLevelType w:val="multilevel"/>
    <w:tmpl w:val="180860F0"/>
    <w:numStyleLink w:val="tl1"/>
  </w:abstractNum>
  <w:abstractNum w:abstractNumId="13">
    <w:nsid w:val="3C72105E"/>
    <w:multiLevelType w:val="hybridMultilevel"/>
    <w:tmpl w:val="1B40D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006AC5"/>
    <w:multiLevelType w:val="multilevel"/>
    <w:tmpl w:val="62804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31C3ABD"/>
    <w:multiLevelType w:val="hybridMultilevel"/>
    <w:tmpl w:val="532AD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A6A0582"/>
    <w:multiLevelType w:val="hybridMultilevel"/>
    <w:tmpl w:val="E5E2B2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AB55057"/>
    <w:multiLevelType w:val="hybridMultilevel"/>
    <w:tmpl w:val="B11AE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8732F1"/>
    <w:multiLevelType w:val="hybridMultilevel"/>
    <w:tmpl w:val="0E5409F2"/>
    <w:lvl w:ilvl="0" w:tplc="579C83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EA0272F"/>
    <w:multiLevelType w:val="multilevel"/>
    <w:tmpl w:val="5B7E7470"/>
    <w:lvl w:ilvl="0">
      <w:start w:val="1"/>
      <w:numFmt w:val="decimal"/>
      <w:pStyle w:val="Nadpis1"/>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537E57C9"/>
    <w:multiLevelType w:val="hybridMultilevel"/>
    <w:tmpl w:val="E8385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79503B"/>
    <w:multiLevelType w:val="hybridMultilevel"/>
    <w:tmpl w:val="3F421D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BC85319"/>
    <w:multiLevelType w:val="multilevel"/>
    <w:tmpl w:val="041B001D"/>
    <w:styleLink w:val="tl2"/>
    <w:lvl w:ilvl="0">
      <w:start w:val="1"/>
      <w:numFmt w:val="decimal"/>
      <w:lvlText w:val="%1)"/>
      <w:lvlJc w:val="left"/>
      <w:pPr>
        <w:ind w:left="360" w:hanging="360"/>
      </w:pPr>
      <w:rPr>
        <w:rFonts w:ascii="Times New Roman" w:hAnsi="Times New Roman"/>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01091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5A2CE5"/>
    <w:multiLevelType w:val="hybridMultilevel"/>
    <w:tmpl w:val="9D9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63D00B4"/>
    <w:multiLevelType w:val="hybridMultilevel"/>
    <w:tmpl w:val="5F328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74D47C0"/>
    <w:multiLevelType w:val="hybridMultilevel"/>
    <w:tmpl w:val="E70AED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7666EFB"/>
    <w:multiLevelType w:val="hybridMultilevel"/>
    <w:tmpl w:val="DBC0D7FE"/>
    <w:lvl w:ilvl="0" w:tplc="041B0001">
      <w:start w:val="1"/>
      <w:numFmt w:val="bullet"/>
      <w:lvlText w:val=""/>
      <w:lvlJc w:val="left"/>
      <w:pPr>
        <w:ind w:left="720" w:hanging="360"/>
      </w:pPr>
      <w:rPr>
        <w:rFonts w:ascii="Symbol" w:hAnsi="Symbol" w:hint="default"/>
      </w:rPr>
    </w:lvl>
    <w:lvl w:ilvl="1" w:tplc="7292DDFA">
      <w:start w:val="7"/>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ACA2627"/>
    <w:multiLevelType w:val="hybridMultilevel"/>
    <w:tmpl w:val="D5B8A75C"/>
    <w:lvl w:ilvl="0" w:tplc="579C83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EDC3838"/>
    <w:multiLevelType w:val="multilevel"/>
    <w:tmpl w:val="180860F0"/>
    <w:styleLink w:val="tl1"/>
    <w:lvl w:ilvl="0">
      <w:start w:val="1"/>
      <w:numFmt w:val="decimal"/>
      <w:lvlText w:val="Priorita %1"/>
      <w:lvlJc w:val="left"/>
      <w:pPr>
        <w:ind w:left="1418" w:hanging="1418"/>
      </w:pPr>
      <w:rPr>
        <w:rFonts w:ascii="Times New Roman" w:hAnsi="Times New Roman" w:hint="default"/>
        <w:b/>
        <w:i w:val="0"/>
        <w:color w:val="auto"/>
        <w:sz w:val="32"/>
      </w:rPr>
    </w:lvl>
    <w:lvl w:ilvl="1">
      <w:start w:val="1"/>
      <w:numFmt w:val="decimal"/>
      <w:lvlText w:val="%1.%2"/>
      <w:lvlJc w:val="left"/>
      <w:pPr>
        <w:tabs>
          <w:tab w:val="num" w:pos="851"/>
        </w:tabs>
        <w:ind w:left="851" w:hanging="491"/>
      </w:pPr>
      <w:rPr>
        <w:rFonts w:ascii="Times New Roman" w:hAnsi="Times New Roman" w:hint="default"/>
        <w:b/>
        <w:i w:val="0"/>
        <w:color w:val="auto"/>
        <w:sz w:val="28"/>
      </w:rPr>
    </w:lvl>
    <w:lvl w:ilvl="2">
      <w:start w:val="1"/>
      <w:numFmt w:val="decimal"/>
      <w:lvlText w:val="Opatrenie %1.%2.%3"/>
      <w:lvlJc w:val="left"/>
      <w:pPr>
        <w:tabs>
          <w:tab w:val="num" w:pos="2211"/>
        </w:tabs>
        <w:ind w:left="2211" w:hanging="1854"/>
      </w:pPr>
      <w:rPr>
        <w:rFonts w:ascii="Times New Roman" w:hAnsi="Times New Roman"/>
        <w:b/>
        <w:color w:val="auto"/>
        <w:sz w:val="24"/>
      </w:rPr>
    </w:lvl>
    <w:lvl w:ilvl="3">
      <w:start w:val="1"/>
      <w:numFmt w:val="none"/>
      <w:lvlText w:val=""/>
      <w:lvlJc w:val="left"/>
      <w:pPr>
        <w:ind w:left="2495" w:hanging="227"/>
      </w:pPr>
      <w:rPr>
        <w:rFonts w:ascii="Symbol" w:hAnsi="Symbol" w:hint="default"/>
        <w:color w:val="76923C" w:themeColor="accent3" w:themeShade="BF"/>
      </w:rPr>
    </w:lvl>
    <w:lvl w:ilvl="4">
      <w:start w:val="1"/>
      <w:numFmt w:val="none"/>
      <w:lvlText w:val=""/>
      <w:lvlJc w:val="left"/>
      <w:pPr>
        <w:ind w:left="3175" w:hanging="340"/>
      </w:pPr>
      <w:rPr>
        <w:rFonts w:ascii="Symbol" w:hAnsi="Symbol" w:hint="default"/>
        <w:color w:val="76923C" w:themeColor="accent3" w:themeShade="BF"/>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F04B35"/>
    <w:multiLevelType w:val="multilevel"/>
    <w:tmpl w:val="D90E78D6"/>
    <w:styleLink w:val="tl3"/>
    <w:lvl w:ilvl="0">
      <w:start w:val="1"/>
      <w:numFmt w:val="decimal"/>
      <w:lvlText w:val="Príloha %1"/>
      <w:lvlJc w:val="left"/>
      <w:pPr>
        <w:ind w:left="107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602A07"/>
    <w:multiLevelType w:val="hybridMultilevel"/>
    <w:tmpl w:val="2FAA11F4"/>
    <w:lvl w:ilvl="0" w:tplc="041B0001">
      <w:start w:val="1"/>
      <w:numFmt w:val="bullet"/>
      <w:lvlText w:val=""/>
      <w:lvlJc w:val="left"/>
      <w:pPr>
        <w:ind w:left="720" w:hanging="360"/>
      </w:pPr>
      <w:rPr>
        <w:rFonts w:ascii="Symbol" w:hAnsi="Symbol" w:hint="default"/>
      </w:rPr>
    </w:lvl>
    <w:lvl w:ilvl="1" w:tplc="3AAC4B3E">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B000201"/>
    <w:multiLevelType w:val="hybridMultilevel"/>
    <w:tmpl w:val="031227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D0B520D"/>
    <w:multiLevelType w:val="hybridMultilevel"/>
    <w:tmpl w:val="038C4C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7"/>
  </w:num>
  <w:num w:numId="2">
    <w:abstractNumId w:val="25"/>
  </w:num>
  <w:num w:numId="3">
    <w:abstractNumId w:val="31"/>
  </w:num>
  <w:num w:numId="4">
    <w:abstractNumId w:val="13"/>
  </w:num>
  <w:num w:numId="5">
    <w:abstractNumId w:val="19"/>
  </w:num>
  <w:num w:numId="6">
    <w:abstractNumId w:val="17"/>
  </w:num>
  <w:num w:numId="7">
    <w:abstractNumId w:val="4"/>
  </w:num>
  <w:num w:numId="8">
    <w:abstractNumId w:val="1"/>
  </w:num>
  <w:num w:numId="9">
    <w:abstractNumId w:val="3"/>
  </w:num>
  <w:num w:numId="10">
    <w:abstractNumId w:val="12"/>
    <w:lvlOverride w:ilvl="0">
      <w:lvl w:ilvl="0">
        <w:start w:val="1"/>
        <w:numFmt w:val="decimal"/>
        <w:lvlText w:val="Priorita %1"/>
        <w:lvlJc w:val="left"/>
        <w:pPr>
          <w:ind w:left="1418" w:hanging="1418"/>
        </w:pPr>
        <w:rPr>
          <w:rFonts w:ascii="Times New Roman" w:hAnsi="Times New Roman" w:hint="default"/>
          <w:b/>
          <w:i w:val="0"/>
          <w:color w:val="auto"/>
          <w:sz w:val="32"/>
        </w:rPr>
      </w:lvl>
    </w:lvlOverride>
    <w:lvlOverride w:ilvl="1">
      <w:lvl w:ilvl="1">
        <w:start w:val="1"/>
        <w:numFmt w:val="decimal"/>
        <w:lvlText w:val="%1.%2"/>
        <w:lvlJc w:val="left"/>
        <w:pPr>
          <w:tabs>
            <w:tab w:val="num" w:pos="851"/>
          </w:tabs>
          <w:ind w:left="851" w:hanging="491"/>
        </w:pPr>
        <w:rPr>
          <w:rFonts w:ascii="Times New Roman" w:hAnsi="Times New Roman" w:hint="default"/>
          <w:b/>
          <w:i w:val="0"/>
          <w:color w:val="auto"/>
          <w:sz w:val="28"/>
        </w:rPr>
      </w:lvl>
    </w:lvlOverride>
    <w:lvlOverride w:ilvl="2">
      <w:lvl w:ilvl="2">
        <w:start w:val="1"/>
        <w:numFmt w:val="decimal"/>
        <w:lvlText w:val="Opatrenie %1.%2.%3"/>
        <w:lvlJc w:val="left"/>
        <w:pPr>
          <w:tabs>
            <w:tab w:val="num" w:pos="2211"/>
          </w:tabs>
          <w:ind w:left="2211" w:hanging="1854"/>
        </w:pPr>
        <w:rPr>
          <w:rFonts w:hint="default"/>
          <w:b/>
          <w:i w:val="0"/>
          <w:color w:val="auto"/>
          <w:sz w:val="24"/>
        </w:rPr>
      </w:lvl>
    </w:lvlOverride>
    <w:lvlOverride w:ilvl="3">
      <w:lvl w:ilvl="3">
        <w:start w:val="1"/>
        <w:numFmt w:val="none"/>
        <w:lvlText w:val=""/>
        <w:lvlJc w:val="left"/>
        <w:pPr>
          <w:ind w:left="2495" w:hanging="227"/>
        </w:pPr>
        <w:rPr>
          <w:rFonts w:ascii="Symbol" w:hAnsi="Symbol" w:hint="default"/>
          <w:color w:val="auto"/>
        </w:rPr>
      </w:lvl>
    </w:lvlOverride>
    <w:lvlOverride w:ilvl="4">
      <w:lvl w:ilvl="4">
        <w:start w:val="1"/>
        <w:numFmt w:val="none"/>
        <w:lvlText w:val=""/>
        <w:lvlJc w:val="left"/>
        <w:pPr>
          <w:ind w:left="3175" w:hanging="340"/>
        </w:pPr>
        <w:rPr>
          <w:rFonts w:ascii="Symbol" w:hAnsi="Symbol" w:hint="default"/>
          <w:color w:val="76923C" w:themeColor="accent3" w:themeShade="BF"/>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5"/>
  </w:num>
  <w:num w:numId="12">
    <w:abstractNumId w:val="33"/>
  </w:num>
  <w:num w:numId="13">
    <w:abstractNumId w:val="6"/>
  </w:num>
  <w:num w:numId="14">
    <w:abstractNumId w:val="16"/>
  </w:num>
  <w:num w:numId="15">
    <w:abstractNumId w:val="7"/>
  </w:num>
  <w:num w:numId="16">
    <w:abstractNumId w:val="26"/>
  </w:num>
  <w:num w:numId="17">
    <w:abstractNumId w:val="0"/>
  </w:num>
  <w:num w:numId="18">
    <w:abstractNumId w:val="11"/>
  </w:num>
  <w:num w:numId="19">
    <w:abstractNumId w:val="19"/>
    <w:lvlOverride w:ilvl="0">
      <w:startOverride w:val="3"/>
    </w:lvlOverride>
    <w:lvlOverride w:ilvl="1">
      <w:startOverride w:val="2"/>
    </w:lvlOverride>
  </w:num>
  <w:num w:numId="20">
    <w:abstractNumId w:val="19"/>
  </w:num>
  <w:num w:numId="21">
    <w:abstractNumId w:val="10"/>
  </w:num>
  <w:num w:numId="22">
    <w:abstractNumId w:val="8"/>
  </w:num>
  <w:num w:numId="23">
    <w:abstractNumId w:val="28"/>
  </w:num>
  <w:num w:numId="24">
    <w:abstractNumId w:val="18"/>
  </w:num>
  <w:num w:numId="25">
    <w:abstractNumId w:val="3"/>
    <w:lvlOverride w:ilvl="0">
      <w:startOverride w:val="1"/>
    </w:lvlOverride>
  </w:num>
  <w:num w:numId="26">
    <w:abstractNumId w:val="19"/>
  </w:num>
  <w:num w:numId="27">
    <w:abstractNumId w:val="14"/>
  </w:num>
  <w:num w:numId="28">
    <w:abstractNumId w:val="21"/>
  </w:num>
  <w:num w:numId="29">
    <w:abstractNumId w:val="32"/>
  </w:num>
  <w:num w:numId="30">
    <w:abstractNumId w:val="29"/>
  </w:num>
  <w:num w:numId="31">
    <w:abstractNumId w:val="5"/>
  </w:num>
  <w:num w:numId="32">
    <w:abstractNumId w:val="23"/>
  </w:num>
  <w:num w:numId="33">
    <w:abstractNumId w:val="22"/>
  </w:num>
  <w:num w:numId="34">
    <w:abstractNumId w:val="30"/>
  </w:num>
  <w:num w:numId="35">
    <w:abstractNumId w:val="24"/>
  </w:num>
  <w:num w:numId="36">
    <w:abstractNumId w:val="9"/>
  </w:num>
  <w:num w:numId="37">
    <w:abstractNumId w:val="2"/>
  </w:num>
  <w:num w:numId="3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53B4"/>
    <w:rsid w:val="000009AA"/>
    <w:rsid w:val="00000F48"/>
    <w:rsid w:val="00001875"/>
    <w:rsid w:val="00001BE5"/>
    <w:rsid w:val="0000432E"/>
    <w:rsid w:val="00004356"/>
    <w:rsid w:val="00004DA9"/>
    <w:rsid w:val="000058C6"/>
    <w:rsid w:val="00013F5D"/>
    <w:rsid w:val="00014E6F"/>
    <w:rsid w:val="00017609"/>
    <w:rsid w:val="0001797F"/>
    <w:rsid w:val="00020D40"/>
    <w:rsid w:val="000223F2"/>
    <w:rsid w:val="000228F0"/>
    <w:rsid w:val="00023B24"/>
    <w:rsid w:val="000253AC"/>
    <w:rsid w:val="00025D5E"/>
    <w:rsid w:val="00026C35"/>
    <w:rsid w:val="00026D31"/>
    <w:rsid w:val="0004026F"/>
    <w:rsid w:val="000403FB"/>
    <w:rsid w:val="00040C75"/>
    <w:rsid w:val="00043181"/>
    <w:rsid w:val="0004504D"/>
    <w:rsid w:val="00052306"/>
    <w:rsid w:val="00052529"/>
    <w:rsid w:val="00053804"/>
    <w:rsid w:val="00056BF2"/>
    <w:rsid w:val="00063AF4"/>
    <w:rsid w:val="000653DF"/>
    <w:rsid w:val="0006541A"/>
    <w:rsid w:val="000660BD"/>
    <w:rsid w:val="00066DEF"/>
    <w:rsid w:val="0007011E"/>
    <w:rsid w:val="00070D6C"/>
    <w:rsid w:val="00071AF6"/>
    <w:rsid w:val="000755D4"/>
    <w:rsid w:val="0007616D"/>
    <w:rsid w:val="00076E8C"/>
    <w:rsid w:val="0007778E"/>
    <w:rsid w:val="00082DC9"/>
    <w:rsid w:val="00083298"/>
    <w:rsid w:val="00083F93"/>
    <w:rsid w:val="00084714"/>
    <w:rsid w:val="0008481A"/>
    <w:rsid w:val="00087074"/>
    <w:rsid w:val="00090E1E"/>
    <w:rsid w:val="000933EA"/>
    <w:rsid w:val="00094580"/>
    <w:rsid w:val="0009508C"/>
    <w:rsid w:val="00095B62"/>
    <w:rsid w:val="000967E4"/>
    <w:rsid w:val="00097DB0"/>
    <w:rsid w:val="000A06A1"/>
    <w:rsid w:val="000A1B67"/>
    <w:rsid w:val="000A1E0B"/>
    <w:rsid w:val="000A24BD"/>
    <w:rsid w:val="000A2594"/>
    <w:rsid w:val="000A2770"/>
    <w:rsid w:val="000A37C3"/>
    <w:rsid w:val="000B3418"/>
    <w:rsid w:val="000B4237"/>
    <w:rsid w:val="000B5B13"/>
    <w:rsid w:val="000B7159"/>
    <w:rsid w:val="000C03CB"/>
    <w:rsid w:val="000C1F95"/>
    <w:rsid w:val="000C7CE3"/>
    <w:rsid w:val="000D2313"/>
    <w:rsid w:val="000D575F"/>
    <w:rsid w:val="000D6DC6"/>
    <w:rsid w:val="000D7920"/>
    <w:rsid w:val="000E1390"/>
    <w:rsid w:val="000E1D7E"/>
    <w:rsid w:val="000E1EAA"/>
    <w:rsid w:val="000E3063"/>
    <w:rsid w:val="000E4AAF"/>
    <w:rsid w:val="000E721E"/>
    <w:rsid w:val="000F301E"/>
    <w:rsid w:val="000F508D"/>
    <w:rsid w:val="001015BF"/>
    <w:rsid w:val="0010589D"/>
    <w:rsid w:val="00106D81"/>
    <w:rsid w:val="00107828"/>
    <w:rsid w:val="00112B4F"/>
    <w:rsid w:val="0011304D"/>
    <w:rsid w:val="001139F8"/>
    <w:rsid w:val="00115083"/>
    <w:rsid w:val="00115FA8"/>
    <w:rsid w:val="0012221D"/>
    <w:rsid w:val="0013025E"/>
    <w:rsid w:val="001303F3"/>
    <w:rsid w:val="001318BA"/>
    <w:rsid w:val="00131A56"/>
    <w:rsid w:val="00133843"/>
    <w:rsid w:val="001403FA"/>
    <w:rsid w:val="00141BE6"/>
    <w:rsid w:val="00142779"/>
    <w:rsid w:val="00143332"/>
    <w:rsid w:val="00143F91"/>
    <w:rsid w:val="00144A52"/>
    <w:rsid w:val="0014571F"/>
    <w:rsid w:val="00155863"/>
    <w:rsid w:val="00156DB8"/>
    <w:rsid w:val="0016256F"/>
    <w:rsid w:val="00172F25"/>
    <w:rsid w:val="00173445"/>
    <w:rsid w:val="001761E1"/>
    <w:rsid w:val="00176B21"/>
    <w:rsid w:val="00177457"/>
    <w:rsid w:val="00182A92"/>
    <w:rsid w:val="00183038"/>
    <w:rsid w:val="00183E3C"/>
    <w:rsid w:val="00184217"/>
    <w:rsid w:val="001854F4"/>
    <w:rsid w:val="00192161"/>
    <w:rsid w:val="00194048"/>
    <w:rsid w:val="00194E46"/>
    <w:rsid w:val="00196E5C"/>
    <w:rsid w:val="001A0961"/>
    <w:rsid w:val="001A1BE2"/>
    <w:rsid w:val="001A1BE3"/>
    <w:rsid w:val="001B0C47"/>
    <w:rsid w:val="001B1722"/>
    <w:rsid w:val="001B51F2"/>
    <w:rsid w:val="001B5843"/>
    <w:rsid w:val="001B6C6D"/>
    <w:rsid w:val="001B7312"/>
    <w:rsid w:val="001C13C8"/>
    <w:rsid w:val="001C13CB"/>
    <w:rsid w:val="001C40EF"/>
    <w:rsid w:val="001C4133"/>
    <w:rsid w:val="001D1C0E"/>
    <w:rsid w:val="001D45CA"/>
    <w:rsid w:val="001D4B9B"/>
    <w:rsid w:val="001D5F96"/>
    <w:rsid w:val="001D65A7"/>
    <w:rsid w:val="001E195E"/>
    <w:rsid w:val="001E24D5"/>
    <w:rsid w:val="001E37BF"/>
    <w:rsid w:val="001E515A"/>
    <w:rsid w:val="001E5E0D"/>
    <w:rsid w:val="001E60F9"/>
    <w:rsid w:val="001E6772"/>
    <w:rsid w:val="002013DB"/>
    <w:rsid w:val="00203368"/>
    <w:rsid w:val="00203C0B"/>
    <w:rsid w:val="00205200"/>
    <w:rsid w:val="00205CE6"/>
    <w:rsid w:val="00206246"/>
    <w:rsid w:val="00206F8C"/>
    <w:rsid w:val="00210A4C"/>
    <w:rsid w:val="00210BA2"/>
    <w:rsid w:val="00211410"/>
    <w:rsid w:val="00211693"/>
    <w:rsid w:val="00214D03"/>
    <w:rsid w:val="00214E48"/>
    <w:rsid w:val="00216C95"/>
    <w:rsid w:val="00220650"/>
    <w:rsid w:val="00220E4A"/>
    <w:rsid w:val="00222E0F"/>
    <w:rsid w:val="00224EAD"/>
    <w:rsid w:val="00225E7B"/>
    <w:rsid w:val="002263EC"/>
    <w:rsid w:val="002327C2"/>
    <w:rsid w:val="0023311D"/>
    <w:rsid w:val="00233F87"/>
    <w:rsid w:val="0023564A"/>
    <w:rsid w:val="00236443"/>
    <w:rsid w:val="00237374"/>
    <w:rsid w:val="002374A3"/>
    <w:rsid w:val="00241D77"/>
    <w:rsid w:val="00241DF6"/>
    <w:rsid w:val="00243E46"/>
    <w:rsid w:val="00245508"/>
    <w:rsid w:val="00252F0B"/>
    <w:rsid w:val="00252F16"/>
    <w:rsid w:val="0025383F"/>
    <w:rsid w:val="0025434D"/>
    <w:rsid w:val="00254A0A"/>
    <w:rsid w:val="002572D6"/>
    <w:rsid w:val="00260E6A"/>
    <w:rsid w:val="00261496"/>
    <w:rsid w:val="00262037"/>
    <w:rsid w:val="0027083A"/>
    <w:rsid w:val="00274208"/>
    <w:rsid w:val="00274642"/>
    <w:rsid w:val="00276444"/>
    <w:rsid w:val="002775B0"/>
    <w:rsid w:val="00277D0E"/>
    <w:rsid w:val="0028164D"/>
    <w:rsid w:val="00286955"/>
    <w:rsid w:val="00286E8F"/>
    <w:rsid w:val="002879D1"/>
    <w:rsid w:val="002908F2"/>
    <w:rsid w:val="00290D19"/>
    <w:rsid w:val="00293587"/>
    <w:rsid w:val="00293F1B"/>
    <w:rsid w:val="0029406A"/>
    <w:rsid w:val="0029620F"/>
    <w:rsid w:val="002A1C9C"/>
    <w:rsid w:val="002A2D7D"/>
    <w:rsid w:val="002A609F"/>
    <w:rsid w:val="002A7381"/>
    <w:rsid w:val="002B365E"/>
    <w:rsid w:val="002B74D8"/>
    <w:rsid w:val="002C0260"/>
    <w:rsid w:val="002C0E91"/>
    <w:rsid w:val="002C18CE"/>
    <w:rsid w:val="002C18D2"/>
    <w:rsid w:val="002C2C66"/>
    <w:rsid w:val="002C3790"/>
    <w:rsid w:val="002C5C1B"/>
    <w:rsid w:val="002C7AD6"/>
    <w:rsid w:val="002D044D"/>
    <w:rsid w:val="002D23BC"/>
    <w:rsid w:val="002D48B9"/>
    <w:rsid w:val="002E1271"/>
    <w:rsid w:val="002E4F3B"/>
    <w:rsid w:val="002E597A"/>
    <w:rsid w:val="002E76D7"/>
    <w:rsid w:val="002F0E07"/>
    <w:rsid w:val="002F6CEC"/>
    <w:rsid w:val="002F77CE"/>
    <w:rsid w:val="00300138"/>
    <w:rsid w:val="00300D72"/>
    <w:rsid w:val="0030111D"/>
    <w:rsid w:val="0030314E"/>
    <w:rsid w:val="00312377"/>
    <w:rsid w:val="00312467"/>
    <w:rsid w:val="003127DD"/>
    <w:rsid w:val="00313E3F"/>
    <w:rsid w:val="00315B94"/>
    <w:rsid w:val="00315E69"/>
    <w:rsid w:val="0031655A"/>
    <w:rsid w:val="0032113E"/>
    <w:rsid w:val="0032150D"/>
    <w:rsid w:val="00322C37"/>
    <w:rsid w:val="003237D5"/>
    <w:rsid w:val="0032413A"/>
    <w:rsid w:val="003253B4"/>
    <w:rsid w:val="0032550F"/>
    <w:rsid w:val="00326360"/>
    <w:rsid w:val="00326B6C"/>
    <w:rsid w:val="00327580"/>
    <w:rsid w:val="003312EA"/>
    <w:rsid w:val="00333F21"/>
    <w:rsid w:val="00341DE1"/>
    <w:rsid w:val="00345B73"/>
    <w:rsid w:val="00350632"/>
    <w:rsid w:val="00354BC8"/>
    <w:rsid w:val="003560A1"/>
    <w:rsid w:val="00356B85"/>
    <w:rsid w:val="0036076B"/>
    <w:rsid w:val="003626CE"/>
    <w:rsid w:val="00362FF0"/>
    <w:rsid w:val="00366622"/>
    <w:rsid w:val="003669E2"/>
    <w:rsid w:val="00366EDB"/>
    <w:rsid w:val="00370D33"/>
    <w:rsid w:val="0037137E"/>
    <w:rsid w:val="0037188E"/>
    <w:rsid w:val="00372D40"/>
    <w:rsid w:val="00373043"/>
    <w:rsid w:val="003734E7"/>
    <w:rsid w:val="00373CFF"/>
    <w:rsid w:val="00375152"/>
    <w:rsid w:val="00380206"/>
    <w:rsid w:val="00381094"/>
    <w:rsid w:val="003829EA"/>
    <w:rsid w:val="003834B6"/>
    <w:rsid w:val="00384CD7"/>
    <w:rsid w:val="003873B4"/>
    <w:rsid w:val="0038748F"/>
    <w:rsid w:val="00387F94"/>
    <w:rsid w:val="00390DAE"/>
    <w:rsid w:val="00391005"/>
    <w:rsid w:val="0039282F"/>
    <w:rsid w:val="003944EB"/>
    <w:rsid w:val="00395D16"/>
    <w:rsid w:val="00395FB0"/>
    <w:rsid w:val="003962CC"/>
    <w:rsid w:val="003A2EA8"/>
    <w:rsid w:val="003A3975"/>
    <w:rsid w:val="003A3D94"/>
    <w:rsid w:val="003A411D"/>
    <w:rsid w:val="003A5C6B"/>
    <w:rsid w:val="003A7425"/>
    <w:rsid w:val="003B0647"/>
    <w:rsid w:val="003B33E5"/>
    <w:rsid w:val="003B7A46"/>
    <w:rsid w:val="003C55A8"/>
    <w:rsid w:val="003C6FF3"/>
    <w:rsid w:val="003C7C0D"/>
    <w:rsid w:val="003D049E"/>
    <w:rsid w:val="003D1DCF"/>
    <w:rsid w:val="003D2AD0"/>
    <w:rsid w:val="003D3366"/>
    <w:rsid w:val="003D6321"/>
    <w:rsid w:val="003D7375"/>
    <w:rsid w:val="003E1681"/>
    <w:rsid w:val="003E3F2D"/>
    <w:rsid w:val="003E6A61"/>
    <w:rsid w:val="003F173E"/>
    <w:rsid w:val="003F4022"/>
    <w:rsid w:val="003F449F"/>
    <w:rsid w:val="003F5751"/>
    <w:rsid w:val="003F5F54"/>
    <w:rsid w:val="003F7CCB"/>
    <w:rsid w:val="00402278"/>
    <w:rsid w:val="00407DD3"/>
    <w:rsid w:val="004120FE"/>
    <w:rsid w:val="004134A1"/>
    <w:rsid w:val="00413FE3"/>
    <w:rsid w:val="0041665C"/>
    <w:rsid w:val="00423E31"/>
    <w:rsid w:val="00425538"/>
    <w:rsid w:val="004259D4"/>
    <w:rsid w:val="00426228"/>
    <w:rsid w:val="00426882"/>
    <w:rsid w:val="00433306"/>
    <w:rsid w:val="00436423"/>
    <w:rsid w:val="00436B13"/>
    <w:rsid w:val="004402B0"/>
    <w:rsid w:val="00441D8F"/>
    <w:rsid w:val="00447BF9"/>
    <w:rsid w:val="0045451D"/>
    <w:rsid w:val="004578DE"/>
    <w:rsid w:val="00460854"/>
    <w:rsid w:val="004615D6"/>
    <w:rsid w:val="00461A61"/>
    <w:rsid w:val="00461B91"/>
    <w:rsid w:val="0046464E"/>
    <w:rsid w:val="004648D6"/>
    <w:rsid w:val="00464C7E"/>
    <w:rsid w:val="004656D6"/>
    <w:rsid w:val="00466D8B"/>
    <w:rsid w:val="00467731"/>
    <w:rsid w:val="004701E2"/>
    <w:rsid w:val="004729DF"/>
    <w:rsid w:val="004730D6"/>
    <w:rsid w:val="00476C6F"/>
    <w:rsid w:val="0047742B"/>
    <w:rsid w:val="004778A5"/>
    <w:rsid w:val="004817B5"/>
    <w:rsid w:val="0048234C"/>
    <w:rsid w:val="00482CA2"/>
    <w:rsid w:val="00483911"/>
    <w:rsid w:val="00484A40"/>
    <w:rsid w:val="004863B1"/>
    <w:rsid w:val="0049257C"/>
    <w:rsid w:val="00492AD7"/>
    <w:rsid w:val="0049355E"/>
    <w:rsid w:val="00493671"/>
    <w:rsid w:val="00496B8A"/>
    <w:rsid w:val="00497C58"/>
    <w:rsid w:val="004A10B1"/>
    <w:rsid w:val="004A7C2D"/>
    <w:rsid w:val="004B07A0"/>
    <w:rsid w:val="004B09D2"/>
    <w:rsid w:val="004B1F79"/>
    <w:rsid w:val="004B3B83"/>
    <w:rsid w:val="004B4DD9"/>
    <w:rsid w:val="004C0535"/>
    <w:rsid w:val="004C26D2"/>
    <w:rsid w:val="004C5E4F"/>
    <w:rsid w:val="004C73E0"/>
    <w:rsid w:val="004D0576"/>
    <w:rsid w:val="004D0F94"/>
    <w:rsid w:val="004D523A"/>
    <w:rsid w:val="004D629A"/>
    <w:rsid w:val="004E0991"/>
    <w:rsid w:val="004E4206"/>
    <w:rsid w:val="004E7E7C"/>
    <w:rsid w:val="004F034E"/>
    <w:rsid w:val="004F0BEE"/>
    <w:rsid w:val="004F2170"/>
    <w:rsid w:val="004F7256"/>
    <w:rsid w:val="004F77AE"/>
    <w:rsid w:val="005033E1"/>
    <w:rsid w:val="005037FD"/>
    <w:rsid w:val="00504352"/>
    <w:rsid w:val="00505C21"/>
    <w:rsid w:val="0050688B"/>
    <w:rsid w:val="00507562"/>
    <w:rsid w:val="005133B5"/>
    <w:rsid w:val="005153A0"/>
    <w:rsid w:val="005167EB"/>
    <w:rsid w:val="005206BD"/>
    <w:rsid w:val="005229E4"/>
    <w:rsid w:val="00522F52"/>
    <w:rsid w:val="005266B5"/>
    <w:rsid w:val="00527C6A"/>
    <w:rsid w:val="0053064C"/>
    <w:rsid w:val="0053426B"/>
    <w:rsid w:val="00541A7A"/>
    <w:rsid w:val="0054492D"/>
    <w:rsid w:val="0054508D"/>
    <w:rsid w:val="00545D3B"/>
    <w:rsid w:val="00546596"/>
    <w:rsid w:val="00551691"/>
    <w:rsid w:val="00552B52"/>
    <w:rsid w:val="00552E0B"/>
    <w:rsid w:val="00554549"/>
    <w:rsid w:val="00554788"/>
    <w:rsid w:val="005561B9"/>
    <w:rsid w:val="005562FB"/>
    <w:rsid w:val="00557218"/>
    <w:rsid w:val="0056601B"/>
    <w:rsid w:val="00566509"/>
    <w:rsid w:val="005668EB"/>
    <w:rsid w:val="00572C4F"/>
    <w:rsid w:val="0057570A"/>
    <w:rsid w:val="00577928"/>
    <w:rsid w:val="005809FB"/>
    <w:rsid w:val="00580B57"/>
    <w:rsid w:val="0058576B"/>
    <w:rsid w:val="005878F4"/>
    <w:rsid w:val="00590536"/>
    <w:rsid w:val="005951C4"/>
    <w:rsid w:val="0059549F"/>
    <w:rsid w:val="00597E82"/>
    <w:rsid w:val="005A26B3"/>
    <w:rsid w:val="005A3CFE"/>
    <w:rsid w:val="005A702E"/>
    <w:rsid w:val="005A723D"/>
    <w:rsid w:val="005A7E3D"/>
    <w:rsid w:val="005A7F9A"/>
    <w:rsid w:val="005B197A"/>
    <w:rsid w:val="005B33BC"/>
    <w:rsid w:val="005B4E28"/>
    <w:rsid w:val="005B4F32"/>
    <w:rsid w:val="005C0B7D"/>
    <w:rsid w:val="005C3B0A"/>
    <w:rsid w:val="005C5942"/>
    <w:rsid w:val="005C68CA"/>
    <w:rsid w:val="005C6A5E"/>
    <w:rsid w:val="005D10FB"/>
    <w:rsid w:val="005D3A49"/>
    <w:rsid w:val="005D470E"/>
    <w:rsid w:val="005D61C6"/>
    <w:rsid w:val="005E1DD4"/>
    <w:rsid w:val="005E2333"/>
    <w:rsid w:val="005F02B4"/>
    <w:rsid w:val="005F5093"/>
    <w:rsid w:val="005F61CC"/>
    <w:rsid w:val="005F6C66"/>
    <w:rsid w:val="00603E5E"/>
    <w:rsid w:val="0060643B"/>
    <w:rsid w:val="00614653"/>
    <w:rsid w:val="0061556C"/>
    <w:rsid w:val="00615758"/>
    <w:rsid w:val="00617F2B"/>
    <w:rsid w:val="00630A20"/>
    <w:rsid w:val="006313A7"/>
    <w:rsid w:val="00631E42"/>
    <w:rsid w:val="00632028"/>
    <w:rsid w:val="00633C37"/>
    <w:rsid w:val="00635200"/>
    <w:rsid w:val="0063571D"/>
    <w:rsid w:val="00635C58"/>
    <w:rsid w:val="00637ACF"/>
    <w:rsid w:val="006408AD"/>
    <w:rsid w:val="0064314C"/>
    <w:rsid w:val="00652399"/>
    <w:rsid w:val="0065539E"/>
    <w:rsid w:val="00656100"/>
    <w:rsid w:val="006572E7"/>
    <w:rsid w:val="00657C8A"/>
    <w:rsid w:val="0066105A"/>
    <w:rsid w:val="00662DA6"/>
    <w:rsid w:val="0066795F"/>
    <w:rsid w:val="00667C4A"/>
    <w:rsid w:val="00672EA0"/>
    <w:rsid w:val="00673588"/>
    <w:rsid w:val="006737A2"/>
    <w:rsid w:val="00673A48"/>
    <w:rsid w:val="00674FC7"/>
    <w:rsid w:val="006756E8"/>
    <w:rsid w:val="00682E66"/>
    <w:rsid w:val="0068334F"/>
    <w:rsid w:val="00685584"/>
    <w:rsid w:val="0068716D"/>
    <w:rsid w:val="0068754E"/>
    <w:rsid w:val="00690215"/>
    <w:rsid w:val="006936A5"/>
    <w:rsid w:val="006975AB"/>
    <w:rsid w:val="006A0C58"/>
    <w:rsid w:val="006A23A5"/>
    <w:rsid w:val="006A47B8"/>
    <w:rsid w:val="006A583E"/>
    <w:rsid w:val="006A644B"/>
    <w:rsid w:val="006B4A6A"/>
    <w:rsid w:val="006B4EBB"/>
    <w:rsid w:val="006C1127"/>
    <w:rsid w:val="006C1D7E"/>
    <w:rsid w:val="006C28FF"/>
    <w:rsid w:val="006C4731"/>
    <w:rsid w:val="006C4F99"/>
    <w:rsid w:val="006D2F5E"/>
    <w:rsid w:val="006D42BA"/>
    <w:rsid w:val="006D5A1D"/>
    <w:rsid w:val="006D68E4"/>
    <w:rsid w:val="006D6BEB"/>
    <w:rsid w:val="006E2385"/>
    <w:rsid w:val="006E29ED"/>
    <w:rsid w:val="006E34BE"/>
    <w:rsid w:val="006E6660"/>
    <w:rsid w:val="006E73C4"/>
    <w:rsid w:val="006E7F01"/>
    <w:rsid w:val="006F0CA9"/>
    <w:rsid w:val="006F34C7"/>
    <w:rsid w:val="006F4080"/>
    <w:rsid w:val="006F5489"/>
    <w:rsid w:val="006F5E49"/>
    <w:rsid w:val="006F7770"/>
    <w:rsid w:val="007009E8"/>
    <w:rsid w:val="0070120C"/>
    <w:rsid w:val="00703D21"/>
    <w:rsid w:val="00705FD8"/>
    <w:rsid w:val="00711DAF"/>
    <w:rsid w:val="00712423"/>
    <w:rsid w:val="007129D2"/>
    <w:rsid w:val="007132B6"/>
    <w:rsid w:val="007167FC"/>
    <w:rsid w:val="007210C8"/>
    <w:rsid w:val="0072353C"/>
    <w:rsid w:val="007250D7"/>
    <w:rsid w:val="00725D24"/>
    <w:rsid w:val="00727393"/>
    <w:rsid w:val="007279BB"/>
    <w:rsid w:val="0073596E"/>
    <w:rsid w:val="00735A36"/>
    <w:rsid w:val="00735C07"/>
    <w:rsid w:val="007362B1"/>
    <w:rsid w:val="00737A8A"/>
    <w:rsid w:val="00742267"/>
    <w:rsid w:val="007423C7"/>
    <w:rsid w:val="0075042E"/>
    <w:rsid w:val="00753D85"/>
    <w:rsid w:val="00755DF9"/>
    <w:rsid w:val="00756C79"/>
    <w:rsid w:val="007614B5"/>
    <w:rsid w:val="007630AE"/>
    <w:rsid w:val="007635B1"/>
    <w:rsid w:val="0076368F"/>
    <w:rsid w:val="00763768"/>
    <w:rsid w:val="00763961"/>
    <w:rsid w:val="00767F31"/>
    <w:rsid w:val="007727AF"/>
    <w:rsid w:val="007740ED"/>
    <w:rsid w:val="00774932"/>
    <w:rsid w:val="00776E92"/>
    <w:rsid w:val="007825CC"/>
    <w:rsid w:val="00783328"/>
    <w:rsid w:val="00786158"/>
    <w:rsid w:val="00786DFC"/>
    <w:rsid w:val="007916C1"/>
    <w:rsid w:val="00796FBF"/>
    <w:rsid w:val="00797AF8"/>
    <w:rsid w:val="007A0FC4"/>
    <w:rsid w:val="007A1AD1"/>
    <w:rsid w:val="007A2489"/>
    <w:rsid w:val="007A460C"/>
    <w:rsid w:val="007A585F"/>
    <w:rsid w:val="007B54B3"/>
    <w:rsid w:val="007B7A6E"/>
    <w:rsid w:val="007C5285"/>
    <w:rsid w:val="007C5324"/>
    <w:rsid w:val="007D37BB"/>
    <w:rsid w:val="007E2461"/>
    <w:rsid w:val="007E368B"/>
    <w:rsid w:val="007F2454"/>
    <w:rsid w:val="007F29D5"/>
    <w:rsid w:val="00800E67"/>
    <w:rsid w:val="00804797"/>
    <w:rsid w:val="0080605B"/>
    <w:rsid w:val="0081400D"/>
    <w:rsid w:val="0081481A"/>
    <w:rsid w:val="00814E60"/>
    <w:rsid w:val="00815C05"/>
    <w:rsid w:val="00820BBA"/>
    <w:rsid w:val="008223DE"/>
    <w:rsid w:val="00822C8D"/>
    <w:rsid w:val="008234AC"/>
    <w:rsid w:val="008324D4"/>
    <w:rsid w:val="00832B62"/>
    <w:rsid w:val="00833201"/>
    <w:rsid w:val="00833C8A"/>
    <w:rsid w:val="00835020"/>
    <w:rsid w:val="00835227"/>
    <w:rsid w:val="00837DD0"/>
    <w:rsid w:val="008406B4"/>
    <w:rsid w:val="00841ECE"/>
    <w:rsid w:val="00842802"/>
    <w:rsid w:val="008431C1"/>
    <w:rsid w:val="00843FB5"/>
    <w:rsid w:val="00844644"/>
    <w:rsid w:val="00844CC4"/>
    <w:rsid w:val="0085555F"/>
    <w:rsid w:val="00856BDB"/>
    <w:rsid w:val="0085721A"/>
    <w:rsid w:val="00860A62"/>
    <w:rsid w:val="0086201E"/>
    <w:rsid w:val="00864FF5"/>
    <w:rsid w:val="008672E7"/>
    <w:rsid w:val="00872D2C"/>
    <w:rsid w:val="00873ADA"/>
    <w:rsid w:val="0087411E"/>
    <w:rsid w:val="00874E24"/>
    <w:rsid w:val="0087661E"/>
    <w:rsid w:val="00877EC0"/>
    <w:rsid w:val="00880686"/>
    <w:rsid w:val="008809BE"/>
    <w:rsid w:val="00880BA9"/>
    <w:rsid w:val="0088195C"/>
    <w:rsid w:val="00881C5F"/>
    <w:rsid w:val="00882F16"/>
    <w:rsid w:val="00886461"/>
    <w:rsid w:val="00891073"/>
    <w:rsid w:val="00892ACF"/>
    <w:rsid w:val="008931A4"/>
    <w:rsid w:val="008955CC"/>
    <w:rsid w:val="008A2A3F"/>
    <w:rsid w:val="008A3E05"/>
    <w:rsid w:val="008A41BA"/>
    <w:rsid w:val="008A7564"/>
    <w:rsid w:val="008B117F"/>
    <w:rsid w:val="008B3088"/>
    <w:rsid w:val="008B3C21"/>
    <w:rsid w:val="008C5063"/>
    <w:rsid w:val="008C6DF2"/>
    <w:rsid w:val="008D3BEA"/>
    <w:rsid w:val="008D567F"/>
    <w:rsid w:val="008E16BB"/>
    <w:rsid w:val="008E290D"/>
    <w:rsid w:val="008E6065"/>
    <w:rsid w:val="008E7DC5"/>
    <w:rsid w:val="008F244C"/>
    <w:rsid w:val="008F3402"/>
    <w:rsid w:val="008F6210"/>
    <w:rsid w:val="008F70EE"/>
    <w:rsid w:val="008F776D"/>
    <w:rsid w:val="009007B9"/>
    <w:rsid w:val="009008C2"/>
    <w:rsid w:val="00901F18"/>
    <w:rsid w:val="00902BB2"/>
    <w:rsid w:val="00902D21"/>
    <w:rsid w:val="00903259"/>
    <w:rsid w:val="00903518"/>
    <w:rsid w:val="0090363A"/>
    <w:rsid w:val="00903825"/>
    <w:rsid w:val="009048FB"/>
    <w:rsid w:val="00904F83"/>
    <w:rsid w:val="00905F00"/>
    <w:rsid w:val="0090790F"/>
    <w:rsid w:val="00914365"/>
    <w:rsid w:val="00917169"/>
    <w:rsid w:val="009177BB"/>
    <w:rsid w:val="00920835"/>
    <w:rsid w:val="00920C82"/>
    <w:rsid w:val="0092256B"/>
    <w:rsid w:val="00923351"/>
    <w:rsid w:val="00924BBF"/>
    <w:rsid w:val="009256C6"/>
    <w:rsid w:val="00930C91"/>
    <w:rsid w:val="00931225"/>
    <w:rsid w:val="00931955"/>
    <w:rsid w:val="00937E7E"/>
    <w:rsid w:val="00944FE8"/>
    <w:rsid w:val="00951BA1"/>
    <w:rsid w:val="009543E2"/>
    <w:rsid w:val="00957946"/>
    <w:rsid w:val="0096109D"/>
    <w:rsid w:val="009624E6"/>
    <w:rsid w:val="0096378B"/>
    <w:rsid w:val="00963D1D"/>
    <w:rsid w:val="009647AA"/>
    <w:rsid w:val="0096612A"/>
    <w:rsid w:val="00966470"/>
    <w:rsid w:val="0097198C"/>
    <w:rsid w:val="009809F2"/>
    <w:rsid w:val="00980BCA"/>
    <w:rsid w:val="00982835"/>
    <w:rsid w:val="00983476"/>
    <w:rsid w:val="00983FAA"/>
    <w:rsid w:val="00984054"/>
    <w:rsid w:val="00985CDB"/>
    <w:rsid w:val="00986767"/>
    <w:rsid w:val="009975F4"/>
    <w:rsid w:val="009A2730"/>
    <w:rsid w:val="009A49DD"/>
    <w:rsid w:val="009B77A0"/>
    <w:rsid w:val="009B7D22"/>
    <w:rsid w:val="009C0E8D"/>
    <w:rsid w:val="009C108A"/>
    <w:rsid w:val="009C12C1"/>
    <w:rsid w:val="009C1556"/>
    <w:rsid w:val="009C175F"/>
    <w:rsid w:val="009C180A"/>
    <w:rsid w:val="009C292F"/>
    <w:rsid w:val="009C3DA1"/>
    <w:rsid w:val="009C42FA"/>
    <w:rsid w:val="009C45E3"/>
    <w:rsid w:val="009C4639"/>
    <w:rsid w:val="009C6586"/>
    <w:rsid w:val="009C6A07"/>
    <w:rsid w:val="009C6FE6"/>
    <w:rsid w:val="009D5DDD"/>
    <w:rsid w:val="009D6F01"/>
    <w:rsid w:val="009D6F6C"/>
    <w:rsid w:val="009D75B2"/>
    <w:rsid w:val="009D7A4B"/>
    <w:rsid w:val="009E056D"/>
    <w:rsid w:val="009E2118"/>
    <w:rsid w:val="009E2D08"/>
    <w:rsid w:val="009E3CDF"/>
    <w:rsid w:val="009E7915"/>
    <w:rsid w:val="009F2C56"/>
    <w:rsid w:val="009F4B1A"/>
    <w:rsid w:val="009F78A5"/>
    <w:rsid w:val="00A0054F"/>
    <w:rsid w:val="00A01EB2"/>
    <w:rsid w:val="00A034A4"/>
    <w:rsid w:val="00A054E1"/>
    <w:rsid w:val="00A05537"/>
    <w:rsid w:val="00A068CD"/>
    <w:rsid w:val="00A07666"/>
    <w:rsid w:val="00A10B5A"/>
    <w:rsid w:val="00A13A3B"/>
    <w:rsid w:val="00A14CC7"/>
    <w:rsid w:val="00A1527C"/>
    <w:rsid w:val="00A17591"/>
    <w:rsid w:val="00A17A03"/>
    <w:rsid w:val="00A17EDA"/>
    <w:rsid w:val="00A20FE1"/>
    <w:rsid w:val="00A23C79"/>
    <w:rsid w:val="00A2773A"/>
    <w:rsid w:val="00A2782C"/>
    <w:rsid w:val="00A30DFA"/>
    <w:rsid w:val="00A339EC"/>
    <w:rsid w:val="00A3533B"/>
    <w:rsid w:val="00A35861"/>
    <w:rsid w:val="00A406DC"/>
    <w:rsid w:val="00A4078F"/>
    <w:rsid w:val="00A461EB"/>
    <w:rsid w:val="00A47452"/>
    <w:rsid w:val="00A47C48"/>
    <w:rsid w:val="00A47D85"/>
    <w:rsid w:val="00A52306"/>
    <w:rsid w:val="00A541C6"/>
    <w:rsid w:val="00A55B96"/>
    <w:rsid w:val="00A60030"/>
    <w:rsid w:val="00A62BD8"/>
    <w:rsid w:val="00A62EE3"/>
    <w:rsid w:val="00A62F76"/>
    <w:rsid w:val="00A718DF"/>
    <w:rsid w:val="00A72979"/>
    <w:rsid w:val="00A72ABE"/>
    <w:rsid w:val="00A757A0"/>
    <w:rsid w:val="00A77909"/>
    <w:rsid w:val="00A80D49"/>
    <w:rsid w:val="00A81299"/>
    <w:rsid w:val="00A81C12"/>
    <w:rsid w:val="00A822B0"/>
    <w:rsid w:val="00A84224"/>
    <w:rsid w:val="00A8553F"/>
    <w:rsid w:val="00A85C69"/>
    <w:rsid w:val="00A8661C"/>
    <w:rsid w:val="00A87C13"/>
    <w:rsid w:val="00A92486"/>
    <w:rsid w:val="00AA1241"/>
    <w:rsid w:val="00AA12AD"/>
    <w:rsid w:val="00AA1546"/>
    <w:rsid w:val="00AA26C4"/>
    <w:rsid w:val="00AA37D2"/>
    <w:rsid w:val="00AA42DF"/>
    <w:rsid w:val="00AA498F"/>
    <w:rsid w:val="00AA547E"/>
    <w:rsid w:val="00AA7A1A"/>
    <w:rsid w:val="00AB0058"/>
    <w:rsid w:val="00AB1FAE"/>
    <w:rsid w:val="00AB49B0"/>
    <w:rsid w:val="00AB6609"/>
    <w:rsid w:val="00AC01AE"/>
    <w:rsid w:val="00AC297D"/>
    <w:rsid w:val="00AC37CE"/>
    <w:rsid w:val="00AC6C7A"/>
    <w:rsid w:val="00AC77C0"/>
    <w:rsid w:val="00AD5BBD"/>
    <w:rsid w:val="00AD62F3"/>
    <w:rsid w:val="00AD653F"/>
    <w:rsid w:val="00AE08C4"/>
    <w:rsid w:val="00AE27E5"/>
    <w:rsid w:val="00AE4167"/>
    <w:rsid w:val="00AE46E0"/>
    <w:rsid w:val="00AE5B16"/>
    <w:rsid w:val="00AE5F84"/>
    <w:rsid w:val="00AF28A3"/>
    <w:rsid w:val="00AF4DCD"/>
    <w:rsid w:val="00AF5420"/>
    <w:rsid w:val="00AF777E"/>
    <w:rsid w:val="00B02364"/>
    <w:rsid w:val="00B0681F"/>
    <w:rsid w:val="00B07057"/>
    <w:rsid w:val="00B10E0E"/>
    <w:rsid w:val="00B12FE2"/>
    <w:rsid w:val="00B132A2"/>
    <w:rsid w:val="00B134BC"/>
    <w:rsid w:val="00B136BF"/>
    <w:rsid w:val="00B13D82"/>
    <w:rsid w:val="00B16928"/>
    <w:rsid w:val="00B16FCF"/>
    <w:rsid w:val="00B1725E"/>
    <w:rsid w:val="00B21212"/>
    <w:rsid w:val="00B218A7"/>
    <w:rsid w:val="00B21C06"/>
    <w:rsid w:val="00B226F2"/>
    <w:rsid w:val="00B333F3"/>
    <w:rsid w:val="00B35104"/>
    <w:rsid w:val="00B36576"/>
    <w:rsid w:val="00B36A59"/>
    <w:rsid w:val="00B44471"/>
    <w:rsid w:val="00B50A9E"/>
    <w:rsid w:val="00B52B40"/>
    <w:rsid w:val="00B53D5E"/>
    <w:rsid w:val="00B56A8F"/>
    <w:rsid w:val="00B60C0B"/>
    <w:rsid w:val="00B61B41"/>
    <w:rsid w:val="00B638E2"/>
    <w:rsid w:val="00B66ED0"/>
    <w:rsid w:val="00B738DF"/>
    <w:rsid w:val="00B74E08"/>
    <w:rsid w:val="00B851D4"/>
    <w:rsid w:val="00B85427"/>
    <w:rsid w:val="00B865B4"/>
    <w:rsid w:val="00B92CB9"/>
    <w:rsid w:val="00B9622B"/>
    <w:rsid w:val="00B9751A"/>
    <w:rsid w:val="00BA106E"/>
    <w:rsid w:val="00BA223F"/>
    <w:rsid w:val="00BA49EC"/>
    <w:rsid w:val="00BA73A0"/>
    <w:rsid w:val="00BB0AA4"/>
    <w:rsid w:val="00BB0E32"/>
    <w:rsid w:val="00BB10F5"/>
    <w:rsid w:val="00BB141B"/>
    <w:rsid w:val="00BB297E"/>
    <w:rsid w:val="00BB2E87"/>
    <w:rsid w:val="00BB4C8A"/>
    <w:rsid w:val="00BB536E"/>
    <w:rsid w:val="00BB6FCD"/>
    <w:rsid w:val="00BC1DE2"/>
    <w:rsid w:val="00BC1ECA"/>
    <w:rsid w:val="00BC3FFA"/>
    <w:rsid w:val="00BC668C"/>
    <w:rsid w:val="00BD0E16"/>
    <w:rsid w:val="00BD175B"/>
    <w:rsid w:val="00BD2F8D"/>
    <w:rsid w:val="00BD3F93"/>
    <w:rsid w:val="00BD5E6F"/>
    <w:rsid w:val="00BD6C7C"/>
    <w:rsid w:val="00BE0075"/>
    <w:rsid w:val="00BE1139"/>
    <w:rsid w:val="00BE1C40"/>
    <w:rsid w:val="00BE45BF"/>
    <w:rsid w:val="00BE5A7B"/>
    <w:rsid w:val="00BE6A9E"/>
    <w:rsid w:val="00BE6EC8"/>
    <w:rsid w:val="00BF0259"/>
    <w:rsid w:val="00BF0DD5"/>
    <w:rsid w:val="00C021B7"/>
    <w:rsid w:val="00C03D92"/>
    <w:rsid w:val="00C044F4"/>
    <w:rsid w:val="00C0468F"/>
    <w:rsid w:val="00C0501B"/>
    <w:rsid w:val="00C05BFA"/>
    <w:rsid w:val="00C060DA"/>
    <w:rsid w:val="00C103FC"/>
    <w:rsid w:val="00C11E4E"/>
    <w:rsid w:val="00C13519"/>
    <w:rsid w:val="00C13DEA"/>
    <w:rsid w:val="00C13EBB"/>
    <w:rsid w:val="00C166B7"/>
    <w:rsid w:val="00C17F72"/>
    <w:rsid w:val="00C20C65"/>
    <w:rsid w:val="00C21399"/>
    <w:rsid w:val="00C2195A"/>
    <w:rsid w:val="00C2330E"/>
    <w:rsid w:val="00C23A64"/>
    <w:rsid w:val="00C25916"/>
    <w:rsid w:val="00C25924"/>
    <w:rsid w:val="00C27474"/>
    <w:rsid w:val="00C331DE"/>
    <w:rsid w:val="00C33D81"/>
    <w:rsid w:val="00C34087"/>
    <w:rsid w:val="00C364FB"/>
    <w:rsid w:val="00C37109"/>
    <w:rsid w:val="00C4170B"/>
    <w:rsid w:val="00C43673"/>
    <w:rsid w:val="00C466BB"/>
    <w:rsid w:val="00C46F50"/>
    <w:rsid w:val="00C61F96"/>
    <w:rsid w:val="00C70FC4"/>
    <w:rsid w:val="00C75C07"/>
    <w:rsid w:val="00C81464"/>
    <w:rsid w:val="00C81736"/>
    <w:rsid w:val="00C86153"/>
    <w:rsid w:val="00C87CDB"/>
    <w:rsid w:val="00C90A6B"/>
    <w:rsid w:val="00C90F37"/>
    <w:rsid w:val="00C9154E"/>
    <w:rsid w:val="00C91EED"/>
    <w:rsid w:val="00C92542"/>
    <w:rsid w:val="00C94C1A"/>
    <w:rsid w:val="00C9514A"/>
    <w:rsid w:val="00C95184"/>
    <w:rsid w:val="00C95CE8"/>
    <w:rsid w:val="00CA1548"/>
    <w:rsid w:val="00CA1DC7"/>
    <w:rsid w:val="00CA40DD"/>
    <w:rsid w:val="00CA4DED"/>
    <w:rsid w:val="00CA4FC3"/>
    <w:rsid w:val="00CA5632"/>
    <w:rsid w:val="00CA5656"/>
    <w:rsid w:val="00CA5C59"/>
    <w:rsid w:val="00CA6E62"/>
    <w:rsid w:val="00CA6FD5"/>
    <w:rsid w:val="00CB2623"/>
    <w:rsid w:val="00CB307D"/>
    <w:rsid w:val="00CC48E9"/>
    <w:rsid w:val="00CD0969"/>
    <w:rsid w:val="00CD2ADB"/>
    <w:rsid w:val="00CD3533"/>
    <w:rsid w:val="00CD4ED6"/>
    <w:rsid w:val="00CE5BAC"/>
    <w:rsid w:val="00CF0785"/>
    <w:rsid w:val="00CF16D5"/>
    <w:rsid w:val="00CF2C95"/>
    <w:rsid w:val="00CF30C6"/>
    <w:rsid w:val="00CF75A6"/>
    <w:rsid w:val="00D019EC"/>
    <w:rsid w:val="00D01EC7"/>
    <w:rsid w:val="00D05752"/>
    <w:rsid w:val="00D06733"/>
    <w:rsid w:val="00D06BF0"/>
    <w:rsid w:val="00D078E2"/>
    <w:rsid w:val="00D1572C"/>
    <w:rsid w:val="00D166C1"/>
    <w:rsid w:val="00D173C7"/>
    <w:rsid w:val="00D2092A"/>
    <w:rsid w:val="00D238EB"/>
    <w:rsid w:val="00D23C41"/>
    <w:rsid w:val="00D271E3"/>
    <w:rsid w:val="00D325A5"/>
    <w:rsid w:val="00D34976"/>
    <w:rsid w:val="00D35914"/>
    <w:rsid w:val="00D364BD"/>
    <w:rsid w:val="00D37A1B"/>
    <w:rsid w:val="00D42147"/>
    <w:rsid w:val="00D4283B"/>
    <w:rsid w:val="00D43686"/>
    <w:rsid w:val="00D43D50"/>
    <w:rsid w:val="00D43E43"/>
    <w:rsid w:val="00D44D1B"/>
    <w:rsid w:val="00D46066"/>
    <w:rsid w:val="00D46278"/>
    <w:rsid w:val="00D474F1"/>
    <w:rsid w:val="00D51311"/>
    <w:rsid w:val="00D52E25"/>
    <w:rsid w:val="00D57582"/>
    <w:rsid w:val="00D575A5"/>
    <w:rsid w:val="00D61D68"/>
    <w:rsid w:val="00D64888"/>
    <w:rsid w:val="00D65121"/>
    <w:rsid w:val="00D65370"/>
    <w:rsid w:val="00D65685"/>
    <w:rsid w:val="00D66166"/>
    <w:rsid w:val="00D6675C"/>
    <w:rsid w:val="00D66858"/>
    <w:rsid w:val="00D67015"/>
    <w:rsid w:val="00D70E57"/>
    <w:rsid w:val="00D71E1D"/>
    <w:rsid w:val="00D723E9"/>
    <w:rsid w:val="00D74DA6"/>
    <w:rsid w:val="00D82BDC"/>
    <w:rsid w:val="00D84327"/>
    <w:rsid w:val="00D843D1"/>
    <w:rsid w:val="00D84C20"/>
    <w:rsid w:val="00D9061D"/>
    <w:rsid w:val="00D91348"/>
    <w:rsid w:val="00D92CC0"/>
    <w:rsid w:val="00D9350D"/>
    <w:rsid w:val="00D9761A"/>
    <w:rsid w:val="00DA2CFE"/>
    <w:rsid w:val="00DA58FD"/>
    <w:rsid w:val="00DA5E28"/>
    <w:rsid w:val="00DA65DD"/>
    <w:rsid w:val="00DA752F"/>
    <w:rsid w:val="00DA78D1"/>
    <w:rsid w:val="00DB2560"/>
    <w:rsid w:val="00DB7983"/>
    <w:rsid w:val="00DC116E"/>
    <w:rsid w:val="00DC3B34"/>
    <w:rsid w:val="00DC502E"/>
    <w:rsid w:val="00DD2AA2"/>
    <w:rsid w:val="00DD37B6"/>
    <w:rsid w:val="00DD4F2A"/>
    <w:rsid w:val="00DD5544"/>
    <w:rsid w:val="00DD77EB"/>
    <w:rsid w:val="00DE0256"/>
    <w:rsid w:val="00DE03EE"/>
    <w:rsid w:val="00DE07CF"/>
    <w:rsid w:val="00DE4ED1"/>
    <w:rsid w:val="00DF1792"/>
    <w:rsid w:val="00DF27B4"/>
    <w:rsid w:val="00DF2EFF"/>
    <w:rsid w:val="00DF37DD"/>
    <w:rsid w:val="00DF471A"/>
    <w:rsid w:val="00DF6D6B"/>
    <w:rsid w:val="00DF767A"/>
    <w:rsid w:val="00E02B95"/>
    <w:rsid w:val="00E05953"/>
    <w:rsid w:val="00E062D6"/>
    <w:rsid w:val="00E07C2F"/>
    <w:rsid w:val="00E102D8"/>
    <w:rsid w:val="00E10412"/>
    <w:rsid w:val="00E12330"/>
    <w:rsid w:val="00E1444C"/>
    <w:rsid w:val="00E14F8B"/>
    <w:rsid w:val="00E1649F"/>
    <w:rsid w:val="00E20C1C"/>
    <w:rsid w:val="00E21A20"/>
    <w:rsid w:val="00E25044"/>
    <w:rsid w:val="00E33F42"/>
    <w:rsid w:val="00E347DE"/>
    <w:rsid w:val="00E351ED"/>
    <w:rsid w:val="00E35F11"/>
    <w:rsid w:val="00E36FC5"/>
    <w:rsid w:val="00E4168D"/>
    <w:rsid w:val="00E47FF8"/>
    <w:rsid w:val="00E53934"/>
    <w:rsid w:val="00E53D3E"/>
    <w:rsid w:val="00E5503B"/>
    <w:rsid w:val="00E55AA8"/>
    <w:rsid w:val="00E60485"/>
    <w:rsid w:val="00E638D2"/>
    <w:rsid w:val="00E70B63"/>
    <w:rsid w:val="00E765E8"/>
    <w:rsid w:val="00E809CE"/>
    <w:rsid w:val="00E83E34"/>
    <w:rsid w:val="00E868F7"/>
    <w:rsid w:val="00E87148"/>
    <w:rsid w:val="00E90E16"/>
    <w:rsid w:val="00E9134D"/>
    <w:rsid w:val="00E9307C"/>
    <w:rsid w:val="00E96A20"/>
    <w:rsid w:val="00EA28E5"/>
    <w:rsid w:val="00EB1F78"/>
    <w:rsid w:val="00EB33CA"/>
    <w:rsid w:val="00EC0C4E"/>
    <w:rsid w:val="00EC1057"/>
    <w:rsid w:val="00EC150C"/>
    <w:rsid w:val="00EC330A"/>
    <w:rsid w:val="00EC3623"/>
    <w:rsid w:val="00EC4461"/>
    <w:rsid w:val="00EC6BE6"/>
    <w:rsid w:val="00EC7020"/>
    <w:rsid w:val="00ED1831"/>
    <w:rsid w:val="00ED1EAB"/>
    <w:rsid w:val="00ED2171"/>
    <w:rsid w:val="00ED7B00"/>
    <w:rsid w:val="00EE2218"/>
    <w:rsid w:val="00EE2776"/>
    <w:rsid w:val="00EE27DC"/>
    <w:rsid w:val="00EE5DCD"/>
    <w:rsid w:val="00EE6307"/>
    <w:rsid w:val="00EF2E86"/>
    <w:rsid w:val="00EF3C1D"/>
    <w:rsid w:val="00EF44AD"/>
    <w:rsid w:val="00EF4747"/>
    <w:rsid w:val="00EF7418"/>
    <w:rsid w:val="00F019F2"/>
    <w:rsid w:val="00F04FA4"/>
    <w:rsid w:val="00F050AA"/>
    <w:rsid w:val="00F06309"/>
    <w:rsid w:val="00F13F08"/>
    <w:rsid w:val="00F14153"/>
    <w:rsid w:val="00F175E7"/>
    <w:rsid w:val="00F214E2"/>
    <w:rsid w:val="00F2357A"/>
    <w:rsid w:val="00F25399"/>
    <w:rsid w:val="00F25719"/>
    <w:rsid w:val="00F25EBC"/>
    <w:rsid w:val="00F2616E"/>
    <w:rsid w:val="00F26637"/>
    <w:rsid w:val="00F27CAC"/>
    <w:rsid w:val="00F303C3"/>
    <w:rsid w:val="00F31AEA"/>
    <w:rsid w:val="00F3201E"/>
    <w:rsid w:val="00F36711"/>
    <w:rsid w:val="00F4134D"/>
    <w:rsid w:val="00F41E3C"/>
    <w:rsid w:val="00F4315D"/>
    <w:rsid w:val="00F43963"/>
    <w:rsid w:val="00F452BB"/>
    <w:rsid w:val="00F4534E"/>
    <w:rsid w:val="00F47B38"/>
    <w:rsid w:val="00F47F85"/>
    <w:rsid w:val="00F51DF5"/>
    <w:rsid w:val="00F52C4A"/>
    <w:rsid w:val="00F5325E"/>
    <w:rsid w:val="00F556D6"/>
    <w:rsid w:val="00F61260"/>
    <w:rsid w:val="00F61424"/>
    <w:rsid w:val="00F6194A"/>
    <w:rsid w:val="00F65A8F"/>
    <w:rsid w:val="00F65F49"/>
    <w:rsid w:val="00F7013E"/>
    <w:rsid w:val="00F730A2"/>
    <w:rsid w:val="00F73280"/>
    <w:rsid w:val="00F75D23"/>
    <w:rsid w:val="00F77447"/>
    <w:rsid w:val="00F81440"/>
    <w:rsid w:val="00F858F1"/>
    <w:rsid w:val="00F87041"/>
    <w:rsid w:val="00F87E07"/>
    <w:rsid w:val="00F933B9"/>
    <w:rsid w:val="00F97915"/>
    <w:rsid w:val="00FA2127"/>
    <w:rsid w:val="00FA37B4"/>
    <w:rsid w:val="00FA63EB"/>
    <w:rsid w:val="00FA69CA"/>
    <w:rsid w:val="00FA7090"/>
    <w:rsid w:val="00FA7ACA"/>
    <w:rsid w:val="00FB0463"/>
    <w:rsid w:val="00FB07ED"/>
    <w:rsid w:val="00FB0B39"/>
    <w:rsid w:val="00FB373E"/>
    <w:rsid w:val="00FB6A79"/>
    <w:rsid w:val="00FC080C"/>
    <w:rsid w:val="00FC0FE7"/>
    <w:rsid w:val="00FC27CB"/>
    <w:rsid w:val="00FC2F08"/>
    <w:rsid w:val="00FC35A2"/>
    <w:rsid w:val="00FC3ECC"/>
    <w:rsid w:val="00FD0A01"/>
    <w:rsid w:val="00FD4F5B"/>
    <w:rsid w:val="00FE0AFC"/>
    <w:rsid w:val="00FE2D01"/>
    <w:rsid w:val="00FE3521"/>
    <w:rsid w:val="00FE4587"/>
    <w:rsid w:val="00FE5428"/>
    <w:rsid w:val="00FE566E"/>
    <w:rsid w:val="00FE6BAD"/>
    <w:rsid w:val="00FE6C6F"/>
    <w:rsid w:val="00FE728C"/>
    <w:rsid w:val="00FE7A5D"/>
    <w:rsid w:val="00FF36C2"/>
    <w:rsid w:val="00FF3916"/>
    <w:rsid w:val="00FF3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78A5"/>
    <w:pPr>
      <w:spacing w:after="12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7C5285"/>
    <w:pPr>
      <w:keepNext/>
      <w:keepLines/>
      <w:numPr>
        <w:numId w:val="20"/>
      </w:numPr>
      <w:spacing w:before="480"/>
      <w:jc w:val="left"/>
      <w:outlineLvl w:val="0"/>
    </w:pPr>
    <w:rPr>
      <w:rFonts w:eastAsiaTheme="majorEastAsia" w:cstheme="majorBidi"/>
      <w:b/>
      <w:bCs/>
      <w:sz w:val="36"/>
      <w:szCs w:val="28"/>
    </w:rPr>
  </w:style>
  <w:style w:type="paragraph" w:styleId="Nadpis2">
    <w:name w:val="heading 2"/>
    <w:basedOn w:val="Normlny"/>
    <w:next w:val="Normlny"/>
    <w:link w:val="Nadpis2Char3"/>
    <w:uiPriority w:val="9"/>
    <w:unhideWhenUsed/>
    <w:qFormat/>
    <w:rsid w:val="005A723D"/>
    <w:pPr>
      <w:keepNext/>
      <w:keepLines/>
      <w:numPr>
        <w:ilvl w:val="1"/>
        <w:numId w:val="20"/>
      </w:numPr>
      <w:spacing w:before="200" w:after="80"/>
      <w:ind w:left="578" w:hanging="578"/>
      <w:outlineLvl w:val="1"/>
    </w:pPr>
    <w:rPr>
      <w:rFonts w:eastAsia="Times New Roman" w:cstheme="majorBidi"/>
      <w:b/>
      <w:bCs/>
      <w:sz w:val="32"/>
      <w:szCs w:val="26"/>
    </w:rPr>
  </w:style>
  <w:style w:type="paragraph" w:styleId="Nadpis3">
    <w:name w:val="heading 3"/>
    <w:basedOn w:val="Normlny"/>
    <w:next w:val="Normlny"/>
    <w:link w:val="Nadpis3Char"/>
    <w:uiPriority w:val="9"/>
    <w:unhideWhenUsed/>
    <w:qFormat/>
    <w:rsid w:val="005A723D"/>
    <w:pPr>
      <w:keepNext/>
      <w:keepLines/>
      <w:numPr>
        <w:ilvl w:val="2"/>
        <w:numId w:val="20"/>
      </w:numPr>
      <w:spacing w:before="200"/>
      <w:outlineLvl w:val="2"/>
    </w:pPr>
    <w:rPr>
      <w:rFonts w:eastAsiaTheme="majorEastAsia" w:cstheme="majorBidi"/>
      <w:b/>
      <w:bCs/>
      <w:sz w:val="28"/>
    </w:rPr>
  </w:style>
  <w:style w:type="paragraph" w:styleId="Nadpis4">
    <w:name w:val="heading 4"/>
    <w:basedOn w:val="Normlny"/>
    <w:next w:val="Normlny"/>
    <w:link w:val="Nadpis4Char"/>
    <w:uiPriority w:val="9"/>
    <w:unhideWhenUsed/>
    <w:qFormat/>
    <w:rsid w:val="005A723D"/>
    <w:pPr>
      <w:keepNext/>
      <w:keepLines/>
      <w:numPr>
        <w:ilvl w:val="3"/>
        <w:numId w:val="20"/>
      </w:numPr>
      <w:spacing w:before="200" w:after="0"/>
      <w:outlineLvl w:val="3"/>
    </w:pPr>
    <w:rPr>
      <w:rFonts w:eastAsiaTheme="majorEastAsia" w:cstheme="majorBidi"/>
      <w:b/>
      <w:bCs/>
      <w:i/>
      <w:iCs/>
    </w:rPr>
  </w:style>
  <w:style w:type="paragraph" w:styleId="Nadpis5">
    <w:name w:val="heading 5"/>
    <w:basedOn w:val="Normlny"/>
    <w:next w:val="Normlny"/>
    <w:link w:val="Nadpis5Char"/>
    <w:uiPriority w:val="9"/>
    <w:semiHidden/>
    <w:unhideWhenUsed/>
    <w:qFormat/>
    <w:rsid w:val="00B16928"/>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B16928"/>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B16928"/>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B16928"/>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B16928"/>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253B4"/>
    <w:rPr>
      <w:rFonts w:ascii="Times New Roman" w:hAnsi="Times New Roman" w:cs="Times New Roman" w:hint="default"/>
      <w:color w:val="808080"/>
    </w:rPr>
  </w:style>
  <w:style w:type="paragraph" w:styleId="Odsekzoznamu">
    <w:name w:val="List Paragraph"/>
    <w:basedOn w:val="Normlny"/>
    <w:uiPriority w:val="34"/>
    <w:qFormat/>
    <w:rsid w:val="00DE03EE"/>
    <w:pPr>
      <w:ind w:left="720"/>
      <w:contextualSpacing/>
    </w:pPr>
  </w:style>
  <w:style w:type="paragraph" w:customStyle="1" w:styleId="Default">
    <w:name w:val="Default"/>
    <w:rsid w:val="0076396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886461"/>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86461"/>
    <w:rPr>
      <w:rFonts w:ascii="Tahoma" w:hAnsi="Tahoma" w:cs="Tahoma"/>
      <w:sz w:val="16"/>
      <w:szCs w:val="16"/>
    </w:rPr>
  </w:style>
  <w:style w:type="table" w:styleId="Mriekatabuky">
    <w:name w:val="Table Grid"/>
    <w:basedOn w:val="Normlnatabuka"/>
    <w:uiPriority w:val="59"/>
    <w:rsid w:val="003E1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3">
    <w:name w:val="Light List Accent 3"/>
    <w:basedOn w:val="Normlnatabuka"/>
    <w:uiPriority w:val="61"/>
    <w:rsid w:val="00920C82"/>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rednmrieka1zvraznenie3">
    <w:name w:val="Medium Grid 1 Accent 3"/>
    <w:basedOn w:val="Normlnatabuka"/>
    <w:uiPriority w:val="67"/>
    <w:rsid w:val="00EC446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mrieka1zvraznenie5">
    <w:name w:val="Medium Grid 1 Accent 5"/>
    <w:basedOn w:val="Normlnatabuka"/>
    <w:uiPriority w:val="67"/>
    <w:rsid w:val="002A1C9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TitleCover">
    <w:name w:val="Title Cover"/>
    <w:basedOn w:val="Normlny"/>
    <w:next w:val="Normlny"/>
    <w:link w:val="TitleCoverChar"/>
    <w:rsid w:val="007740ED"/>
    <w:pPr>
      <w:keepNext/>
      <w:keepLines/>
      <w:spacing w:before="120"/>
    </w:pPr>
    <w:rPr>
      <w:rFonts w:ascii="Arial" w:eastAsia="Times New Roman" w:hAnsi="Arial" w:cs="Times New Roman"/>
      <w:color w:val="29527B"/>
      <w:kern w:val="28"/>
      <w:sz w:val="56"/>
      <w:szCs w:val="56"/>
    </w:rPr>
  </w:style>
  <w:style w:type="character" w:customStyle="1" w:styleId="TitleCoverChar">
    <w:name w:val="Title Cover Char"/>
    <w:basedOn w:val="Predvolenpsmoodseku"/>
    <w:link w:val="TitleCover"/>
    <w:rsid w:val="007740ED"/>
    <w:rPr>
      <w:rFonts w:ascii="Arial" w:eastAsia="Times New Roman" w:hAnsi="Arial" w:cs="Times New Roman"/>
      <w:color w:val="29527B"/>
      <w:kern w:val="28"/>
      <w:sz w:val="56"/>
      <w:szCs w:val="56"/>
    </w:rPr>
  </w:style>
  <w:style w:type="paragraph" w:styleId="Hlavika">
    <w:name w:val="header"/>
    <w:basedOn w:val="Normlny"/>
    <w:link w:val="HlavikaChar"/>
    <w:uiPriority w:val="99"/>
    <w:unhideWhenUsed/>
    <w:rsid w:val="00673588"/>
    <w:pPr>
      <w:tabs>
        <w:tab w:val="center" w:pos="4536"/>
        <w:tab w:val="right" w:pos="9072"/>
      </w:tabs>
      <w:spacing w:after="0"/>
    </w:pPr>
  </w:style>
  <w:style w:type="character" w:customStyle="1" w:styleId="HlavikaChar">
    <w:name w:val="Hlavička Char"/>
    <w:basedOn w:val="Predvolenpsmoodseku"/>
    <w:link w:val="Hlavika"/>
    <w:uiPriority w:val="99"/>
    <w:rsid w:val="00673588"/>
  </w:style>
  <w:style w:type="paragraph" w:styleId="Pta">
    <w:name w:val="footer"/>
    <w:basedOn w:val="Normlny"/>
    <w:link w:val="PtaChar"/>
    <w:uiPriority w:val="99"/>
    <w:unhideWhenUsed/>
    <w:rsid w:val="00673588"/>
    <w:pPr>
      <w:tabs>
        <w:tab w:val="center" w:pos="4536"/>
        <w:tab w:val="right" w:pos="9072"/>
      </w:tabs>
      <w:spacing w:after="0"/>
    </w:pPr>
  </w:style>
  <w:style w:type="character" w:customStyle="1" w:styleId="PtaChar">
    <w:name w:val="Päta Char"/>
    <w:basedOn w:val="Predvolenpsmoodseku"/>
    <w:link w:val="Pta"/>
    <w:uiPriority w:val="99"/>
    <w:rsid w:val="00673588"/>
  </w:style>
  <w:style w:type="paragraph" w:customStyle="1" w:styleId="Normaltext">
    <w:name w:val="Normal text"/>
    <w:rsid w:val="00D34976"/>
    <w:pPr>
      <w:spacing w:before="120" w:after="120" w:line="240" w:lineRule="auto"/>
      <w:jc w:val="both"/>
    </w:pPr>
    <w:rPr>
      <w:rFonts w:ascii="Arial" w:eastAsia="Times New Roman" w:hAnsi="Arial" w:cs="Times New Roman"/>
      <w:sz w:val="20"/>
    </w:rPr>
  </w:style>
  <w:style w:type="character" w:styleId="Zvraznenie">
    <w:name w:val="Emphasis"/>
    <w:basedOn w:val="Predvolenpsmoodseku"/>
    <w:qFormat/>
    <w:rsid w:val="00D34976"/>
    <w:rPr>
      <w:i/>
      <w:iCs/>
    </w:rPr>
  </w:style>
  <w:style w:type="character" w:customStyle="1" w:styleId="Nadpis1Char">
    <w:name w:val="Nadpis 1 Char"/>
    <w:basedOn w:val="Predvolenpsmoodseku"/>
    <w:link w:val="Nadpis1"/>
    <w:uiPriority w:val="9"/>
    <w:rsid w:val="007C5285"/>
    <w:rPr>
      <w:rFonts w:ascii="Times New Roman" w:eastAsiaTheme="majorEastAsia" w:hAnsi="Times New Roman" w:cstheme="majorBidi"/>
      <w:b/>
      <w:bCs/>
      <w:sz w:val="36"/>
      <w:szCs w:val="28"/>
    </w:rPr>
  </w:style>
  <w:style w:type="character" w:customStyle="1" w:styleId="Nadpis2Char">
    <w:name w:val="Nadpis 2 Char"/>
    <w:basedOn w:val="Predvolenpsmoodseku"/>
    <w:uiPriority w:val="9"/>
    <w:rsid w:val="00A4078F"/>
    <w:rPr>
      <w:rFonts w:ascii="Times New Roman" w:eastAsiaTheme="majorEastAsia" w:hAnsi="Times New Roman" w:cstheme="majorBidi"/>
      <w:b/>
      <w:bCs/>
      <w:color w:val="76923C" w:themeColor="accent3" w:themeShade="BF"/>
      <w:sz w:val="32"/>
      <w:szCs w:val="26"/>
    </w:rPr>
  </w:style>
  <w:style w:type="character" w:customStyle="1" w:styleId="Nadpis3Char">
    <w:name w:val="Nadpis 3 Char"/>
    <w:basedOn w:val="Predvolenpsmoodseku"/>
    <w:link w:val="Nadpis3"/>
    <w:uiPriority w:val="9"/>
    <w:rsid w:val="005A723D"/>
    <w:rPr>
      <w:rFonts w:ascii="Times New Roman" w:eastAsiaTheme="majorEastAsia" w:hAnsi="Times New Roman" w:cstheme="majorBidi"/>
      <w:b/>
      <w:bCs/>
      <w:sz w:val="28"/>
    </w:rPr>
  </w:style>
  <w:style w:type="paragraph" w:styleId="Bezriadkovania">
    <w:name w:val="No Spacing"/>
    <w:uiPriority w:val="1"/>
    <w:qFormat/>
    <w:rsid w:val="00131A56"/>
    <w:pPr>
      <w:spacing w:after="0" w:line="240" w:lineRule="auto"/>
    </w:pPr>
  </w:style>
  <w:style w:type="character" w:customStyle="1" w:styleId="Nadpis4Char">
    <w:name w:val="Nadpis 4 Char"/>
    <w:basedOn w:val="Predvolenpsmoodseku"/>
    <w:link w:val="Nadpis4"/>
    <w:uiPriority w:val="9"/>
    <w:rsid w:val="005A723D"/>
    <w:rPr>
      <w:rFonts w:ascii="Times New Roman" w:eastAsiaTheme="majorEastAsia" w:hAnsi="Times New Roman" w:cstheme="majorBidi"/>
      <w:b/>
      <w:bCs/>
      <w:i/>
      <w:iCs/>
      <w:sz w:val="24"/>
    </w:rPr>
  </w:style>
  <w:style w:type="character" w:customStyle="1" w:styleId="Nadpis5Char">
    <w:name w:val="Nadpis 5 Char"/>
    <w:basedOn w:val="Predvolenpsmoodseku"/>
    <w:link w:val="Nadpis5"/>
    <w:uiPriority w:val="9"/>
    <w:semiHidden/>
    <w:rsid w:val="00B16928"/>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B1692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B16928"/>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B169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B16928"/>
    <w:rPr>
      <w:rFonts w:asciiTheme="majorHAnsi" w:eastAsiaTheme="majorEastAsia" w:hAnsiTheme="majorHAnsi" w:cstheme="majorBidi"/>
      <w:i/>
      <w:iCs/>
      <w:color w:val="404040" w:themeColor="text1" w:themeTint="BF"/>
      <w:sz w:val="20"/>
      <w:szCs w:val="20"/>
    </w:rPr>
  </w:style>
  <w:style w:type="character" w:customStyle="1" w:styleId="PodtitulChar">
    <w:name w:val="Podtitul Char"/>
    <w:basedOn w:val="Predvolenpsmoodseku"/>
    <w:uiPriority w:val="11"/>
    <w:rsid w:val="00F87041"/>
    <w:rPr>
      <w:rFonts w:asciiTheme="majorHAnsi" w:eastAsiaTheme="majorEastAsia" w:hAnsiTheme="majorHAnsi" w:cstheme="majorBidi"/>
      <w:b/>
      <w:i/>
      <w:iCs/>
      <w:color w:val="4F6228" w:themeColor="accent3" w:themeShade="80"/>
      <w:sz w:val="24"/>
      <w:szCs w:val="24"/>
    </w:rPr>
  </w:style>
  <w:style w:type="character" w:styleId="Intenzvnezvraznenie">
    <w:name w:val="Intense Emphasis"/>
    <w:basedOn w:val="Predvolenpsmoodseku"/>
    <w:uiPriority w:val="21"/>
    <w:qFormat/>
    <w:rsid w:val="0039282F"/>
    <w:rPr>
      <w:b/>
      <w:bCs/>
      <w:i/>
      <w:iCs/>
      <w:color w:val="4F81BD" w:themeColor="accent1"/>
    </w:rPr>
  </w:style>
  <w:style w:type="character" w:styleId="Jemnzvraznenie">
    <w:name w:val="Subtle Emphasis"/>
    <w:basedOn w:val="Predvolenpsmoodseku"/>
    <w:uiPriority w:val="19"/>
    <w:qFormat/>
    <w:rsid w:val="0039282F"/>
    <w:rPr>
      <w:i/>
      <w:iCs/>
      <w:color w:val="808080" w:themeColor="text1" w:themeTint="7F"/>
    </w:rPr>
  </w:style>
  <w:style w:type="paragraph" w:styleId="Nzov">
    <w:name w:val="Title"/>
    <w:basedOn w:val="Normlny"/>
    <w:next w:val="Normlny"/>
    <w:link w:val="NzovChar"/>
    <w:uiPriority w:val="10"/>
    <w:qFormat/>
    <w:rsid w:val="00392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39282F"/>
    <w:rPr>
      <w:rFonts w:asciiTheme="majorHAnsi" w:eastAsiaTheme="majorEastAsia" w:hAnsiTheme="majorHAnsi" w:cstheme="majorBidi"/>
      <w:color w:val="17365D" w:themeColor="text2" w:themeShade="BF"/>
      <w:spacing w:val="5"/>
      <w:kern w:val="28"/>
      <w:sz w:val="52"/>
      <w:szCs w:val="52"/>
    </w:rPr>
  </w:style>
  <w:style w:type="paragraph" w:styleId="Popis">
    <w:name w:val="caption"/>
    <w:basedOn w:val="Normlny"/>
    <w:next w:val="Normlny"/>
    <w:uiPriority w:val="35"/>
    <w:unhideWhenUsed/>
    <w:qFormat/>
    <w:rsid w:val="00C95CE8"/>
    <w:pPr>
      <w:spacing w:after="200"/>
    </w:pPr>
    <w:rPr>
      <w:b/>
      <w:bCs/>
      <w:sz w:val="18"/>
      <w:szCs w:val="18"/>
    </w:rPr>
  </w:style>
  <w:style w:type="paragraph" w:styleId="Zoznamobrzkov">
    <w:name w:val="table of figures"/>
    <w:basedOn w:val="Normlny"/>
    <w:next w:val="Normlny"/>
    <w:uiPriority w:val="99"/>
    <w:unhideWhenUsed/>
    <w:rsid w:val="0063571D"/>
    <w:pPr>
      <w:spacing w:after="0"/>
    </w:pPr>
  </w:style>
  <w:style w:type="character" w:styleId="Hypertextovprepojenie">
    <w:name w:val="Hyperlink"/>
    <w:basedOn w:val="Predvolenpsmoodseku"/>
    <w:uiPriority w:val="99"/>
    <w:unhideWhenUsed/>
    <w:rsid w:val="0063571D"/>
    <w:rPr>
      <w:color w:val="0000FF" w:themeColor="hyperlink"/>
      <w:u w:val="single"/>
    </w:rPr>
  </w:style>
  <w:style w:type="paragraph" w:styleId="Hlavikaobsahu">
    <w:name w:val="TOC Heading"/>
    <w:basedOn w:val="Nadpis1"/>
    <w:next w:val="Normlny"/>
    <w:uiPriority w:val="39"/>
    <w:semiHidden/>
    <w:unhideWhenUsed/>
    <w:qFormat/>
    <w:rsid w:val="0063571D"/>
    <w:pPr>
      <w:numPr>
        <w:numId w:val="0"/>
      </w:numPr>
      <w:spacing w:after="0" w:line="276" w:lineRule="auto"/>
      <w:outlineLvl w:val="9"/>
    </w:pPr>
    <w:rPr>
      <w:rFonts w:asciiTheme="majorHAnsi" w:hAnsiTheme="majorHAnsi"/>
      <w:lang w:eastAsia="sk-SK"/>
    </w:rPr>
  </w:style>
  <w:style w:type="paragraph" w:styleId="Obsah1">
    <w:name w:val="toc 1"/>
    <w:basedOn w:val="Normlny"/>
    <w:next w:val="Normlny"/>
    <w:autoRedefine/>
    <w:uiPriority w:val="39"/>
    <w:unhideWhenUsed/>
    <w:rsid w:val="0063571D"/>
    <w:pPr>
      <w:spacing w:after="100"/>
    </w:pPr>
  </w:style>
  <w:style w:type="paragraph" w:styleId="Obsah2">
    <w:name w:val="toc 2"/>
    <w:basedOn w:val="Normlny"/>
    <w:next w:val="Normlny"/>
    <w:autoRedefine/>
    <w:uiPriority w:val="39"/>
    <w:unhideWhenUsed/>
    <w:rsid w:val="0063571D"/>
    <w:pPr>
      <w:spacing w:after="100"/>
      <w:ind w:left="240"/>
    </w:pPr>
  </w:style>
  <w:style w:type="paragraph" w:styleId="Obsah3">
    <w:name w:val="toc 3"/>
    <w:basedOn w:val="Normlny"/>
    <w:next w:val="Normlny"/>
    <w:autoRedefine/>
    <w:uiPriority w:val="39"/>
    <w:unhideWhenUsed/>
    <w:rsid w:val="0063571D"/>
    <w:pPr>
      <w:spacing w:after="100"/>
      <w:ind w:left="480"/>
    </w:pPr>
  </w:style>
  <w:style w:type="paragraph" w:styleId="Textpoznmkypodiarou">
    <w:name w:val="footnote text"/>
    <w:basedOn w:val="Normlny"/>
    <w:link w:val="TextpoznmkypodiarouChar"/>
    <w:uiPriority w:val="99"/>
    <w:semiHidden/>
    <w:unhideWhenUsed/>
    <w:rsid w:val="00EE27DC"/>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EE27DC"/>
    <w:rPr>
      <w:rFonts w:ascii="Times New Roman" w:hAnsi="Times New Roman"/>
      <w:sz w:val="20"/>
      <w:szCs w:val="20"/>
    </w:rPr>
  </w:style>
  <w:style w:type="character" w:styleId="Odkaznapoznmkupodiarou">
    <w:name w:val="footnote reference"/>
    <w:basedOn w:val="Predvolenpsmoodseku"/>
    <w:uiPriority w:val="99"/>
    <w:semiHidden/>
    <w:unhideWhenUsed/>
    <w:rsid w:val="00EE27DC"/>
    <w:rPr>
      <w:vertAlign w:val="superscript"/>
    </w:rPr>
  </w:style>
  <w:style w:type="paragraph" w:customStyle="1" w:styleId="Nadpisprlohy">
    <w:name w:val="Nadpis prílohy"/>
    <w:basedOn w:val="Nadpis1"/>
    <w:qFormat/>
    <w:rsid w:val="00A13A3B"/>
    <w:pPr>
      <w:numPr>
        <w:numId w:val="9"/>
      </w:numPr>
      <w:ind w:left="357" w:hanging="357"/>
    </w:pPr>
    <w:rPr>
      <w:rFonts w:eastAsia="Times New Roman"/>
    </w:rPr>
  </w:style>
  <w:style w:type="character" w:styleId="Odkaznakomentr">
    <w:name w:val="annotation reference"/>
    <w:basedOn w:val="Predvolenpsmoodseku"/>
    <w:uiPriority w:val="99"/>
    <w:semiHidden/>
    <w:unhideWhenUsed/>
    <w:rsid w:val="006E6660"/>
    <w:rPr>
      <w:sz w:val="16"/>
      <w:szCs w:val="16"/>
    </w:rPr>
  </w:style>
  <w:style w:type="paragraph" w:styleId="Textkomentra">
    <w:name w:val="annotation text"/>
    <w:basedOn w:val="Normlny"/>
    <w:link w:val="TextkomentraChar"/>
    <w:uiPriority w:val="99"/>
    <w:semiHidden/>
    <w:unhideWhenUsed/>
    <w:rsid w:val="006E6660"/>
    <w:rPr>
      <w:sz w:val="20"/>
      <w:szCs w:val="20"/>
    </w:rPr>
  </w:style>
  <w:style w:type="character" w:customStyle="1" w:styleId="TextkomentraChar">
    <w:name w:val="Text komentára Char"/>
    <w:basedOn w:val="Predvolenpsmoodseku"/>
    <w:link w:val="Textkomentra"/>
    <w:uiPriority w:val="99"/>
    <w:semiHidden/>
    <w:rsid w:val="006E66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6E6660"/>
    <w:rPr>
      <w:b/>
      <w:bCs/>
    </w:rPr>
  </w:style>
  <w:style w:type="character" w:customStyle="1" w:styleId="PredmetkomentraChar">
    <w:name w:val="Predmet komentára Char"/>
    <w:basedOn w:val="TextkomentraChar"/>
    <w:link w:val="Predmetkomentra"/>
    <w:uiPriority w:val="99"/>
    <w:semiHidden/>
    <w:rsid w:val="006E6660"/>
    <w:rPr>
      <w:rFonts w:ascii="Times New Roman" w:hAnsi="Times New Roman"/>
      <w:b/>
      <w:bCs/>
      <w:sz w:val="20"/>
      <w:szCs w:val="20"/>
    </w:rPr>
  </w:style>
  <w:style w:type="paragraph" w:styleId="Podtitul">
    <w:name w:val="Subtitle"/>
    <w:basedOn w:val="Normlny"/>
    <w:next w:val="Normlny"/>
    <w:link w:val="PodtitulChar1"/>
    <w:uiPriority w:val="11"/>
    <w:qFormat/>
    <w:rsid w:val="00F933B9"/>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1">
    <w:name w:val="Podtitul Char1"/>
    <w:basedOn w:val="Predvolenpsmoodseku"/>
    <w:link w:val="Podtitul"/>
    <w:uiPriority w:val="11"/>
    <w:rsid w:val="00F933B9"/>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557218"/>
    <w:pPr>
      <w:spacing w:after="0" w:line="240" w:lineRule="auto"/>
    </w:pPr>
    <w:rPr>
      <w:rFonts w:ascii="Times New Roman" w:hAnsi="Times New Roman"/>
      <w:sz w:val="24"/>
    </w:rPr>
  </w:style>
  <w:style w:type="paragraph" w:styleId="Obyajntext">
    <w:name w:val="Plain Text"/>
    <w:basedOn w:val="Normlny"/>
    <w:link w:val="ObyajntextChar"/>
    <w:uiPriority w:val="99"/>
    <w:unhideWhenUsed/>
    <w:rsid w:val="002E4F3B"/>
    <w:pPr>
      <w:spacing w:after="0"/>
      <w:jc w:val="left"/>
    </w:pPr>
    <w:rPr>
      <w:rFonts w:ascii="Consolas" w:hAnsi="Consolas"/>
      <w:sz w:val="21"/>
      <w:szCs w:val="21"/>
    </w:rPr>
  </w:style>
  <w:style w:type="character" w:customStyle="1" w:styleId="ObyajntextChar">
    <w:name w:val="Obyčajný text Char"/>
    <w:basedOn w:val="Predvolenpsmoodseku"/>
    <w:link w:val="Obyajntext"/>
    <w:uiPriority w:val="99"/>
    <w:rsid w:val="002E4F3B"/>
    <w:rPr>
      <w:rFonts w:ascii="Consolas" w:hAnsi="Consolas"/>
      <w:sz w:val="21"/>
      <w:szCs w:val="21"/>
    </w:rPr>
  </w:style>
  <w:style w:type="table" w:customStyle="1" w:styleId="Mriekatabuky1">
    <w:name w:val="Mriežka tabuľky1"/>
    <w:basedOn w:val="Normlnatabuka"/>
    <w:next w:val="Mriekatabuky"/>
    <w:uiPriority w:val="59"/>
    <w:rsid w:val="009F2C56"/>
    <w:pPr>
      <w:spacing w:after="0" w:line="240" w:lineRule="auto"/>
    </w:pPr>
    <w:rPr>
      <w:rFonts w:ascii="Times New Roman" w:eastAsia="Times New Roman" w:hAnsi="Times New Roman"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814E60"/>
    <w:rPr>
      <w:b/>
      <w:bCs/>
    </w:rPr>
  </w:style>
  <w:style w:type="character" w:customStyle="1" w:styleId="Nadpis2Char1">
    <w:name w:val="Nadpis 2 Char1"/>
    <w:basedOn w:val="Predvolenpsmoodseku"/>
    <w:uiPriority w:val="9"/>
    <w:rsid w:val="00313E3F"/>
    <w:rPr>
      <w:rFonts w:ascii="Times New Roman" w:eastAsiaTheme="majorEastAsia" w:hAnsi="Times New Roman" w:cstheme="majorBidi"/>
      <w:b/>
      <w:bCs/>
      <w:color w:val="76923C" w:themeColor="accent3" w:themeShade="BF"/>
      <w:sz w:val="32"/>
      <w:szCs w:val="26"/>
    </w:rPr>
  </w:style>
  <w:style w:type="character" w:customStyle="1" w:styleId="Nadpis2Char2">
    <w:name w:val="Nadpis 2 Char2"/>
    <w:basedOn w:val="Predvolenpsmoodseku"/>
    <w:uiPriority w:val="9"/>
    <w:rsid w:val="003D7375"/>
    <w:rPr>
      <w:rFonts w:ascii="Times New Roman" w:eastAsiaTheme="majorEastAsia" w:hAnsi="Times New Roman" w:cstheme="majorBidi"/>
      <w:b/>
      <w:bCs/>
      <w:color w:val="76923C" w:themeColor="accent3" w:themeShade="BF"/>
      <w:sz w:val="32"/>
      <w:szCs w:val="26"/>
    </w:rPr>
  </w:style>
  <w:style w:type="character" w:customStyle="1" w:styleId="Nadpis2Char3">
    <w:name w:val="Nadpis 2 Char3"/>
    <w:basedOn w:val="Predvolenpsmoodseku"/>
    <w:link w:val="Nadpis2"/>
    <w:uiPriority w:val="9"/>
    <w:rsid w:val="005A723D"/>
    <w:rPr>
      <w:rFonts w:ascii="Times New Roman" w:eastAsia="Times New Roman" w:hAnsi="Times New Roman" w:cstheme="majorBidi"/>
      <w:b/>
      <w:bCs/>
      <w:sz w:val="32"/>
      <w:szCs w:val="26"/>
    </w:rPr>
  </w:style>
  <w:style w:type="numbering" w:customStyle="1" w:styleId="tl1">
    <w:name w:val="Štýl1"/>
    <w:uiPriority w:val="99"/>
    <w:rsid w:val="001C13C8"/>
    <w:pPr>
      <w:numPr>
        <w:numId w:val="30"/>
      </w:numPr>
    </w:pPr>
  </w:style>
  <w:style w:type="numbering" w:customStyle="1" w:styleId="tl2">
    <w:name w:val="Štýl2"/>
    <w:uiPriority w:val="99"/>
    <w:rsid w:val="001C13C8"/>
    <w:pPr>
      <w:numPr>
        <w:numId w:val="33"/>
      </w:numPr>
    </w:pPr>
  </w:style>
  <w:style w:type="numbering" w:customStyle="1" w:styleId="tl3">
    <w:name w:val="Štýl3"/>
    <w:uiPriority w:val="99"/>
    <w:rsid w:val="00A13A3B"/>
    <w:pPr>
      <w:numPr>
        <w:numId w:val="34"/>
      </w:numPr>
    </w:pPr>
  </w:style>
  <w:style w:type="paragraph" w:customStyle="1" w:styleId="normal">
    <w:name w:val="normal"/>
    <w:rsid w:val="00844CC4"/>
    <w:pPr>
      <w:spacing w:after="0" w:line="360" w:lineRule="auto"/>
    </w:pPr>
    <w:rPr>
      <w:rFonts w:ascii="Times New Roman" w:eastAsia="Times New Roman" w:hAnsi="Times New Roman" w:cs="Times New Roman"/>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78A5"/>
    <w:pPr>
      <w:spacing w:after="12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776E92"/>
    <w:pPr>
      <w:keepNext/>
      <w:keepLines/>
      <w:numPr>
        <w:numId w:val="20"/>
      </w:numPr>
      <w:spacing w:before="480"/>
      <w:jc w:val="left"/>
      <w:outlineLvl w:val="0"/>
    </w:pPr>
    <w:rPr>
      <w:rFonts w:eastAsiaTheme="majorEastAsia" w:cstheme="majorBidi"/>
      <w:b/>
      <w:bCs/>
      <w:color w:val="4F6228" w:themeColor="accent3" w:themeShade="80"/>
      <w:sz w:val="36"/>
      <w:szCs w:val="28"/>
    </w:rPr>
  </w:style>
  <w:style w:type="paragraph" w:styleId="Nadpis3">
    <w:name w:val="heading 3"/>
    <w:basedOn w:val="Normlny"/>
    <w:next w:val="Normlny"/>
    <w:link w:val="Nadpis3Char"/>
    <w:uiPriority w:val="9"/>
    <w:unhideWhenUsed/>
    <w:qFormat/>
    <w:rsid w:val="00776E92"/>
    <w:pPr>
      <w:keepNext/>
      <w:keepLines/>
      <w:numPr>
        <w:ilvl w:val="2"/>
        <w:numId w:val="20"/>
      </w:numPr>
      <w:spacing w:before="200"/>
      <w:outlineLvl w:val="2"/>
    </w:pPr>
    <w:rPr>
      <w:rFonts w:eastAsiaTheme="majorEastAsia" w:cstheme="majorBidi"/>
      <w:b/>
      <w:bCs/>
      <w:color w:val="76923C" w:themeColor="accent3" w:themeShade="BF"/>
      <w:sz w:val="28"/>
    </w:rPr>
  </w:style>
  <w:style w:type="paragraph" w:styleId="Nadpis4">
    <w:name w:val="heading 4"/>
    <w:basedOn w:val="Normlny"/>
    <w:next w:val="Normlny"/>
    <w:link w:val="Nadpis4Char"/>
    <w:uiPriority w:val="9"/>
    <w:unhideWhenUsed/>
    <w:qFormat/>
    <w:rsid w:val="00776E92"/>
    <w:pPr>
      <w:keepNext/>
      <w:keepLines/>
      <w:numPr>
        <w:ilvl w:val="3"/>
        <w:numId w:val="20"/>
      </w:numPr>
      <w:spacing w:before="200" w:after="0"/>
      <w:outlineLvl w:val="3"/>
    </w:pPr>
    <w:rPr>
      <w:rFonts w:eastAsiaTheme="majorEastAsia" w:cstheme="majorBidi"/>
      <w:b/>
      <w:bCs/>
      <w:i/>
      <w:iCs/>
      <w:color w:val="76923C" w:themeColor="accent3" w:themeShade="BF"/>
    </w:rPr>
  </w:style>
  <w:style w:type="paragraph" w:styleId="Nadpis5">
    <w:name w:val="heading 5"/>
    <w:basedOn w:val="Normlny"/>
    <w:next w:val="Normlny"/>
    <w:link w:val="Nadpis5Char"/>
    <w:uiPriority w:val="9"/>
    <w:semiHidden/>
    <w:unhideWhenUsed/>
    <w:qFormat/>
    <w:rsid w:val="00B16928"/>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B16928"/>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B16928"/>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B16928"/>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B16928"/>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253B4"/>
    <w:rPr>
      <w:rFonts w:ascii="Times New Roman" w:hAnsi="Times New Roman" w:cs="Times New Roman" w:hint="default"/>
      <w:color w:val="808080"/>
    </w:rPr>
  </w:style>
  <w:style w:type="paragraph" w:styleId="Odsekzoznamu">
    <w:name w:val="List Paragraph"/>
    <w:basedOn w:val="Normlny"/>
    <w:uiPriority w:val="34"/>
    <w:qFormat/>
    <w:rsid w:val="00DE03EE"/>
    <w:pPr>
      <w:ind w:left="720"/>
      <w:contextualSpacing/>
    </w:pPr>
  </w:style>
  <w:style w:type="paragraph" w:customStyle="1" w:styleId="Default">
    <w:name w:val="Default"/>
    <w:rsid w:val="0076396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886461"/>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86461"/>
    <w:rPr>
      <w:rFonts w:ascii="Tahoma" w:hAnsi="Tahoma" w:cs="Tahoma"/>
      <w:sz w:val="16"/>
      <w:szCs w:val="16"/>
    </w:rPr>
  </w:style>
  <w:style w:type="table" w:styleId="Mriekatabuky">
    <w:name w:val="Table Grid"/>
    <w:basedOn w:val="Normlnatabuka"/>
    <w:uiPriority w:val="59"/>
    <w:rsid w:val="003E1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3">
    <w:name w:val="Light List Accent 3"/>
    <w:basedOn w:val="Normlnatabuka"/>
    <w:uiPriority w:val="61"/>
    <w:rsid w:val="00920C82"/>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rednmrieka1zvraznenie3">
    <w:name w:val="Medium Grid 1 Accent 3"/>
    <w:basedOn w:val="Normlnatabuka"/>
    <w:uiPriority w:val="67"/>
    <w:rsid w:val="00EC446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mrieka1zvraznenie5">
    <w:name w:val="Medium Grid 1 Accent 5"/>
    <w:basedOn w:val="Normlnatabuka"/>
    <w:uiPriority w:val="67"/>
    <w:rsid w:val="002A1C9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TitleCover">
    <w:name w:val="Title Cover"/>
    <w:basedOn w:val="Normlny"/>
    <w:next w:val="Normlny"/>
    <w:link w:val="TitleCoverChar"/>
    <w:rsid w:val="007740ED"/>
    <w:pPr>
      <w:keepNext/>
      <w:keepLines/>
      <w:spacing w:before="120"/>
    </w:pPr>
    <w:rPr>
      <w:rFonts w:ascii="Arial" w:eastAsia="Times New Roman" w:hAnsi="Arial" w:cs="Times New Roman"/>
      <w:color w:val="29527B"/>
      <w:kern w:val="28"/>
      <w:sz w:val="56"/>
      <w:szCs w:val="56"/>
    </w:rPr>
  </w:style>
  <w:style w:type="character" w:customStyle="1" w:styleId="TitleCoverChar">
    <w:name w:val="Title Cover Char"/>
    <w:basedOn w:val="Predvolenpsmoodseku"/>
    <w:link w:val="TitleCover"/>
    <w:rsid w:val="007740ED"/>
    <w:rPr>
      <w:rFonts w:ascii="Arial" w:eastAsia="Times New Roman" w:hAnsi="Arial" w:cs="Times New Roman"/>
      <w:color w:val="29527B"/>
      <w:kern w:val="28"/>
      <w:sz w:val="56"/>
      <w:szCs w:val="56"/>
    </w:rPr>
  </w:style>
  <w:style w:type="paragraph" w:styleId="Hlavika">
    <w:name w:val="header"/>
    <w:basedOn w:val="Normlny"/>
    <w:link w:val="HlavikaChar"/>
    <w:uiPriority w:val="99"/>
    <w:unhideWhenUsed/>
    <w:rsid w:val="00673588"/>
    <w:pPr>
      <w:tabs>
        <w:tab w:val="center" w:pos="4536"/>
        <w:tab w:val="right" w:pos="9072"/>
      </w:tabs>
      <w:spacing w:after="0"/>
    </w:pPr>
  </w:style>
  <w:style w:type="character" w:customStyle="1" w:styleId="HlavikaChar">
    <w:name w:val="Hlavička Char"/>
    <w:basedOn w:val="Predvolenpsmoodseku"/>
    <w:link w:val="Hlavika"/>
    <w:uiPriority w:val="99"/>
    <w:rsid w:val="00673588"/>
  </w:style>
  <w:style w:type="paragraph" w:styleId="Pta">
    <w:name w:val="footer"/>
    <w:basedOn w:val="Normlny"/>
    <w:link w:val="PtaChar"/>
    <w:uiPriority w:val="99"/>
    <w:unhideWhenUsed/>
    <w:rsid w:val="00673588"/>
    <w:pPr>
      <w:tabs>
        <w:tab w:val="center" w:pos="4536"/>
        <w:tab w:val="right" w:pos="9072"/>
      </w:tabs>
      <w:spacing w:after="0"/>
    </w:pPr>
  </w:style>
  <w:style w:type="character" w:customStyle="1" w:styleId="PtaChar">
    <w:name w:val="Päta Char"/>
    <w:basedOn w:val="Predvolenpsmoodseku"/>
    <w:link w:val="Pta"/>
    <w:uiPriority w:val="99"/>
    <w:rsid w:val="00673588"/>
  </w:style>
  <w:style w:type="paragraph" w:customStyle="1" w:styleId="Normaltext">
    <w:name w:val="Normal text"/>
    <w:rsid w:val="00D34976"/>
    <w:pPr>
      <w:spacing w:before="120" w:after="120" w:line="240" w:lineRule="auto"/>
      <w:jc w:val="both"/>
    </w:pPr>
    <w:rPr>
      <w:rFonts w:ascii="Arial" w:eastAsia="Times New Roman" w:hAnsi="Arial" w:cs="Times New Roman"/>
      <w:sz w:val="20"/>
    </w:rPr>
  </w:style>
  <w:style w:type="character" w:styleId="Zvraznenie">
    <w:name w:val="Emphasis"/>
    <w:basedOn w:val="Predvolenpsmoodseku"/>
    <w:qFormat/>
    <w:rsid w:val="00D34976"/>
    <w:rPr>
      <w:i/>
      <w:iCs/>
    </w:rPr>
  </w:style>
  <w:style w:type="character" w:customStyle="1" w:styleId="Nadpis1Char">
    <w:name w:val="Nadpis 1 Char"/>
    <w:basedOn w:val="Predvolenpsmoodseku"/>
    <w:link w:val="Nadpis1"/>
    <w:uiPriority w:val="9"/>
    <w:rsid w:val="00776E92"/>
    <w:rPr>
      <w:rFonts w:ascii="Times New Roman" w:eastAsiaTheme="majorEastAsia" w:hAnsi="Times New Roman" w:cstheme="majorBidi"/>
      <w:b/>
      <w:bCs/>
      <w:color w:val="4F6228" w:themeColor="accent3" w:themeShade="80"/>
      <w:sz w:val="36"/>
      <w:szCs w:val="28"/>
    </w:rPr>
  </w:style>
  <w:style w:type="character" w:customStyle="1" w:styleId="Nadpis2Char">
    <w:name w:val="Nadpis 2 Char"/>
    <w:basedOn w:val="Predvolenpsmoodseku"/>
    <w:uiPriority w:val="9"/>
    <w:rsid w:val="00A4078F"/>
    <w:rPr>
      <w:rFonts w:ascii="Times New Roman" w:eastAsiaTheme="majorEastAsia" w:hAnsi="Times New Roman" w:cstheme="majorBidi"/>
      <w:b/>
      <w:bCs/>
      <w:color w:val="76923C" w:themeColor="accent3" w:themeShade="BF"/>
      <w:sz w:val="32"/>
      <w:szCs w:val="26"/>
    </w:rPr>
  </w:style>
  <w:style w:type="character" w:customStyle="1" w:styleId="Nadpis3Char">
    <w:name w:val="Nadpis 3 Char"/>
    <w:basedOn w:val="Predvolenpsmoodseku"/>
    <w:link w:val="Nadpis3"/>
    <w:uiPriority w:val="9"/>
    <w:rsid w:val="00776E92"/>
    <w:rPr>
      <w:rFonts w:ascii="Times New Roman" w:eastAsiaTheme="majorEastAsia" w:hAnsi="Times New Roman" w:cstheme="majorBidi"/>
      <w:b/>
      <w:bCs/>
      <w:color w:val="76923C" w:themeColor="accent3" w:themeShade="BF"/>
      <w:sz w:val="28"/>
    </w:rPr>
  </w:style>
  <w:style w:type="paragraph" w:styleId="Bezriadkovania">
    <w:name w:val="No Spacing"/>
    <w:uiPriority w:val="1"/>
    <w:qFormat/>
    <w:rsid w:val="00131A56"/>
    <w:pPr>
      <w:spacing w:after="0" w:line="240" w:lineRule="auto"/>
    </w:pPr>
  </w:style>
  <w:style w:type="character" w:customStyle="1" w:styleId="Nadpis4Char">
    <w:name w:val="Nadpis 4 Char"/>
    <w:basedOn w:val="Predvolenpsmoodseku"/>
    <w:link w:val="Nadpis4"/>
    <w:uiPriority w:val="9"/>
    <w:rsid w:val="00776E92"/>
    <w:rPr>
      <w:rFonts w:ascii="Times New Roman" w:eastAsiaTheme="majorEastAsia" w:hAnsi="Times New Roman" w:cstheme="majorBidi"/>
      <w:b/>
      <w:bCs/>
      <w:i/>
      <w:iCs/>
      <w:color w:val="76923C" w:themeColor="accent3" w:themeShade="BF"/>
      <w:sz w:val="24"/>
    </w:rPr>
  </w:style>
  <w:style w:type="character" w:customStyle="1" w:styleId="Nadpis5Char">
    <w:name w:val="Nadpis 5 Char"/>
    <w:basedOn w:val="Predvolenpsmoodseku"/>
    <w:link w:val="Nadpis5"/>
    <w:uiPriority w:val="9"/>
    <w:semiHidden/>
    <w:rsid w:val="00B16928"/>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B1692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B16928"/>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B169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B16928"/>
    <w:rPr>
      <w:rFonts w:asciiTheme="majorHAnsi" w:eastAsiaTheme="majorEastAsia" w:hAnsiTheme="majorHAnsi" w:cstheme="majorBidi"/>
      <w:i/>
      <w:iCs/>
      <w:color w:val="404040" w:themeColor="text1" w:themeTint="BF"/>
      <w:sz w:val="20"/>
      <w:szCs w:val="20"/>
    </w:rPr>
  </w:style>
  <w:style w:type="character" w:customStyle="1" w:styleId="PodtitulChar">
    <w:name w:val="Podtitul Char"/>
    <w:basedOn w:val="Predvolenpsmoodseku"/>
    <w:uiPriority w:val="11"/>
    <w:rsid w:val="00F87041"/>
    <w:rPr>
      <w:rFonts w:asciiTheme="majorHAnsi" w:eastAsiaTheme="majorEastAsia" w:hAnsiTheme="majorHAnsi" w:cstheme="majorBidi"/>
      <w:b/>
      <w:i/>
      <w:iCs/>
      <w:color w:val="4F6228" w:themeColor="accent3" w:themeShade="80"/>
      <w:sz w:val="24"/>
      <w:szCs w:val="24"/>
    </w:rPr>
  </w:style>
  <w:style w:type="character" w:styleId="Intenzvnezvraznenie">
    <w:name w:val="Intense Emphasis"/>
    <w:basedOn w:val="Predvolenpsmoodseku"/>
    <w:uiPriority w:val="21"/>
    <w:qFormat/>
    <w:rsid w:val="0039282F"/>
    <w:rPr>
      <w:b/>
      <w:bCs/>
      <w:i/>
      <w:iCs/>
      <w:color w:val="4F81BD" w:themeColor="accent1"/>
    </w:rPr>
  </w:style>
  <w:style w:type="character" w:styleId="Jemnzvraznenie">
    <w:name w:val="Subtle Emphasis"/>
    <w:basedOn w:val="Predvolenpsmoodseku"/>
    <w:uiPriority w:val="19"/>
    <w:qFormat/>
    <w:rsid w:val="0039282F"/>
    <w:rPr>
      <w:i/>
      <w:iCs/>
      <w:color w:val="808080" w:themeColor="text1" w:themeTint="7F"/>
    </w:rPr>
  </w:style>
  <w:style w:type="paragraph" w:styleId="Nzov">
    <w:name w:val="Title"/>
    <w:basedOn w:val="Normlny"/>
    <w:next w:val="Normlny"/>
    <w:link w:val="NzovChar"/>
    <w:uiPriority w:val="10"/>
    <w:qFormat/>
    <w:rsid w:val="00392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39282F"/>
    <w:rPr>
      <w:rFonts w:asciiTheme="majorHAnsi" w:eastAsiaTheme="majorEastAsia" w:hAnsiTheme="majorHAnsi" w:cstheme="majorBidi"/>
      <w:color w:val="17365D" w:themeColor="text2" w:themeShade="BF"/>
      <w:spacing w:val="5"/>
      <w:kern w:val="28"/>
      <w:sz w:val="52"/>
      <w:szCs w:val="52"/>
    </w:rPr>
  </w:style>
  <w:style w:type="paragraph" w:styleId="Popis">
    <w:name w:val="caption"/>
    <w:basedOn w:val="Normlny"/>
    <w:next w:val="Normlny"/>
    <w:uiPriority w:val="35"/>
    <w:unhideWhenUsed/>
    <w:qFormat/>
    <w:rsid w:val="00C95CE8"/>
    <w:pPr>
      <w:spacing w:after="200"/>
    </w:pPr>
    <w:rPr>
      <w:b/>
      <w:bCs/>
      <w:sz w:val="18"/>
      <w:szCs w:val="18"/>
    </w:rPr>
  </w:style>
  <w:style w:type="paragraph" w:styleId="Zoznamobrzkov">
    <w:name w:val="table of figures"/>
    <w:basedOn w:val="Normlny"/>
    <w:next w:val="Normlny"/>
    <w:uiPriority w:val="99"/>
    <w:unhideWhenUsed/>
    <w:rsid w:val="0063571D"/>
    <w:pPr>
      <w:spacing w:after="0"/>
    </w:pPr>
  </w:style>
  <w:style w:type="character" w:styleId="Hypertextovprepojenie">
    <w:name w:val="Hyperlink"/>
    <w:basedOn w:val="Predvolenpsmoodseku"/>
    <w:uiPriority w:val="99"/>
    <w:unhideWhenUsed/>
    <w:rsid w:val="0063571D"/>
    <w:rPr>
      <w:color w:val="0000FF" w:themeColor="hyperlink"/>
      <w:u w:val="single"/>
    </w:rPr>
  </w:style>
  <w:style w:type="paragraph" w:styleId="Hlavikaobsahu">
    <w:name w:val="TOC Heading"/>
    <w:basedOn w:val="Nadpis1"/>
    <w:next w:val="Normlny"/>
    <w:uiPriority w:val="39"/>
    <w:semiHidden/>
    <w:unhideWhenUsed/>
    <w:qFormat/>
    <w:rsid w:val="0063571D"/>
    <w:pPr>
      <w:numPr>
        <w:numId w:val="0"/>
      </w:numPr>
      <w:spacing w:after="0" w:line="276" w:lineRule="auto"/>
      <w:outlineLvl w:val="9"/>
    </w:pPr>
    <w:rPr>
      <w:rFonts w:asciiTheme="majorHAnsi" w:hAnsiTheme="majorHAnsi"/>
      <w:lang w:eastAsia="sk-SK"/>
    </w:rPr>
  </w:style>
  <w:style w:type="paragraph" w:styleId="Obsah1">
    <w:name w:val="toc 1"/>
    <w:basedOn w:val="Normlny"/>
    <w:next w:val="Normlny"/>
    <w:autoRedefine/>
    <w:uiPriority w:val="39"/>
    <w:unhideWhenUsed/>
    <w:rsid w:val="0063571D"/>
    <w:pPr>
      <w:spacing w:after="100"/>
    </w:pPr>
  </w:style>
  <w:style w:type="paragraph" w:styleId="Obsah2">
    <w:name w:val="toc 2"/>
    <w:basedOn w:val="Normlny"/>
    <w:next w:val="Normlny"/>
    <w:autoRedefine/>
    <w:uiPriority w:val="39"/>
    <w:unhideWhenUsed/>
    <w:rsid w:val="0063571D"/>
    <w:pPr>
      <w:spacing w:after="100"/>
      <w:ind w:left="240"/>
    </w:pPr>
  </w:style>
  <w:style w:type="paragraph" w:styleId="Obsah3">
    <w:name w:val="toc 3"/>
    <w:basedOn w:val="Normlny"/>
    <w:next w:val="Normlny"/>
    <w:autoRedefine/>
    <w:uiPriority w:val="39"/>
    <w:unhideWhenUsed/>
    <w:rsid w:val="0063571D"/>
    <w:pPr>
      <w:spacing w:after="100"/>
      <w:ind w:left="480"/>
    </w:pPr>
  </w:style>
  <w:style w:type="paragraph" w:styleId="Textpoznmkypodiarou">
    <w:name w:val="footnote text"/>
    <w:basedOn w:val="Normlny"/>
    <w:link w:val="TextpoznmkypodiarouChar"/>
    <w:uiPriority w:val="99"/>
    <w:semiHidden/>
    <w:unhideWhenUsed/>
    <w:rsid w:val="00EE27DC"/>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EE27DC"/>
    <w:rPr>
      <w:rFonts w:ascii="Times New Roman" w:hAnsi="Times New Roman"/>
      <w:sz w:val="20"/>
      <w:szCs w:val="20"/>
    </w:rPr>
  </w:style>
  <w:style w:type="character" w:styleId="Odkaznapoznmkupodiarou">
    <w:name w:val="footnote reference"/>
    <w:basedOn w:val="Predvolenpsmoodseku"/>
    <w:uiPriority w:val="99"/>
    <w:semiHidden/>
    <w:unhideWhenUsed/>
    <w:rsid w:val="00EE27DC"/>
    <w:rPr>
      <w:vertAlign w:val="superscript"/>
    </w:rPr>
  </w:style>
  <w:style w:type="paragraph" w:customStyle="1" w:styleId="Nadpisprlohy">
    <w:name w:val="Nadpis prílohy"/>
    <w:basedOn w:val="Nadpis1"/>
    <w:qFormat/>
    <w:rsid w:val="00776E92"/>
    <w:pPr>
      <w:numPr>
        <w:numId w:val="9"/>
      </w:numPr>
      <w:ind w:left="357" w:hanging="357"/>
    </w:pPr>
    <w:rPr>
      <w:rFonts w:eastAsia="Times New Roman"/>
    </w:rPr>
  </w:style>
  <w:style w:type="character" w:styleId="Odkaznakomentr">
    <w:name w:val="annotation reference"/>
    <w:basedOn w:val="Predvolenpsmoodseku"/>
    <w:uiPriority w:val="99"/>
    <w:semiHidden/>
    <w:unhideWhenUsed/>
    <w:rsid w:val="006E6660"/>
    <w:rPr>
      <w:sz w:val="16"/>
      <w:szCs w:val="16"/>
    </w:rPr>
  </w:style>
  <w:style w:type="paragraph" w:styleId="Textkomentra">
    <w:name w:val="annotation text"/>
    <w:basedOn w:val="Normlny"/>
    <w:link w:val="TextkomentraChar"/>
    <w:uiPriority w:val="99"/>
    <w:semiHidden/>
    <w:unhideWhenUsed/>
    <w:rsid w:val="006E6660"/>
    <w:rPr>
      <w:sz w:val="20"/>
      <w:szCs w:val="20"/>
    </w:rPr>
  </w:style>
  <w:style w:type="character" w:customStyle="1" w:styleId="TextkomentraChar">
    <w:name w:val="Text komentára Char"/>
    <w:basedOn w:val="Predvolenpsmoodseku"/>
    <w:link w:val="Textkomentra"/>
    <w:uiPriority w:val="99"/>
    <w:semiHidden/>
    <w:rsid w:val="006E66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6E6660"/>
    <w:rPr>
      <w:b/>
      <w:bCs/>
    </w:rPr>
  </w:style>
  <w:style w:type="character" w:customStyle="1" w:styleId="PredmetkomentraChar">
    <w:name w:val="Predmet komentára Char"/>
    <w:basedOn w:val="TextkomentraChar"/>
    <w:link w:val="Predmetkomentra"/>
    <w:uiPriority w:val="99"/>
    <w:semiHidden/>
    <w:rsid w:val="006E6660"/>
    <w:rPr>
      <w:rFonts w:ascii="Times New Roman" w:hAnsi="Times New Roman"/>
      <w:b/>
      <w:bCs/>
      <w:sz w:val="20"/>
      <w:szCs w:val="20"/>
    </w:rPr>
  </w:style>
  <w:style w:type="paragraph" w:styleId="Podtitul">
    <w:name w:val="Subtitle"/>
    <w:basedOn w:val="Normlny"/>
    <w:next w:val="Normlny"/>
    <w:link w:val="PodtitulChar1"/>
    <w:uiPriority w:val="11"/>
    <w:qFormat/>
    <w:rsid w:val="00F933B9"/>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1">
    <w:name w:val="Podtitul Char1"/>
    <w:basedOn w:val="Predvolenpsmoodseku"/>
    <w:link w:val="Podtitul"/>
    <w:uiPriority w:val="11"/>
    <w:rsid w:val="00F933B9"/>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557218"/>
    <w:pPr>
      <w:spacing w:after="0" w:line="240" w:lineRule="auto"/>
    </w:pPr>
    <w:rPr>
      <w:rFonts w:ascii="Times New Roman" w:hAnsi="Times New Roman"/>
      <w:sz w:val="24"/>
    </w:rPr>
  </w:style>
  <w:style w:type="paragraph" w:styleId="Obyajntext">
    <w:name w:val="Plain Text"/>
    <w:basedOn w:val="Normlny"/>
    <w:link w:val="ObyajntextChar"/>
    <w:uiPriority w:val="99"/>
    <w:unhideWhenUsed/>
    <w:rsid w:val="002E4F3B"/>
    <w:pPr>
      <w:spacing w:after="0"/>
      <w:jc w:val="left"/>
    </w:pPr>
    <w:rPr>
      <w:rFonts w:ascii="Consolas" w:hAnsi="Consolas"/>
      <w:sz w:val="21"/>
      <w:szCs w:val="21"/>
    </w:rPr>
  </w:style>
  <w:style w:type="character" w:customStyle="1" w:styleId="ObyajntextChar">
    <w:name w:val="Obyčajný text Char"/>
    <w:basedOn w:val="Predvolenpsmoodseku"/>
    <w:link w:val="Obyajntext"/>
    <w:uiPriority w:val="99"/>
    <w:rsid w:val="002E4F3B"/>
    <w:rPr>
      <w:rFonts w:ascii="Consolas" w:hAnsi="Consolas"/>
      <w:sz w:val="21"/>
      <w:szCs w:val="21"/>
    </w:rPr>
  </w:style>
  <w:style w:type="table" w:customStyle="1" w:styleId="Mriekatabuky1">
    <w:name w:val="Mriežka tabuľky1"/>
    <w:basedOn w:val="Normlnatabuka"/>
    <w:next w:val="Mriekatabuky"/>
    <w:uiPriority w:val="59"/>
    <w:rsid w:val="009F2C56"/>
    <w:pPr>
      <w:spacing w:after="0" w:line="240" w:lineRule="auto"/>
    </w:pPr>
    <w:rPr>
      <w:rFonts w:ascii="Times New Roman" w:eastAsia="Times New Roman" w:hAnsi="Times New Roman"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814E60"/>
    <w:rPr>
      <w:b/>
      <w:bCs/>
    </w:rPr>
  </w:style>
  <w:style w:type="character" w:customStyle="1" w:styleId="Nadpis2Char1">
    <w:name w:val="Nadpis 2 Char1"/>
    <w:basedOn w:val="Predvolenpsmoodseku"/>
    <w:uiPriority w:val="9"/>
    <w:rsid w:val="00313E3F"/>
    <w:rPr>
      <w:rFonts w:ascii="Times New Roman" w:eastAsiaTheme="majorEastAsia" w:hAnsi="Times New Roman" w:cstheme="majorBidi"/>
      <w:b/>
      <w:bCs/>
      <w:color w:val="76923C" w:themeColor="accent3" w:themeShade="BF"/>
      <w:sz w:val="32"/>
      <w:szCs w:val="26"/>
    </w:rPr>
  </w:style>
  <w:style w:type="character" w:customStyle="1" w:styleId="Nadpis2Char2">
    <w:name w:val="Nadpis 2 Char2"/>
    <w:basedOn w:val="Predvolenpsmoodseku"/>
    <w:uiPriority w:val="9"/>
    <w:rsid w:val="003D7375"/>
    <w:rPr>
      <w:rFonts w:ascii="Times New Roman" w:eastAsiaTheme="majorEastAsia" w:hAnsi="Times New Roman" w:cstheme="majorBidi"/>
      <w:b/>
      <w:bCs/>
      <w:color w:val="76923C" w:themeColor="accent3" w:themeShade="BF"/>
      <w:sz w:val="32"/>
      <w:szCs w:val="26"/>
    </w:rPr>
  </w:style>
</w:styles>
</file>

<file path=word/webSettings.xml><?xml version="1.0" encoding="utf-8"?>
<w:webSettings xmlns:r="http://schemas.openxmlformats.org/officeDocument/2006/relationships" xmlns:w="http://schemas.openxmlformats.org/wordprocessingml/2006/main">
  <w:divs>
    <w:div w:id="190926010">
      <w:bodyDiv w:val="1"/>
      <w:marLeft w:val="0"/>
      <w:marRight w:val="0"/>
      <w:marTop w:val="0"/>
      <w:marBottom w:val="0"/>
      <w:divBdr>
        <w:top w:val="none" w:sz="0" w:space="0" w:color="auto"/>
        <w:left w:val="none" w:sz="0" w:space="0" w:color="auto"/>
        <w:bottom w:val="none" w:sz="0" w:space="0" w:color="auto"/>
        <w:right w:val="none" w:sz="0" w:space="0" w:color="auto"/>
      </w:divBdr>
    </w:div>
    <w:div w:id="575558473">
      <w:bodyDiv w:val="1"/>
      <w:marLeft w:val="0"/>
      <w:marRight w:val="0"/>
      <w:marTop w:val="0"/>
      <w:marBottom w:val="0"/>
      <w:divBdr>
        <w:top w:val="none" w:sz="0" w:space="0" w:color="auto"/>
        <w:left w:val="none" w:sz="0" w:space="0" w:color="auto"/>
        <w:bottom w:val="none" w:sz="0" w:space="0" w:color="auto"/>
        <w:right w:val="none" w:sz="0" w:space="0" w:color="auto"/>
      </w:divBdr>
    </w:div>
    <w:div w:id="986785605">
      <w:bodyDiv w:val="1"/>
      <w:marLeft w:val="0"/>
      <w:marRight w:val="0"/>
      <w:marTop w:val="0"/>
      <w:marBottom w:val="0"/>
      <w:divBdr>
        <w:top w:val="none" w:sz="0" w:space="0" w:color="auto"/>
        <w:left w:val="none" w:sz="0" w:space="0" w:color="auto"/>
        <w:bottom w:val="none" w:sz="0" w:space="0" w:color="auto"/>
        <w:right w:val="none" w:sz="0" w:space="0" w:color="auto"/>
      </w:divBdr>
    </w:div>
    <w:div w:id="1016733127">
      <w:bodyDiv w:val="1"/>
      <w:marLeft w:val="0"/>
      <w:marRight w:val="0"/>
      <w:marTop w:val="0"/>
      <w:marBottom w:val="0"/>
      <w:divBdr>
        <w:top w:val="none" w:sz="0" w:space="0" w:color="auto"/>
        <w:left w:val="none" w:sz="0" w:space="0" w:color="auto"/>
        <w:bottom w:val="none" w:sz="0" w:space="0" w:color="auto"/>
        <w:right w:val="none" w:sz="0" w:space="0" w:color="auto"/>
      </w:divBdr>
    </w:div>
    <w:div w:id="1063259570">
      <w:bodyDiv w:val="1"/>
      <w:marLeft w:val="0"/>
      <w:marRight w:val="0"/>
      <w:marTop w:val="0"/>
      <w:marBottom w:val="0"/>
      <w:divBdr>
        <w:top w:val="none" w:sz="0" w:space="0" w:color="auto"/>
        <w:left w:val="none" w:sz="0" w:space="0" w:color="auto"/>
        <w:bottom w:val="none" w:sz="0" w:space="0" w:color="auto"/>
        <w:right w:val="none" w:sz="0" w:space="0" w:color="auto"/>
      </w:divBdr>
    </w:div>
    <w:div w:id="1154957135">
      <w:bodyDiv w:val="1"/>
      <w:marLeft w:val="0"/>
      <w:marRight w:val="0"/>
      <w:marTop w:val="0"/>
      <w:marBottom w:val="0"/>
      <w:divBdr>
        <w:top w:val="none" w:sz="0" w:space="0" w:color="auto"/>
        <w:left w:val="none" w:sz="0" w:space="0" w:color="auto"/>
        <w:bottom w:val="none" w:sz="0" w:space="0" w:color="auto"/>
        <w:right w:val="none" w:sz="0" w:space="0" w:color="auto"/>
      </w:divBdr>
    </w:div>
    <w:div w:id="1536238289">
      <w:bodyDiv w:val="1"/>
      <w:marLeft w:val="0"/>
      <w:marRight w:val="0"/>
      <w:marTop w:val="0"/>
      <w:marBottom w:val="0"/>
      <w:divBdr>
        <w:top w:val="none" w:sz="0" w:space="0" w:color="auto"/>
        <w:left w:val="none" w:sz="0" w:space="0" w:color="auto"/>
        <w:bottom w:val="none" w:sz="0" w:space="0" w:color="auto"/>
        <w:right w:val="none" w:sz="0" w:space="0" w:color="auto"/>
      </w:divBdr>
    </w:div>
    <w:div w:id="1670137339">
      <w:bodyDiv w:val="1"/>
      <w:marLeft w:val="0"/>
      <w:marRight w:val="0"/>
      <w:marTop w:val="0"/>
      <w:marBottom w:val="0"/>
      <w:divBdr>
        <w:top w:val="none" w:sz="0" w:space="0" w:color="auto"/>
        <w:left w:val="none" w:sz="0" w:space="0" w:color="auto"/>
        <w:bottom w:val="none" w:sz="0" w:space="0" w:color="auto"/>
        <w:right w:val="none" w:sz="0" w:space="0" w:color="auto"/>
      </w:divBdr>
    </w:div>
    <w:div w:id="1682008622">
      <w:bodyDiv w:val="1"/>
      <w:marLeft w:val="0"/>
      <w:marRight w:val="0"/>
      <w:marTop w:val="0"/>
      <w:marBottom w:val="0"/>
      <w:divBdr>
        <w:top w:val="none" w:sz="0" w:space="0" w:color="auto"/>
        <w:left w:val="none" w:sz="0" w:space="0" w:color="auto"/>
        <w:bottom w:val="none" w:sz="0" w:space="0" w:color="auto"/>
        <w:right w:val="none" w:sz="0" w:space="0" w:color="auto"/>
      </w:divBdr>
    </w:div>
    <w:div w:id="19090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t.justice.gov.sk/Material/MaterialReview.aspx?instEID=48&amp;matEID=5930&amp;drCommentDocFREID=-1&amp;rOverviewAction=PreviewAll&amp;langEID=1" TargetMode="External"/><Relationship Id="rId14" Type="http://schemas.openxmlformats.org/officeDocument/2006/relationships/footer" Target="foot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ancik\Desktop\Grafy%20k%20cyklostrat&#233;gii%20-D&#225;ta%20pre%20MDVRR_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Cyklostrat&#233;gia\N&#225;&#353;%20materi&#225;l%20-%20cyklostrat&#233;gia\Upraven&#233;%20Grafy%20k%20cyklostrat&#233;gi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style val="10"/>
  <c:clrMapOvr bg1="lt1" tx1="dk1" bg2="lt2" tx2="dk2" accent1="accent1" accent2="accent2" accent3="accent3" accent4="accent4" accent5="accent5" accent6="accent6" hlink="hlink" folHlink="folHlink"/>
  <c:chart>
    <c:title>
      <c:tx>
        <c:rich>
          <a:bodyPr/>
          <a:lstStyle/>
          <a:p>
            <a:pPr>
              <a:defRPr/>
            </a:pPr>
            <a:endParaRPr lang="en-US"/>
          </a:p>
        </c:rich>
      </c:tx>
    </c:title>
    <c:view3D>
      <c:rotX val="75"/>
      <c:perspective val="30"/>
    </c:view3D>
    <c:plotArea>
      <c:layout>
        <c:manualLayout>
          <c:layoutTarget val="inner"/>
          <c:xMode val="edge"/>
          <c:yMode val="edge"/>
          <c:x val="0.10986362777796323"/>
          <c:y val="0.22822414876654626"/>
          <c:w val="0.81370601928381503"/>
          <c:h val="0.66107330748142346"/>
        </c:manualLayout>
      </c:layout>
      <c:pie3DChart>
        <c:varyColors val="1"/>
        <c:ser>
          <c:idx val="0"/>
          <c:order val="0"/>
          <c:spPr>
            <a:ln w="28575">
              <a:solidFill>
                <a:sysClr val="windowText" lastClr="000000"/>
              </a:solidFill>
            </a:ln>
          </c:spPr>
          <c:explosion val="25"/>
          <c:dPt>
            <c:idx val="0"/>
            <c:spPr>
              <a:solidFill>
                <a:schemeClr val="accent6">
                  <a:lumMod val="75000"/>
                </a:schemeClr>
              </a:solidFill>
              <a:ln w="28575">
                <a:solidFill>
                  <a:sysClr val="windowText" lastClr="000000"/>
                </a:solidFill>
              </a:ln>
            </c:spPr>
          </c:dPt>
          <c:dPt>
            <c:idx val="1"/>
            <c:spPr>
              <a:solidFill>
                <a:srgbClr val="FFFF00"/>
              </a:solidFill>
              <a:ln w="28575">
                <a:solidFill>
                  <a:sysClr val="windowText" lastClr="000000"/>
                </a:solidFill>
              </a:ln>
            </c:spPr>
          </c:dPt>
          <c:dLbls>
            <c:dLbl>
              <c:idx val="0"/>
              <c:layout>
                <c:manualLayout>
                  <c:x val="-0.15407552949542241"/>
                  <c:y val="-7.4060943490650413E-2"/>
                </c:manualLayout>
              </c:layout>
              <c:tx>
                <c:rich>
                  <a:bodyPr/>
                  <a:lstStyle/>
                  <a:p>
                    <a:r>
                      <a:rPr lang="en-US" b="1" cap="none" spc="0">
                        <a:ln w="1905"/>
                        <a:solidFill>
                          <a:schemeClr val="tx1"/>
                        </a:solidFill>
                        <a:effectLst>
                          <a:innerShdw blurRad="69850" dist="43180" dir="5400000">
                            <a:srgbClr val="000000">
                              <a:alpha val="65000"/>
                            </a:srgbClr>
                          </a:innerShdw>
                        </a:effectLst>
                      </a:rPr>
                      <a:t>Samostatné 
</a:t>
                    </a:r>
                    <a:r>
                      <a:rPr lang="en-US" sz="1400" b="1" cap="none" spc="0">
                        <a:ln w="1905"/>
                        <a:solidFill>
                          <a:schemeClr val="tx1"/>
                        </a:solidFill>
                        <a:effectLst>
                          <a:innerShdw blurRad="69850" dist="43180" dir="5400000">
                            <a:srgbClr val="000000">
                              <a:alpha val="65000"/>
                            </a:srgbClr>
                          </a:innerShdw>
                        </a:effectLst>
                      </a:rPr>
                      <a:t>60%</a:t>
                    </a:r>
                    <a:endParaRPr lang="en-US" sz="1400"/>
                  </a:p>
                </c:rich>
              </c:tx>
              <c:dLblPos val="bestFit"/>
            </c:dLbl>
            <c:dLbl>
              <c:idx val="1"/>
              <c:layout>
                <c:manualLayout>
                  <c:x val="-5.0735885843106288E-2"/>
                  <c:y val="0.2608340158382238"/>
                </c:manualLayout>
              </c:layout>
              <c:tx>
                <c:rich>
                  <a:bodyPr/>
                  <a:lstStyle/>
                  <a:p>
                    <a:r>
                      <a:rPr lang="sk-SK" b="1" cap="none" spc="0">
                        <a:ln w="1905"/>
                        <a:solidFill>
                          <a:schemeClr val="tx1"/>
                        </a:solidFill>
                        <a:effectLst>
                          <a:innerShdw blurRad="69850" dist="43180" dir="5400000">
                            <a:srgbClr val="000000">
                              <a:alpha val="65000"/>
                            </a:srgbClr>
                          </a:innerShdw>
                        </a:effectLst>
                      </a:rPr>
                      <a:t>V</a:t>
                    </a:r>
                    <a:r>
                      <a:rPr lang="en-US" b="1" cap="none" spc="0">
                        <a:ln w="1905"/>
                        <a:solidFill>
                          <a:schemeClr val="tx1"/>
                        </a:solidFill>
                        <a:effectLst>
                          <a:innerShdw blurRad="69850" dist="43180" dir="5400000">
                            <a:srgbClr val="000000">
                              <a:alpha val="65000"/>
                            </a:srgbClr>
                          </a:innerShdw>
                        </a:effectLst>
                      </a:rPr>
                      <a:t> pridruženom dopravnom priestore
</a:t>
                    </a:r>
                    <a:r>
                      <a:rPr lang="en-US" sz="1400" b="1" cap="none" spc="0">
                        <a:ln w="1905"/>
                        <a:solidFill>
                          <a:schemeClr val="tx1"/>
                        </a:solidFill>
                        <a:effectLst>
                          <a:innerShdw blurRad="69850" dist="43180" dir="5400000">
                            <a:srgbClr val="000000">
                              <a:alpha val="65000"/>
                            </a:srgbClr>
                          </a:innerShdw>
                        </a:effectLst>
                      </a:rPr>
                      <a:t>34%</a:t>
                    </a:r>
                    <a:endParaRPr lang="en-US" sz="1400"/>
                  </a:p>
                </c:rich>
              </c:tx>
              <c:dLblPos val="bestFit"/>
            </c:dLbl>
            <c:dLbl>
              <c:idx val="2"/>
              <c:layout>
                <c:manualLayout>
                  <c:x val="-0.32292031999482035"/>
                  <c:y val="0.17509632995626404"/>
                </c:manualLayout>
              </c:layout>
              <c:tx>
                <c:rich>
                  <a:bodyPr/>
                  <a:lstStyle/>
                  <a:p>
                    <a:r>
                      <a:rPr lang="sk-SK" b="1" cap="none" spc="0">
                        <a:ln w="1905"/>
                        <a:solidFill>
                          <a:schemeClr val="tx1"/>
                        </a:solidFill>
                        <a:effectLst>
                          <a:innerShdw blurRad="69850" dist="43180" dir="5400000">
                            <a:srgbClr val="000000">
                              <a:alpha val="65000"/>
                            </a:srgbClr>
                          </a:innerShdw>
                        </a:effectLst>
                      </a:rPr>
                      <a:t>V </a:t>
                    </a:r>
                    <a:r>
                      <a:rPr lang="en-US" b="1" cap="none" spc="0">
                        <a:ln w="1905"/>
                        <a:solidFill>
                          <a:schemeClr val="tx1"/>
                        </a:solidFill>
                        <a:effectLst>
                          <a:innerShdw blurRad="69850" dist="43180" dir="5400000">
                            <a:srgbClr val="000000">
                              <a:alpha val="65000"/>
                            </a:srgbClr>
                          </a:innerShdw>
                        </a:effectLst>
                      </a:rPr>
                      <a:t>hlavnom dopravnom priestore
</a:t>
                    </a:r>
                    <a:r>
                      <a:rPr lang="en-US" sz="1400" b="1" cap="none" spc="0">
                        <a:ln w="1905"/>
                        <a:solidFill>
                          <a:schemeClr val="tx1"/>
                        </a:solidFill>
                        <a:effectLst>
                          <a:innerShdw blurRad="69850" dist="43180" dir="5400000">
                            <a:srgbClr val="000000">
                              <a:alpha val="65000"/>
                            </a:srgbClr>
                          </a:innerShdw>
                        </a:effectLst>
                      </a:rPr>
                      <a:t>6%</a:t>
                    </a:r>
                    <a:endParaRPr lang="en-US" sz="1400"/>
                  </a:p>
                </c:rich>
              </c:tx>
              <c:dLblPos val="bestFit"/>
            </c:dLbl>
            <c:txPr>
              <a:bodyPr/>
              <a:lstStyle/>
              <a:p>
                <a:pPr>
                  <a:defRPr b="1" cap="none" spc="0">
                    <a:ln w="1905"/>
                    <a:solidFill>
                      <a:schemeClr val="tx1"/>
                    </a:solidFill>
                    <a:effectLst>
                      <a:innerShdw blurRad="69850" dist="43180" dir="5400000">
                        <a:srgbClr val="000000">
                          <a:alpha val="65000"/>
                        </a:srgbClr>
                      </a:innerShdw>
                    </a:effectLst>
                  </a:defRPr>
                </a:pPr>
                <a:endParaRPr lang="sk-SK"/>
              </a:p>
            </c:txPr>
            <c:showCatName val="1"/>
            <c:showPercent val="1"/>
            <c:showLeaderLines val="1"/>
          </c:dLbls>
          <c:cat>
            <c:strRef>
              <c:f>'Dĺžky cyklokomunikácií'!$M$82:$O$82</c:f>
              <c:strCache>
                <c:ptCount val="3"/>
                <c:pt idx="0">
                  <c:v>Samostatné cyklistické komunikácie</c:v>
                </c:pt>
                <c:pt idx="1">
                  <c:v>Cyklistické komunikácie v pridruženom dopravnom priestore</c:v>
                </c:pt>
                <c:pt idx="2">
                  <c:v>Cyklistické komunikácie v hlavnom dopravnom priestore</c:v>
                </c:pt>
              </c:strCache>
            </c:strRef>
          </c:cat>
          <c:val>
            <c:numRef>
              <c:f>'Dĺžky cyklokomunikácií'!$M$83:$O$83</c:f>
              <c:numCache>
                <c:formatCode>0.00%</c:formatCode>
                <c:ptCount val="3"/>
                <c:pt idx="0">
                  <c:v>0.60200000000000065</c:v>
                </c:pt>
                <c:pt idx="1">
                  <c:v>0.33680000000000776</c:v>
                </c:pt>
                <c:pt idx="2">
                  <c:v>6.1100000000000015E-2</c:v>
                </c:pt>
              </c:numCache>
            </c:numRef>
          </c:val>
        </c:ser>
      </c:pie3DChart>
      <c:spPr>
        <a:noFill/>
        <a:ln w="25400">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autoTitleDeleted val="1"/>
    <c:view3D>
      <c:rAngAx val="1"/>
    </c:view3D>
    <c:plotArea>
      <c:layout>
        <c:manualLayout>
          <c:layoutTarget val="inner"/>
          <c:xMode val="edge"/>
          <c:yMode val="edge"/>
          <c:x val="0.13083403534126764"/>
          <c:y val="4.2552164139174384E-2"/>
          <c:w val="0.71265988838773853"/>
          <c:h val="0.76133981299212683"/>
        </c:manualLayout>
      </c:layout>
      <c:bar3DChart>
        <c:barDir val="col"/>
        <c:grouping val="clustered"/>
        <c:ser>
          <c:idx val="0"/>
          <c:order val="0"/>
          <c:tx>
            <c:strRef>
              <c:f>Nehodovosť!$B$153</c:f>
              <c:strCache>
                <c:ptCount val="1"/>
                <c:pt idx="0">
                  <c:v>Počet usmrtených cyklistov</c:v>
                </c:pt>
              </c:strCache>
            </c:strRef>
          </c:tx>
          <c:spPr>
            <a:solidFill>
              <a:srgbClr val="FF0000"/>
            </a:solidFill>
          </c:spPr>
          <c:dLbls>
            <c:showVal val="1"/>
          </c:dLbls>
          <c:cat>
            <c:numRef>
              <c:f>Nehodovosť!$C$152:$J$152</c:f>
              <c:numCache>
                <c:formatCode>General</c:formatCode>
                <c:ptCount val="8"/>
                <c:pt idx="0">
                  <c:v>2005</c:v>
                </c:pt>
                <c:pt idx="1">
                  <c:v>2006</c:v>
                </c:pt>
                <c:pt idx="2">
                  <c:v>2007</c:v>
                </c:pt>
                <c:pt idx="3">
                  <c:v>2008</c:v>
                </c:pt>
                <c:pt idx="4">
                  <c:v>2009</c:v>
                </c:pt>
                <c:pt idx="5">
                  <c:v>2010</c:v>
                </c:pt>
                <c:pt idx="6">
                  <c:v>2011</c:v>
                </c:pt>
                <c:pt idx="7">
                  <c:v>2012</c:v>
                </c:pt>
              </c:numCache>
            </c:numRef>
          </c:cat>
          <c:val>
            <c:numRef>
              <c:f>Nehodovosť!$C$153:$J$153</c:f>
              <c:numCache>
                <c:formatCode>General</c:formatCode>
                <c:ptCount val="8"/>
                <c:pt idx="0">
                  <c:v>46</c:v>
                </c:pt>
                <c:pt idx="1">
                  <c:v>45</c:v>
                </c:pt>
                <c:pt idx="2">
                  <c:v>53</c:v>
                </c:pt>
                <c:pt idx="3">
                  <c:v>40</c:v>
                </c:pt>
                <c:pt idx="4">
                  <c:v>14</c:v>
                </c:pt>
                <c:pt idx="5">
                  <c:v>21</c:v>
                </c:pt>
                <c:pt idx="6">
                  <c:v>18</c:v>
                </c:pt>
                <c:pt idx="7">
                  <c:v>25</c:v>
                </c:pt>
              </c:numCache>
            </c:numRef>
          </c:val>
        </c:ser>
        <c:shape val="cylinder"/>
        <c:axId val="75488640"/>
        <c:axId val="79471744"/>
        <c:axId val="0"/>
      </c:bar3DChart>
      <c:catAx>
        <c:axId val="75488640"/>
        <c:scaling>
          <c:orientation val="minMax"/>
        </c:scaling>
        <c:axPos val="b"/>
        <c:numFmt formatCode="General" sourceLinked="0"/>
        <c:tickLblPos val="nextTo"/>
        <c:txPr>
          <a:bodyPr/>
          <a:lstStyle/>
          <a:p>
            <a:pPr>
              <a:defRPr b="1"/>
            </a:pPr>
            <a:endParaRPr lang="sk-SK"/>
          </a:p>
        </c:txPr>
        <c:crossAx val="79471744"/>
        <c:crosses val="autoZero"/>
        <c:auto val="1"/>
        <c:lblAlgn val="ctr"/>
        <c:lblOffset val="100"/>
      </c:catAx>
      <c:valAx>
        <c:axId val="79471744"/>
        <c:scaling>
          <c:orientation val="minMax"/>
        </c:scaling>
        <c:axPos val="l"/>
        <c:majorGridlines/>
        <c:numFmt formatCode="General" sourceLinked="1"/>
        <c:tickLblPos val="nextTo"/>
        <c:crossAx val="75488640"/>
        <c:crosses val="autoZero"/>
        <c:crossBetween val="between"/>
      </c:valAx>
    </c:plotArea>
    <c:legend>
      <c:legendPos val="r"/>
      <c:layout>
        <c:manualLayout>
          <c:xMode val="edge"/>
          <c:yMode val="edge"/>
          <c:x val="0.80682082066474425"/>
          <c:y val="6.4465859677988013E-2"/>
          <c:w val="0.18948024680286277"/>
          <c:h val="0.22644461793678045"/>
        </c:manualLayout>
      </c:layout>
    </c:legend>
    <c:plotVisOnly val="1"/>
  </c:chart>
  <c:spPr>
    <a:noFill/>
    <a:ln>
      <a:noFill/>
    </a:ln>
  </c:sp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5479C-2C20-4E66-9393-AAEA4326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24</Pages>
  <Words>9178</Words>
  <Characters>52318</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Národná stratégia rozvoja cyklistickej dopravy a cykloturistiky v Slovenskej republike</vt:lpstr>
    </vt:vector>
  </TitlesOfParts>
  <Company/>
  <LinksUpToDate>false</LinksUpToDate>
  <CharactersWithSpaces>61374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stratégia rozvoja cyklistickej dopravy a cykloturistiky v Slovenskej republike</dc:title>
  <dc:creator>molnarova</dc:creator>
  <cp:lastModifiedBy>molnarova</cp:lastModifiedBy>
  <cp:revision>48</cp:revision>
  <cp:lastPrinted>2013-02-11T08:20:00Z</cp:lastPrinted>
  <dcterms:created xsi:type="dcterms:W3CDTF">2013-02-06T15:31:00Z</dcterms:created>
  <dcterms:modified xsi:type="dcterms:W3CDTF">2013-03-21T12:26:00Z</dcterms:modified>
</cp:coreProperties>
</file>