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2B8" w:rsidRPr="00984C3C" w:rsidRDefault="00BD22B8" w:rsidP="00BD22B8">
      <w:pPr>
        <w:pStyle w:val="Nadpis1"/>
        <w:spacing w:before="0" w:after="0" w:line="360" w:lineRule="auto"/>
        <w:rPr>
          <w:rFonts w:ascii="Times New Roman" w:hAnsi="Times New Roman" w:cs="Times New Roman"/>
          <w:sz w:val="24"/>
          <w:szCs w:val="24"/>
        </w:rPr>
      </w:pPr>
      <w:bookmarkStart w:id="0" w:name="_Toc326050096"/>
      <w:bookmarkStart w:id="1" w:name="_Toc355000151"/>
      <w:r w:rsidRPr="00984C3C">
        <w:rPr>
          <w:rFonts w:ascii="Times New Roman" w:hAnsi="Times New Roman" w:cs="Times New Roman"/>
          <w:sz w:val="24"/>
          <w:szCs w:val="24"/>
        </w:rPr>
        <w:t>Úvod</w:t>
      </w:r>
      <w:bookmarkEnd w:id="0"/>
      <w:bookmarkEnd w:id="1"/>
    </w:p>
    <w:p w:rsidR="00BD22B8" w:rsidRPr="00984C3C" w:rsidRDefault="00BD22B8" w:rsidP="00BD22B8">
      <w:pPr>
        <w:jc w:val="both"/>
      </w:pPr>
      <w:r w:rsidRPr="00984C3C">
        <w:t xml:space="preserve">Zelené verejné obstarávanie (Green public procurement – GPP) je jedným z dobrovoľných nástrojov environmentálnej politiky. Je definované v oznámení Európskej komisie KOM(2008)400 Verejné obstarávanie pre lepšie životné prostredie ako „proces, v ktorom sa verejné orgány snažia obstarať tovary, služby a práce so zníženým dopadom na životné prostredie počas celého ich životného cyklu, v porovnaní s tovarmi, službami a prácami s rovnakou primárnou funkciou, ktoré by boli inak obstarané“. GPP teda predstavuje spôsob, ktorým možno prispievať k ochrane životného prostredia v rámci postupov verejného obstarávania. </w:t>
      </w:r>
    </w:p>
    <w:p w:rsidR="00BD22B8" w:rsidRPr="00984C3C" w:rsidRDefault="00BD22B8" w:rsidP="00BD22B8">
      <w:pPr>
        <w:jc w:val="both"/>
      </w:pPr>
    </w:p>
    <w:p w:rsidR="00BD22B8" w:rsidRPr="00984C3C" w:rsidRDefault="00BD22B8" w:rsidP="00BD22B8">
      <w:pPr>
        <w:jc w:val="both"/>
      </w:pPr>
      <w:r w:rsidRPr="00984C3C">
        <w:t xml:space="preserve">Európska únia aktívne podporuje a presadzuje GPP v kontexte svojej politiky udržateľnej výroby a spotreby. Stratégia Európa 2020 identifikuje verejné obstarávanie ako jeden z kľúčových nástrojov na dosahovanie inteligentného, udržateľného a inkluzívneho rastu. Využitie kúpnej sily orgánov verejnej moci, ktorá podľa prieskumov Európskej komisie z roku 2011 predstavuje približne 19 % HDP EÚ, na obstarávanie </w:t>
      </w:r>
      <w:r w:rsidR="00C06902" w:rsidRPr="00984C3C">
        <w:t xml:space="preserve">environmentálne vhodných </w:t>
      </w:r>
      <w:r w:rsidRPr="00984C3C">
        <w:t>výrobkov a služieb, môže výrazne prispieť k napĺňaniu konkrétnych environmentálnych cieľov na miestnej, regionálnej, národnej, medzinárodnej a v konečnom dôsledku aj globálnej úrovni.</w:t>
      </w:r>
    </w:p>
    <w:p w:rsidR="00BD22B8" w:rsidRPr="00984C3C" w:rsidRDefault="00BD22B8" w:rsidP="00BD22B8">
      <w:pPr>
        <w:jc w:val="both"/>
      </w:pPr>
    </w:p>
    <w:p w:rsidR="00BD22B8" w:rsidRPr="00984C3C" w:rsidRDefault="00BD22B8" w:rsidP="00BD22B8">
      <w:pPr>
        <w:jc w:val="both"/>
      </w:pPr>
      <w:r w:rsidRPr="00984C3C">
        <w:t xml:space="preserve">GPP možno využiť nielen na zníženie priameho environmentálneho vplyvu verejných činností, ale súčasne aj na ovplyvnenie trhu, aby sa zameral na dodávku environmentálne vhodných  tovarov, služieb a stavebných prác. </w:t>
      </w:r>
    </w:p>
    <w:p w:rsidR="00BD22B8" w:rsidRPr="00984C3C" w:rsidRDefault="00BD22B8" w:rsidP="00BD22B8">
      <w:pPr>
        <w:jc w:val="both"/>
      </w:pPr>
    </w:p>
    <w:p w:rsidR="00BD22B8" w:rsidRPr="00984C3C" w:rsidRDefault="00BD22B8" w:rsidP="00BD22B8">
      <w:pPr>
        <w:pStyle w:val="Nadpis1"/>
        <w:spacing w:before="0" w:after="0"/>
        <w:rPr>
          <w:rFonts w:ascii="Times New Roman" w:hAnsi="Times New Roman" w:cs="Times New Roman"/>
          <w:sz w:val="24"/>
          <w:szCs w:val="24"/>
        </w:rPr>
      </w:pPr>
      <w:bookmarkStart w:id="2" w:name="_Toc326050097"/>
      <w:bookmarkStart w:id="3" w:name="_Toc355000152"/>
      <w:r w:rsidRPr="00984C3C">
        <w:rPr>
          <w:rFonts w:ascii="Times New Roman" w:hAnsi="Times New Roman" w:cs="Times New Roman"/>
          <w:sz w:val="24"/>
          <w:szCs w:val="24"/>
        </w:rPr>
        <w:t>Národný akčný plán pre zelené verejné obstarávanie v SR na roky 2011 – 2015</w:t>
      </w:r>
      <w:bookmarkEnd w:id="2"/>
      <w:bookmarkEnd w:id="3"/>
    </w:p>
    <w:p w:rsidR="00BD22B8" w:rsidRPr="00984C3C" w:rsidRDefault="00BD22B8" w:rsidP="00BD22B8">
      <w:pPr>
        <w:jc w:val="both"/>
      </w:pPr>
    </w:p>
    <w:p w:rsidR="00BD22B8" w:rsidRPr="00984C3C" w:rsidRDefault="00BD22B8" w:rsidP="00BD22B8">
      <w:pPr>
        <w:jc w:val="both"/>
      </w:pPr>
      <w:r w:rsidRPr="00984C3C">
        <w:t xml:space="preserve">Podpora GPP v SR je zabezpečená prostredníctvom </w:t>
      </w:r>
      <w:r w:rsidRPr="00984C3C">
        <w:rPr>
          <w:iCs/>
        </w:rPr>
        <w:t>Národného akčného plánu pre zelené verejné obstarávanie v SR na roky 2011 - 2015</w:t>
      </w:r>
      <w:r w:rsidRPr="00984C3C">
        <w:rPr>
          <w:b/>
        </w:rPr>
        <w:t xml:space="preserve"> </w:t>
      </w:r>
      <w:r w:rsidRPr="00984C3C">
        <w:rPr>
          <w:bCs/>
        </w:rPr>
        <w:t>(NAP GPP II)</w:t>
      </w:r>
      <w:r w:rsidRPr="00984C3C">
        <w:t>, ktorý zabezpečuje kontinuitu realizácie politiky zeleného verejného obstarávania s Národným akčným plánom pre zelené verejné obstarávanie v SR na roky 2007 – 2010. NAP GPP II bol schválený vládou SR dňa 18. januára 2012 uznesením č. 22. Jeho gestorom je Ministerstvo životného prostredia SR.</w:t>
      </w:r>
    </w:p>
    <w:p w:rsidR="00BD22B8" w:rsidRPr="00984C3C" w:rsidRDefault="00BD22B8" w:rsidP="00BD22B8">
      <w:pPr>
        <w:jc w:val="both"/>
      </w:pPr>
    </w:p>
    <w:p w:rsidR="00BD22B8" w:rsidRPr="00984C3C" w:rsidRDefault="00BD22B8" w:rsidP="00BD22B8">
      <w:pPr>
        <w:jc w:val="both"/>
      </w:pPr>
      <w:r w:rsidRPr="00984C3C">
        <w:t>Uvedené uznesenie ukladá v bode B.4. ministrom a predsedom ostatných ústredných orgánov štátnej správy SR každoročne do roku 2015 uplatňovať princípy zeleného verejného obstarávania v rámci svojej pôsobnosti. V bode C.1. uznesenie odporúča rovnakú povinnosť  predsedom samosprávnych krajov a predsedovi Združenia miest a obcí Slovenska.</w:t>
      </w:r>
    </w:p>
    <w:p w:rsidR="00BD22B8" w:rsidRPr="00984C3C" w:rsidRDefault="00BD22B8" w:rsidP="00BD22B8">
      <w:pPr>
        <w:jc w:val="both"/>
      </w:pPr>
    </w:p>
    <w:p w:rsidR="005851FA" w:rsidRPr="00984C3C" w:rsidRDefault="00BD22B8" w:rsidP="00BD22B8">
      <w:pPr>
        <w:jc w:val="both"/>
      </w:pPr>
      <w:r w:rsidRPr="00984C3C">
        <w:t xml:space="preserve">Strategickým cieľom NAP GPP II je zvýšiť podiel uplatňovania GPP v SR na úrovni ústredných orgánov štátnej správy na 65 % a na úrovni samosprávnych krajov a miest na 50 % do roku 2015. Na dosiahnutie tohto cieľa boli v rámci NAP GPP II stanovené tri parciálne ciele, a to 1. budovať povedomie verejných obstarávateľov a obstarávateľov o problematike GPP v podmienkach SR, 2. posilniť uplatňovanie environmentálnych charakteristík vo verejných zákazkách, 3. hodnotiť úroveň uplatňovania GPP v SR vo väzbe na požiadavky Európskej komisie. </w:t>
      </w:r>
      <w:r w:rsidR="005851FA" w:rsidRPr="00984C3C">
        <w:t xml:space="preserve"> </w:t>
      </w:r>
      <w:r w:rsidRPr="00984C3C">
        <w:t>V rámci tretieho parciálneho cieľa  pravideln</w:t>
      </w:r>
      <w:r w:rsidR="005851FA" w:rsidRPr="00984C3C">
        <w:t>e</w:t>
      </w:r>
      <w:r w:rsidRPr="00984C3C">
        <w:t xml:space="preserve"> ročn</w:t>
      </w:r>
      <w:r w:rsidR="005851FA" w:rsidRPr="00984C3C">
        <w:t>e</w:t>
      </w:r>
      <w:r w:rsidRPr="00984C3C">
        <w:t xml:space="preserve"> monitor</w:t>
      </w:r>
      <w:r w:rsidR="005851FA" w:rsidRPr="00984C3C">
        <w:t xml:space="preserve">ujeme </w:t>
      </w:r>
      <w:r w:rsidRPr="00984C3C">
        <w:t xml:space="preserve"> a hodnot</w:t>
      </w:r>
      <w:r w:rsidR="005851FA" w:rsidRPr="00984C3C">
        <w:t>íme</w:t>
      </w:r>
      <w:r w:rsidRPr="00984C3C">
        <w:t xml:space="preserve"> úrov</w:t>
      </w:r>
      <w:r w:rsidR="005851FA" w:rsidRPr="00984C3C">
        <w:t>eň</w:t>
      </w:r>
      <w:r w:rsidRPr="00984C3C">
        <w:t xml:space="preserve"> GPP v SR, </w:t>
      </w:r>
      <w:r w:rsidR="005851FA" w:rsidRPr="00984C3C">
        <w:t xml:space="preserve">prostredníctvom </w:t>
      </w:r>
      <w:r w:rsidRPr="00984C3C">
        <w:t xml:space="preserve"> dotazníkov</w:t>
      </w:r>
      <w:r w:rsidR="005851FA" w:rsidRPr="00984C3C">
        <w:t>ého</w:t>
      </w:r>
      <w:r w:rsidRPr="00984C3C">
        <w:t xml:space="preserve"> prieskum</w:t>
      </w:r>
      <w:r w:rsidR="005851FA" w:rsidRPr="00984C3C">
        <w:t>u</w:t>
      </w:r>
      <w:r w:rsidRPr="00984C3C">
        <w:t xml:space="preserve">. </w:t>
      </w:r>
    </w:p>
    <w:p w:rsidR="005851FA" w:rsidRPr="00984C3C" w:rsidRDefault="005851FA" w:rsidP="00BD22B8">
      <w:pPr>
        <w:jc w:val="both"/>
      </w:pPr>
    </w:p>
    <w:p w:rsidR="005851FA" w:rsidRPr="00984C3C" w:rsidRDefault="00BD22B8" w:rsidP="00BD22B8">
      <w:pPr>
        <w:jc w:val="both"/>
      </w:pPr>
      <w:r w:rsidRPr="00984C3C">
        <w:lastRenderedPageBreak/>
        <w:t>V bode B.2. ukladá</w:t>
      </w:r>
      <w:r w:rsidRPr="00984C3C">
        <w:rPr>
          <w:bCs/>
        </w:rPr>
        <w:t xml:space="preserve"> uvedené uznesenie</w:t>
      </w:r>
      <w:r w:rsidRPr="00984C3C">
        <w:rPr>
          <w:b/>
          <w:bCs/>
        </w:rPr>
        <w:t xml:space="preserve"> </w:t>
      </w:r>
      <w:r w:rsidRPr="00984C3C">
        <w:t xml:space="preserve">ministrovi životného prostredia SR, v spolupráci s ostatnými ministrami a predsedami ústredných orgánov štátnej správy, predkladať na rokovanie vlády pravidelné informácie o implementácii NAP GPP II za aktuálny rok. </w:t>
      </w:r>
    </w:p>
    <w:p w:rsidR="005851FA" w:rsidRPr="00984C3C" w:rsidRDefault="005851FA" w:rsidP="00BD22B8">
      <w:pPr>
        <w:jc w:val="both"/>
      </w:pPr>
    </w:p>
    <w:p w:rsidR="00BD22B8" w:rsidRPr="00984C3C" w:rsidRDefault="00BD22B8" w:rsidP="00BD22B8">
      <w:pPr>
        <w:jc w:val="both"/>
      </w:pPr>
      <w:r w:rsidRPr="00984C3C">
        <w:t>V rámci dotazník</w:t>
      </w:r>
      <w:r w:rsidR="005851FA" w:rsidRPr="00984C3C">
        <w:t>ového prieskumu boli za rok 2012</w:t>
      </w:r>
      <w:r w:rsidRPr="00984C3C">
        <w:t xml:space="preserve"> sledované </w:t>
      </w:r>
      <w:r w:rsidR="005851FA" w:rsidRPr="00984C3C">
        <w:t xml:space="preserve">tieto </w:t>
      </w:r>
      <w:r w:rsidRPr="00984C3C">
        <w:t xml:space="preserve"> indikátory:</w:t>
      </w:r>
    </w:p>
    <w:p w:rsidR="00BD22B8" w:rsidRPr="00984C3C" w:rsidRDefault="00BD22B8" w:rsidP="00BD22B8">
      <w:pPr>
        <w:jc w:val="both"/>
      </w:pPr>
    </w:p>
    <w:p w:rsidR="00BD22B8" w:rsidRPr="00984C3C" w:rsidRDefault="00BD22B8" w:rsidP="00BD22B8">
      <w:pPr>
        <w:numPr>
          <w:ilvl w:val="0"/>
          <w:numId w:val="1"/>
        </w:numPr>
        <w:jc w:val="both"/>
      </w:pPr>
      <w:r w:rsidRPr="00984C3C">
        <w:t>počet oslovených subjektov,</w:t>
      </w:r>
    </w:p>
    <w:p w:rsidR="00BD22B8" w:rsidRPr="00984C3C" w:rsidRDefault="00BD22B8" w:rsidP="00BD22B8">
      <w:pPr>
        <w:numPr>
          <w:ilvl w:val="0"/>
          <w:numId w:val="1"/>
        </w:numPr>
        <w:jc w:val="both"/>
      </w:pPr>
      <w:r w:rsidRPr="00984C3C">
        <w:t>počet subjektov</w:t>
      </w:r>
      <w:r w:rsidR="005851FA" w:rsidRPr="00984C3C">
        <w:t>, zapojených</w:t>
      </w:r>
      <w:r w:rsidRPr="00984C3C">
        <w:t xml:space="preserve"> do prieskumu,</w:t>
      </w:r>
    </w:p>
    <w:p w:rsidR="00BD22B8" w:rsidRPr="00984C3C" w:rsidRDefault="00BD22B8" w:rsidP="00BD22B8">
      <w:pPr>
        <w:numPr>
          <w:ilvl w:val="0"/>
          <w:numId w:val="1"/>
        </w:numPr>
        <w:jc w:val="both"/>
      </w:pPr>
      <w:r w:rsidRPr="00984C3C">
        <w:t xml:space="preserve">percentuálny podiel </w:t>
      </w:r>
      <w:r w:rsidR="005851FA" w:rsidRPr="00984C3C">
        <w:t xml:space="preserve">subjektov, zapojených </w:t>
      </w:r>
      <w:r w:rsidRPr="00984C3C">
        <w:t xml:space="preserve"> do prieskumu,</w:t>
      </w:r>
    </w:p>
    <w:p w:rsidR="00BD22B8" w:rsidRPr="00984C3C" w:rsidRDefault="00BD22B8" w:rsidP="00BD22B8">
      <w:pPr>
        <w:numPr>
          <w:ilvl w:val="0"/>
          <w:numId w:val="1"/>
        </w:numPr>
        <w:jc w:val="both"/>
      </w:pPr>
      <w:r w:rsidRPr="00984C3C">
        <w:t>celkový počet realizovaných zákaziek,</w:t>
      </w:r>
    </w:p>
    <w:p w:rsidR="00BD22B8" w:rsidRPr="00984C3C" w:rsidRDefault="00BD22B8" w:rsidP="00BD22B8">
      <w:pPr>
        <w:numPr>
          <w:ilvl w:val="0"/>
          <w:numId w:val="1"/>
        </w:numPr>
        <w:jc w:val="both"/>
      </w:pPr>
      <w:r w:rsidRPr="00984C3C">
        <w:t>celková hodnota realizovaných zákaziek (v €),</w:t>
      </w:r>
    </w:p>
    <w:p w:rsidR="00BD22B8" w:rsidRPr="00984C3C" w:rsidRDefault="00BD22B8" w:rsidP="00BD22B8">
      <w:pPr>
        <w:numPr>
          <w:ilvl w:val="0"/>
          <w:numId w:val="1"/>
        </w:numPr>
        <w:jc w:val="both"/>
      </w:pPr>
      <w:r w:rsidRPr="00984C3C">
        <w:t>celkový počet realizovaných zelených zákaziek,</w:t>
      </w:r>
    </w:p>
    <w:p w:rsidR="00BD22B8" w:rsidRPr="00984C3C" w:rsidRDefault="00BD22B8" w:rsidP="00BD22B8">
      <w:pPr>
        <w:numPr>
          <w:ilvl w:val="0"/>
          <w:numId w:val="1"/>
        </w:numPr>
        <w:jc w:val="both"/>
      </w:pPr>
      <w:r w:rsidRPr="00984C3C">
        <w:t>celková hodnota realizovaných zelených zákaziek (v €),</w:t>
      </w:r>
    </w:p>
    <w:p w:rsidR="00BD22B8" w:rsidRPr="00984C3C" w:rsidRDefault="00BD22B8" w:rsidP="00BD22B8">
      <w:pPr>
        <w:numPr>
          <w:ilvl w:val="0"/>
          <w:numId w:val="1"/>
        </w:numPr>
        <w:jc w:val="both"/>
      </w:pPr>
      <w:r w:rsidRPr="00984C3C">
        <w:t>priemerná úroveň uplatňovania GPP v SR na základe 2 indikátorov:</w:t>
      </w:r>
    </w:p>
    <w:p w:rsidR="00BD22B8" w:rsidRPr="00984C3C" w:rsidRDefault="00BD22B8" w:rsidP="00BD22B8">
      <w:pPr>
        <w:ind w:left="709" w:hanging="1"/>
        <w:jc w:val="both"/>
      </w:pPr>
      <w:r w:rsidRPr="00984C3C">
        <w:t xml:space="preserve">Indikátor 1: % GPP z celkového verejného obstarávania vo väzbe na </w:t>
      </w:r>
      <w:r w:rsidRPr="00984C3C">
        <w:rPr>
          <w:bCs/>
        </w:rPr>
        <w:t>počet zákaziek</w:t>
      </w:r>
      <w:r w:rsidRPr="00984C3C">
        <w:t xml:space="preserve"> (uzatvorených zmlúv a objednávok),</w:t>
      </w:r>
    </w:p>
    <w:p w:rsidR="00BD22B8" w:rsidRPr="00984C3C" w:rsidRDefault="00BD22B8" w:rsidP="00BD22B8">
      <w:pPr>
        <w:ind w:left="709" w:hanging="1"/>
        <w:jc w:val="both"/>
      </w:pPr>
      <w:r w:rsidRPr="00984C3C">
        <w:t xml:space="preserve">Indikátor 2: % GPP z celkového verejného obstarávania vo väzbe na </w:t>
      </w:r>
      <w:r w:rsidRPr="00984C3C">
        <w:rPr>
          <w:bCs/>
        </w:rPr>
        <w:t>hodnotu uskutočnených zákaziek</w:t>
      </w:r>
      <w:r w:rsidRPr="00984C3C">
        <w:t xml:space="preserve"> (uzatvorených zmlúv a objednávok s DPH),</w:t>
      </w:r>
    </w:p>
    <w:p w:rsidR="00BD22B8" w:rsidRPr="00984C3C" w:rsidRDefault="00BD22B8" w:rsidP="00BD22B8">
      <w:pPr>
        <w:numPr>
          <w:ilvl w:val="0"/>
          <w:numId w:val="2"/>
        </w:numPr>
        <w:jc w:val="both"/>
      </w:pPr>
      <w:r w:rsidRPr="00984C3C">
        <w:t>použité environmentálne charakteristiky vo väzbe na počet realizovaných zelených zákaziek,</w:t>
      </w:r>
    </w:p>
    <w:p w:rsidR="00BD22B8" w:rsidRPr="00984C3C" w:rsidRDefault="00BD22B8" w:rsidP="00BD22B8">
      <w:pPr>
        <w:numPr>
          <w:ilvl w:val="0"/>
          <w:numId w:val="2"/>
        </w:numPr>
        <w:jc w:val="both"/>
      </w:pPr>
      <w:r w:rsidRPr="00984C3C">
        <w:t>použité environmentálne charakteristiky vo väzbe na hodnotu realizovaných zelených zákaziek,</w:t>
      </w:r>
    </w:p>
    <w:p w:rsidR="00BD22B8" w:rsidRPr="00984C3C" w:rsidRDefault="00BD22B8" w:rsidP="00BD22B8">
      <w:pPr>
        <w:numPr>
          <w:ilvl w:val="0"/>
          <w:numId w:val="2"/>
        </w:numPr>
        <w:jc w:val="both"/>
      </w:pPr>
      <w:r w:rsidRPr="00984C3C">
        <w:t xml:space="preserve">využitie kritérií environmentálnych značiek (Environmentálna značka EÚ, Environmentálne vhodný produkt, iné národné značky), využívanie energetického štítkovania, požiadavky na environmentálne manažérstvo vo väzbe na počet a hodnotu zákaziek, </w:t>
      </w:r>
    </w:p>
    <w:p w:rsidR="00BD22B8" w:rsidRPr="00984C3C" w:rsidRDefault="00BD22B8" w:rsidP="00BD22B8">
      <w:pPr>
        <w:numPr>
          <w:ilvl w:val="0"/>
          <w:numId w:val="2"/>
        </w:numPr>
        <w:jc w:val="both"/>
      </w:pPr>
      <w:r w:rsidRPr="00984C3C">
        <w:t>počet realizovaných zelených zákaziek</w:t>
      </w:r>
      <w:r w:rsidR="005851FA" w:rsidRPr="00984C3C">
        <w:t xml:space="preserve"> v členení </w:t>
      </w:r>
      <w:r w:rsidRPr="00984C3C">
        <w:t xml:space="preserve"> na tovary, služby a stavebné práce,</w:t>
      </w:r>
    </w:p>
    <w:p w:rsidR="00BD22B8" w:rsidRPr="00984C3C" w:rsidRDefault="00BD22B8" w:rsidP="00BD22B8">
      <w:pPr>
        <w:numPr>
          <w:ilvl w:val="0"/>
          <w:numId w:val="2"/>
        </w:numPr>
        <w:jc w:val="both"/>
      </w:pPr>
      <w:r w:rsidRPr="00984C3C">
        <w:t>počet realizovaných zelených zákaziek podľa finančného limitu,</w:t>
      </w:r>
    </w:p>
    <w:p w:rsidR="00BD22B8" w:rsidRPr="00984C3C" w:rsidRDefault="00BD22B8" w:rsidP="00BD22B8">
      <w:pPr>
        <w:numPr>
          <w:ilvl w:val="0"/>
          <w:numId w:val="2"/>
        </w:numPr>
        <w:jc w:val="both"/>
      </w:pPr>
      <w:r w:rsidRPr="00984C3C">
        <w:t xml:space="preserve">počet realizovaných </w:t>
      </w:r>
      <w:r w:rsidRPr="00984C3C">
        <w:rPr>
          <w:bCs/>
        </w:rPr>
        <w:t>zelených zákaziek podľa spôsobu zadania environmentálnej charakteristiky v procese verejného obstarávania,</w:t>
      </w:r>
    </w:p>
    <w:p w:rsidR="00BD22B8" w:rsidRPr="00984C3C" w:rsidRDefault="00BD22B8" w:rsidP="00BD22B8">
      <w:pPr>
        <w:numPr>
          <w:ilvl w:val="0"/>
          <w:numId w:val="2"/>
        </w:numPr>
        <w:jc w:val="both"/>
      </w:pPr>
      <w:r w:rsidRPr="00984C3C">
        <w:rPr>
          <w:bCs/>
        </w:rPr>
        <w:t xml:space="preserve">percentuálny podiel zelených zákaziek </w:t>
      </w:r>
      <w:r w:rsidR="005851FA" w:rsidRPr="00984C3C">
        <w:rPr>
          <w:bCs/>
        </w:rPr>
        <w:t>na</w:t>
      </w:r>
      <w:r w:rsidRPr="00984C3C">
        <w:rPr>
          <w:bCs/>
        </w:rPr>
        <w:t xml:space="preserve"> zákazk</w:t>
      </w:r>
      <w:r w:rsidR="005851FA" w:rsidRPr="00984C3C">
        <w:rPr>
          <w:bCs/>
        </w:rPr>
        <w:t xml:space="preserve">ách, </w:t>
      </w:r>
      <w:r w:rsidRPr="00984C3C">
        <w:rPr>
          <w:bCs/>
        </w:rPr>
        <w:t xml:space="preserve"> uskutočnených </w:t>
      </w:r>
      <w:r w:rsidR="005851FA" w:rsidRPr="00984C3C">
        <w:rPr>
          <w:bCs/>
        </w:rPr>
        <w:t>v</w:t>
      </w:r>
      <w:r w:rsidRPr="00984C3C">
        <w:rPr>
          <w:bCs/>
        </w:rPr>
        <w:t xml:space="preserve"> 10 prioritných skup</w:t>
      </w:r>
      <w:r w:rsidR="005851FA" w:rsidRPr="00984C3C">
        <w:rPr>
          <w:bCs/>
        </w:rPr>
        <w:t>i</w:t>
      </w:r>
      <w:r w:rsidRPr="00984C3C">
        <w:rPr>
          <w:bCs/>
        </w:rPr>
        <w:t>n</w:t>
      </w:r>
      <w:r w:rsidR="005851FA" w:rsidRPr="00984C3C">
        <w:rPr>
          <w:bCs/>
        </w:rPr>
        <w:t>ách</w:t>
      </w:r>
      <w:r w:rsidRPr="00984C3C">
        <w:rPr>
          <w:bCs/>
        </w:rPr>
        <w:t xml:space="preserve"> produktov</w:t>
      </w:r>
      <w:r w:rsidR="005851FA" w:rsidRPr="00984C3C">
        <w:rPr>
          <w:bCs/>
        </w:rPr>
        <w:t>,</w:t>
      </w:r>
      <w:r w:rsidRPr="00984C3C">
        <w:rPr>
          <w:bCs/>
        </w:rPr>
        <w:t xml:space="preserve"> vytýčených Európskou komisiou.</w:t>
      </w:r>
    </w:p>
    <w:p w:rsidR="00BD22B8" w:rsidRPr="00984C3C" w:rsidRDefault="00BD22B8" w:rsidP="00BD22B8">
      <w:pPr>
        <w:ind w:left="360"/>
        <w:jc w:val="both"/>
      </w:pPr>
    </w:p>
    <w:p w:rsidR="00BD22B8" w:rsidRPr="00984C3C" w:rsidRDefault="00C06902" w:rsidP="00BD22B8">
      <w:pPr>
        <w:pStyle w:val="Nadpis1"/>
        <w:spacing w:before="0" w:after="0"/>
        <w:rPr>
          <w:rFonts w:ascii="Times New Roman" w:hAnsi="Times New Roman" w:cs="Times New Roman"/>
          <w:sz w:val="24"/>
          <w:szCs w:val="24"/>
        </w:rPr>
      </w:pPr>
      <w:bookmarkStart w:id="4" w:name="_Toc326050098"/>
      <w:bookmarkStart w:id="5" w:name="_Toc355000153"/>
      <w:r w:rsidRPr="00984C3C">
        <w:rPr>
          <w:rFonts w:ascii="Times New Roman" w:hAnsi="Times New Roman" w:cs="Times New Roman"/>
          <w:sz w:val="24"/>
          <w:szCs w:val="24"/>
        </w:rPr>
        <w:t xml:space="preserve">Vyhodnotenie úrovne uplatňovania </w:t>
      </w:r>
      <w:r w:rsidR="00BD22B8" w:rsidRPr="00984C3C">
        <w:rPr>
          <w:rFonts w:ascii="Times New Roman" w:hAnsi="Times New Roman" w:cs="Times New Roman"/>
          <w:sz w:val="24"/>
          <w:szCs w:val="24"/>
        </w:rPr>
        <w:t xml:space="preserve"> GPP v SR</w:t>
      </w:r>
      <w:bookmarkEnd w:id="4"/>
      <w:bookmarkEnd w:id="5"/>
    </w:p>
    <w:p w:rsidR="00BD22B8" w:rsidRPr="00984C3C" w:rsidRDefault="00BD22B8" w:rsidP="00BD22B8"/>
    <w:p w:rsidR="00BD22B8" w:rsidRDefault="00BD22B8" w:rsidP="00BD22B8">
      <w:pPr>
        <w:jc w:val="both"/>
      </w:pPr>
      <w:r w:rsidRPr="00984C3C">
        <w:t xml:space="preserve">V rámci monitorovania GPP v SR </w:t>
      </w:r>
      <w:r w:rsidRPr="00984C3C">
        <w:rPr>
          <w:bCs/>
        </w:rPr>
        <w:t>za rok 2012</w:t>
      </w:r>
      <w:r w:rsidRPr="00984C3C">
        <w:t xml:space="preserve"> boli oslovené všetky ústredné orgány štátne</w:t>
      </w:r>
      <w:r w:rsidR="005851FA" w:rsidRPr="00984C3C">
        <w:t>j správy</w:t>
      </w:r>
      <w:r w:rsidRPr="00984C3C">
        <w:t xml:space="preserve"> a nimi zriadené organizácie, členovia pracovnej skupiny pre GPP v SR, všetky samosprávne kraje a mestá SR. Celkovo bolo oslovených 450 inštitúcií a organizácií SR. Do dotazníkového prieskumu sa zapojilo celkovo 292 subjektov, z čoho bolo 284 verejných obstarávateľov v zmysle § 6 zákona č. 25/2006 Z. z. o verejnom obstarávaní a o zmene a doplnení niektorých zákonov v znení neskorších predpisov (ďalej len „zákon“) a 8 obstarávateľov v zmysle § 8 zákona, čo predstavuje 64,9 %-nú návratnosť dotazníkov. </w:t>
      </w:r>
    </w:p>
    <w:p w:rsidR="00984C3C" w:rsidRDefault="00984C3C" w:rsidP="00BD22B8">
      <w:pPr>
        <w:jc w:val="both"/>
      </w:pPr>
    </w:p>
    <w:p w:rsidR="00984C3C" w:rsidRDefault="00984C3C" w:rsidP="00BD22B8">
      <w:pPr>
        <w:jc w:val="both"/>
      </w:pPr>
    </w:p>
    <w:p w:rsidR="00984C3C" w:rsidRPr="00984C3C" w:rsidRDefault="00984C3C" w:rsidP="00BD22B8">
      <w:pPr>
        <w:jc w:val="both"/>
      </w:pPr>
    </w:p>
    <w:p w:rsidR="00BD22B8" w:rsidRDefault="005851FA" w:rsidP="00BD22B8">
      <w:pPr>
        <w:ind w:hanging="142"/>
        <w:jc w:val="both"/>
        <w:rPr>
          <w:rFonts w:ascii="Calibri" w:hAnsi="Calibri"/>
          <w:sz w:val="18"/>
          <w:szCs w:val="18"/>
        </w:rPr>
      </w:pPr>
      <w:r>
        <w:rPr>
          <w:rFonts w:ascii="Calibri" w:hAnsi="Calibri"/>
          <w:sz w:val="18"/>
          <w:szCs w:val="18"/>
        </w:rPr>
        <w:lastRenderedPageBreak/>
        <w:t>Tabuľka</w:t>
      </w:r>
      <w:r w:rsidR="00BD22B8" w:rsidRPr="009931E0">
        <w:rPr>
          <w:rFonts w:ascii="Calibri" w:hAnsi="Calibri"/>
          <w:sz w:val="18"/>
          <w:szCs w:val="18"/>
        </w:rPr>
        <w:t xml:space="preserve"> 1</w:t>
      </w:r>
      <w:r>
        <w:rPr>
          <w:rFonts w:ascii="Calibri" w:hAnsi="Calibri"/>
          <w:sz w:val="18"/>
          <w:szCs w:val="18"/>
        </w:rPr>
        <w:t xml:space="preserve">: </w:t>
      </w:r>
      <w:r w:rsidR="00BD22B8" w:rsidRPr="009931E0">
        <w:rPr>
          <w:rFonts w:ascii="Calibri" w:hAnsi="Calibri"/>
          <w:sz w:val="18"/>
          <w:szCs w:val="18"/>
        </w:rPr>
        <w:t xml:space="preserve"> Počet a percentuálny podiel inštitúcií a organizácií zapojených do prieskumu</w:t>
      </w:r>
    </w:p>
    <w:p w:rsidR="00A47BBB" w:rsidRPr="009931E0" w:rsidRDefault="00A47BBB" w:rsidP="00BD22B8">
      <w:pPr>
        <w:ind w:hanging="142"/>
        <w:jc w:val="both"/>
        <w:rPr>
          <w:rFonts w:ascii="Calibri" w:hAnsi="Calibri"/>
          <w:sz w:val="18"/>
          <w:szCs w:val="18"/>
        </w:rPr>
      </w:pPr>
    </w:p>
    <w:tbl>
      <w:tblPr>
        <w:tblW w:w="928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blLook w:val="04A0" w:firstRow="1" w:lastRow="0" w:firstColumn="1" w:lastColumn="0" w:noHBand="0" w:noVBand="1"/>
      </w:tblPr>
      <w:tblGrid>
        <w:gridCol w:w="6586"/>
        <w:gridCol w:w="2702"/>
      </w:tblGrid>
      <w:tr w:rsidR="00BD22B8" w:rsidRPr="00FA584E" w:rsidTr="00FE5629">
        <w:trPr>
          <w:jc w:val="center"/>
        </w:trPr>
        <w:tc>
          <w:tcPr>
            <w:tcW w:w="6586" w:type="dxa"/>
            <w:shd w:val="clear" w:color="auto" w:fill="FFFFFF"/>
          </w:tcPr>
          <w:p w:rsidR="00BD22B8" w:rsidRPr="00FA584E" w:rsidRDefault="00BD22B8" w:rsidP="00FE5629">
            <w:pPr>
              <w:jc w:val="both"/>
              <w:rPr>
                <w:rFonts w:ascii="Calibri" w:hAnsi="Calibri"/>
                <w:sz w:val="22"/>
                <w:szCs w:val="22"/>
              </w:rPr>
            </w:pPr>
            <w:r w:rsidRPr="00FA584E">
              <w:rPr>
                <w:rFonts w:ascii="Calibri" w:hAnsi="Calibri"/>
                <w:sz w:val="22"/>
                <w:szCs w:val="22"/>
              </w:rPr>
              <w:t>Počet oslovených subjektov</w:t>
            </w:r>
          </w:p>
        </w:tc>
        <w:tc>
          <w:tcPr>
            <w:tcW w:w="2702" w:type="dxa"/>
            <w:shd w:val="clear" w:color="auto" w:fill="FFFFFF"/>
          </w:tcPr>
          <w:p w:rsidR="00BD22B8" w:rsidRPr="00FA584E" w:rsidRDefault="00BD22B8" w:rsidP="00FE5629">
            <w:pPr>
              <w:jc w:val="center"/>
              <w:rPr>
                <w:rFonts w:ascii="Calibri" w:hAnsi="Calibri"/>
                <w:sz w:val="22"/>
                <w:szCs w:val="22"/>
              </w:rPr>
            </w:pPr>
            <w:r>
              <w:rPr>
                <w:rFonts w:ascii="Calibri" w:hAnsi="Calibri"/>
                <w:sz w:val="22"/>
                <w:szCs w:val="22"/>
              </w:rPr>
              <w:t>450</w:t>
            </w:r>
          </w:p>
        </w:tc>
      </w:tr>
      <w:tr w:rsidR="00BD22B8" w:rsidRPr="00FA584E" w:rsidTr="00FE5629">
        <w:trPr>
          <w:jc w:val="center"/>
        </w:trPr>
        <w:tc>
          <w:tcPr>
            <w:tcW w:w="6586" w:type="dxa"/>
            <w:shd w:val="clear" w:color="auto" w:fill="FFFFFF"/>
          </w:tcPr>
          <w:p w:rsidR="00BD22B8" w:rsidRPr="00FA584E" w:rsidRDefault="00BD22B8" w:rsidP="00FE5629">
            <w:pPr>
              <w:jc w:val="both"/>
              <w:rPr>
                <w:rFonts w:ascii="Calibri" w:hAnsi="Calibri"/>
                <w:sz w:val="22"/>
                <w:szCs w:val="22"/>
              </w:rPr>
            </w:pPr>
            <w:r w:rsidRPr="00FA584E">
              <w:rPr>
                <w:rFonts w:ascii="Calibri" w:hAnsi="Calibri"/>
                <w:sz w:val="22"/>
                <w:szCs w:val="22"/>
              </w:rPr>
              <w:t>Počet subjektov zapojených do prieskumu</w:t>
            </w:r>
          </w:p>
        </w:tc>
        <w:tc>
          <w:tcPr>
            <w:tcW w:w="2702" w:type="dxa"/>
            <w:shd w:val="clear" w:color="auto" w:fill="FFFFFF"/>
          </w:tcPr>
          <w:p w:rsidR="00BD22B8" w:rsidRPr="00FA584E" w:rsidRDefault="00BD22B8" w:rsidP="00FE5629">
            <w:pPr>
              <w:jc w:val="center"/>
              <w:rPr>
                <w:rFonts w:ascii="Calibri" w:hAnsi="Calibri"/>
                <w:sz w:val="22"/>
                <w:szCs w:val="22"/>
              </w:rPr>
            </w:pPr>
            <w:r w:rsidRPr="00FA584E">
              <w:rPr>
                <w:rFonts w:ascii="Calibri" w:hAnsi="Calibri"/>
                <w:sz w:val="22"/>
                <w:szCs w:val="22"/>
              </w:rPr>
              <w:t>2</w:t>
            </w:r>
            <w:r>
              <w:rPr>
                <w:rFonts w:ascii="Calibri" w:hAnsi="Calibri"/>
                <w:sz w:val="22"/>
                <w:szCs w:val="22"/>
              </w:rPr>
              <w:t>92</w:t>
            </w:r>
          </w:p>
        </w:tc>
      </w:tr>
      <w:tr w:rsidR="00BD22B8" w:rsidRPr="00FA584E" w:rsidTr="00FE5629">
        <w:trPr>
          <w:jc w:val="center"/>
        </w:trPr>
        <w:tc>
          <w:tcPr>
            <w:tcW w:w="6586" w:type="dxa"/>
            <w:shd w:val="clear" w:color="auto" w:fill="FFFFFF"/>
          </w:tcPr>
          <w:p w:rsidR="00BD22B8" w:rsidRPr="00FA584E" w:rsidRDefault="00BD22B8" w:rsidP="00FE5629">
            <w:pPr>
              <w:jc w:val="both"/>
              <w:rPr>
                <w:rFonts w:ascii="Calibri" w:hAnsi="Calibri"/>
                <w:sz w:val="22"/>
                <w:szCs w:val="22"/>
              </w:rPr>
            </w:pPr>
            <w:r w:rsidRPr="00FA584E">
              <w:rPr>
                <w:rFonts w:ascii="Calibri" w:hAnsi="Calibri"/>
                <w:sz w:val="22"/>
                <w:szCs w:val="22"/>
              </w:rPr>
              <w:t>Percentuálny podiel subjektov zapojených do prieskumu</w:t>
            </w:r>
          </w:p>
        </w:tc>
        <w:tc>
          <w:tcPr>
            <w:tcW w:w="2702" w:type="dxa"/>
            <w:shd w:val="clear" w:color="auto" w:fill="FFFFFF"/>
          </w:tcPr>
          <w:p w:rsidR="00BD22B8" w:rsidRPr="00FA584E" w:rsidRDefault="00BD22B8" w:rsidP="00FE5629">
            <w:pPr>
              <w:jc w:val="center"/>
              <w:rPr>
                <w:rFonts w:ascii="Calibri" w:hAnsi="Calibri"/>
                <w:sz w:val="22"/>
                <w:szCs w:val="22"/>
              </w:rPr>
            </w:pPr>
            <w:r w:rsidRPr="00FA584E">
              <w:rPr>
                <w:rFonts w:ascii="Calibri" w:hAnsi="Calibri"/>
                <w:sz w:val="22"/>
                <w:szCs w:val="22"/>
              </w:rPr>
              <w:t>6</w:t>
            </w:r>
            <w:r>
              <w:rPr>
                <w:rFonts w:ascii="Calibri" w:hAnsi="Calibri"/>
                <w:sz w:val="22"/>
                <w:szCs w:val="22"/>
              </w:rPr>
              <w:t>4,9</w:t>
            </w:r>
          </w:p>
        </w:tc>
      </w:tr>
    </w:tbl>
    <w:p w:rsidR="00BD22B8" w:rsidRDefault="00BD22B8" w:rsidP="00BD22B8">
      <w:pPr>
        <w:rPr>
          <w:rFonts w:ascii="Arial" w:hAnsi="Arial" w:cs="Arial"/>
          <w:sz w:val="20"/>
          <w:szCs w:val="20"/>
        </w:rPr>
      </w:pPr>
    </w:p>
    <w:p w:rsidR="00BD22B8" w:rsidRPr="00984C3C" w:rsidRDefault="005851FA" w:rsidP="00BD22B8">
      <w:pPr>
        <w:jc w:val="both"/>
      </w:pPr>
      <w:r w:rsidRPr="00984C3C">
        <w:t>V</w:t>
      </w:r>
      <w:r w:rsidR="00BD22B8" w:rsidRPr="00984C3C">
        <w:t>erejn</w:t>
      </w:r>
      <w:r w:rsidRPr="00984C3C">
        <w:t>í</w:t>
      </w:r>
      <w:r w:rsidR="00BD22B8" w:rsidRPr="00984C3C">
        <w:t xml:space="preserve"> obstarávate</w:t>
      </w:r>
      <w:r w:rsidRPr="00984C3C">
        <w:t xml:space="preserve">lia, </w:t>
      </w:r>
      <w:r w:rsidR="00BD22B8" w:rsidRPr="00984C3C">
        <w:t>zapoj</w:t>
      </w:r>
      <w:r w:rsidRPr="00984C3C">
        <w:t xml:space="preserve">ení do prieskumu: </w:t>
      </w:r>
      <w:r w:rsidR="00BD22B8" w:rsidRPr="00984C3C">
        <w:t xml:space="preserve"> 6 ministerstiev , 222 ústredných orgánov štátnej správy a nimi zriadených organizácií, 4 iné inštitúcie štátnej správy, 3 samosprávne kraje, 36 miest a 5 mestských častí. Z tabuľky č. 2 možno vidieť počet a percentuálny podiel subjektov zapojených do prieskumu podľa členenia na verejných obstarávateľov a obstarávateľov. </w:t>
      </w:r>
    </w:p>
    <w:p w:rsidR="00BD22B8" w:rsidRPr="00984C3C" w:rsidRDefault="00BD22B8" w:rsidP="00BD22B8"/>
    <w:p w:rsidR="00BD22B8" w:rsidRDefault="00BD22B8" w:rsidP="00BD22B8">
      <w:pPr>
        <w:ind w:hanging="142"/>
        <w:rPr>
          <w:rFonts w:ascii="Calibri" w:hAnsi="Calibri"/>
          <w:sz w:val="18"/>
          <w:szCs w:val="18"/>
        </w:rPr>
      </w:pPr>
      <w:r w:rsidRPr="00FC55D9">
        <w:rPr>
          <w:rFonts w:ascii="Calibri" w:hAnsi="Calibri"/>
          <w:sz w:val="18"/>
          <w:szCs w:val="18"/>
        </w:rPr>
        <w:t>Tab</w:t>
      </w:r>
      <w:r w:rsidR="005851FA">
        <w:rPr>
          <w:rFonts w:ascii="Calibri" w:hAnsi="Calibri"/>
          <w:sz w:val="18"/>
          <w:szCs w:val="18"/>
        </w:rPr>
        <w:t xml:space="preserve">uľka </w:t>
      </w:r>
      <w:r w:rsidRPr="00FC55D9">
        <w:rPr>
          <w:rFonts w:ascii="Calibri" w:hAnsi="Calibri"/>
          <w:sz w:val="18"/>
          <w:szCs w:val="18"/>
        </w:rPr>
        <w:t>2</w:t>
      </w:r>
      <w:r w:rsidR="005851FA">
        <w:rPr>
          <w:rFonts w:ascii="Calibri" w:hAnsi="Calibri"/>
          <w:sz w:val="18"/>
          <w:szCs w:val="18"/>
        </w:rPr>
        <w:t xml:space="preserve">: </w:t>
      </w:r>
      <w:r w:rsidRPr="00FC55D9">
        <w:rPr>
          <w:rFonts w:ascii="Calibri" w:hAnsi="Calibri"/>
          <w:sz w:val="18"/>
          <w:szCs w:val="18"/>
        </w:rPr>
        <w:t xml:space="preserve"> Rozdelenie subjektov</w:t>
      </w:r>
      <w:r w:rsidR="005851FA">
        <w:rPr>
          <w:rFonts w:ascii="Calibri" w:hAnsi="Calibri"/>
          <w:sz w:val="18"/>
          <w:szCs w:val="18"/>
        </w:rPr>
        <w:t xml:space="preserve">, </w:t>
      </w:r>
      <w:r w:rsidRPr="00FC55D9">
        <w:rPr>
          <w:rFonts w:ascii="Calibri" w:hAnsi="Calibri"/>
          <w:sz w:val="18"/>
          <w:szCs w:val="18"/>
        </w:rPr>
        <w:t xml:space="preserve"> zapojených do prieskumu</w:t>
      </w:r>
    </w:p>
    <w:p w:rsidR="00A47BBB" w:rsidRPr="00FC55D9" w:rsidRDefault="00A47BBB" w:rsidP="00BD22B8">
      <w:pPr>
        <w:ind w:hanging="142"/>
        <w:rPr>
          <w:rFonts w:ascii="Calibri" w:hAnsi="Calibri"/>
          <w:sz w:val="18"/>
          <w:szCs w:val="18"/>
        </w:rPr>
      </w:pPr>
    </w:p>
    <w:tbl>
      <w:tblPr>
        <w:tblW w:w="931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629"/>
        <w:gridCol w:w="1114"/>
        <w:gridCol w:w="1561"/>
        <w:gridCol w:w="15"/>
      </w:tblGrid>
      <w:tr w:rsidR="00BD22B8" w:rsidRPr="00FC55D9" w:rsidTr="00FE5629">
        <w:trPr>
          <w:jc w:val="center"/>
        </w:trPr>
        <w:tc>
          <w:tcPr>
            <w:tcW w:w="6629" w:type="dxa"/>
            <w:shd w:val="clear" w:color="auto" w:fill="BFBFBF"/>
            <w:vAlign w:val="center"/>
          </w:tcPr>
          <w:p w:rsidR="00BD22B8" w:rsidRPr="00FC55D9" w:rsidRDefault="00BD22B8" w:rsidP="00FE5629">
            <w:pPr>
              <w:jc w:val="center"/>
              <w:rPr>
                <w:rFonts w:ascii="Calibri" w:hAnsi="Calibri"/>
                <w:b/>
                <w:sz w:val="22"/>
                <w:szCs w:val="22"/>
              </w:rPr>
            </w:pPr>
            <w:r w:rsidRPr="00FC55D9">
              <w:rPr>
                <w:rFonts w:ascii="Calibri" w:hAnsi="Calibri"/>
                <w:b/>
                <w:sz w:val="22"/>
                <w:szCs w:val="22"/>
              </w:rPr>
              <w:t>Subjekty zapojené do prieskumu</w:t>
            </w:r>
          </w:p>
        </w:tc>
        <w:tc>
          <w:tcPr>
            <w:tcW w:w="1114" w:type="dxa"/>
            <w:shd w:val="clear" w:color="auto" w:fill="BFBFBF"/>
            <w:vAlign w:val="center"/>
          </w:tcPr>
          <w:p w:rsidR="00BD22B8" w:rsidRPr="00FC55D9" w:rsidRDefault="00BD22B8" w:rsidP="00FE5629">
            <w:pPr>
              <w:jc w:val="center"/>
              <w:rPr>
                <w:rFonts w:ascii="Calibri" w:hAnsi="Calibri"/>
                <w:b/>
                <w:sz w:val="22"/>
                <w:szCs w:val="22"/>
              </w:rPr>
            </w:pPr>
            <w:r w:rsidRPr="00FC55D9">
              <w:rPr>
                <w:rFonts w:ascii="Calibri" w:hAnsi="Calibri"/>
                <w:b/>
                <w:sz w:val="22"/>
                <w:szCs w:val="22"/>
              </w:rPr>
              <w:t>Počet</w:t>
            </w:r>
          </w:p>
        </w:tc>
        <w:tc>
          <w:tcPr>
            <w:tcW w:w="1576" w:type="dxa"/>
            <w:gridSpan w:val="2"/>
            <w:shd w:val="clear" w:color="auto" w:fill="BFBFBF"/>
            <w:vAlign w:val="center"/>
          </w:tcPr>
          <w:p w:rsidR="00BD22B8" w:rsidRPr="00FC55D9" w:rsidRDefault="00BD22B8" w:rsidP="00FE5629">
            <w:pPr>
              <w:jc w:val="center"/>
              <w:rPr>
                <w:rFonts w:ascii="Calibri" w:hAnsi="Calibri"/>
                <w:b/>
                <w:sz w:val="22"/>
                <w:szCs w:val="22"/>
              </w:rPr>
            </w:pPr>
            <w:r w:rsidRPr="00FC55D9">
              <w:rPr>
                <w:rFonts w:ascii="Calibri" w:hAnsi="Calibri"/>
                <w:b/>
                <w:sz w:val="22"/>
                <w:szCs w:val="22"/>
              </w:rPr>
              <w:t>Percentuálny podiel</w:t>
            </w:r>
          </w:p>
        </w:tc>
      </w:tr>
      <w:tr w:rsidR="00BD22B8" w:rsidRPr="00FC55D9" w:rsidTr="00FE5629">
        <w:trPr>
          <w:gridAfter w:val="1"/>
          <w:wAfter w:w="15" w:type="dxa"/>
          <w:jc w:val="center"/>
        </w:trPr>
        <w:tc>
          <w:tcPr>
            <w:tcW w:w="6629" w:type="dxa"/>
          </w:tcPr>
          <w:p w:rsidR="00BD22B8" w:rsidRPr="00FC55D9" w:rsidRDefault="00BD22B8" w:rsidP="00FE5629">
            <w:pPr>
              <w:jc w:val="both"/>
              <w:rPr>
                <w:rFonts w:ascii="Calibri" w:hAnsi="Calibri"/>
                <w:b/>
                <w:sz w:val="22"/>
                <w:szCs w:val="22"/>
              </w:rPr>
            </w:pPr>
            <w:r w:rsidRPr="00FC55D9">
              <w:rPr>
                <w:rFonts w:ascii="Calibri" w:hAnsi="Calibri"/>
                <w:b/>
                <w:sz w:val="22"/>
                <w:szCs w:val="22"/>
              </w:rPr>
              <w:t>Verejní obstarávatelia</w:t>
            </w:r>
          </w:p>
        </w:tc>
        <w:tc>
          <w:tcPr>
            <w:tcW w:w="1114" w:type="dxa"/>
          </w:tcPr>
          <w:p w:rsidR="00BD22B8" w:rsidRPr="00FC55D9" w:rsidRDefault="00BD22B8" w:rsidP="00FE5629">
            <w:pPr>
              <w:jc w:val="right"/>
              <w:rPr>
                <w:rFonts w:ascii="Calibri" w:hAnsi="Calibri"/>
                <w:b/>
                <w:sz w:val="22"/>
                <w:szCs w:val="22"/>
              </w:rPr>
            </w:pPr>
            <w:r>
              <w:rPr>
                <w:rFonts w:ascii="Calibri" w:hAnsi="Calibri"/>
                <w:b/>
                <w:sz w:val="22"/>
                <w:szCs w:val="22"/>
              </w:rPr>
              <w:t>284</w:t>
            </w:r>
          </w:p>
        </w:tc>
        <w:tc>
          <w:tcPr>
            <w:tcW w:w="1561" w:type="dxa"/>
          </w:tcPr>
          <w:p w:rsidR="00BD22B8" w:rsidRPr="00FC55D9" w:rsidRDefault="00BD22B8" w:rsidP="00FE5629">
            <w:pPr>
              <w:jc w:val="right"/>
              <w:rPr>
                <w:rFonts w:ascii="Calibri" w:hAnsi="Calibri"/>
                <w:sz w:val="22"/>
                <w:szCs w:val="22"/>
              </w:rPr>
            </w:pPr>
            <w:r>
              <w:rPr>
                <w:rFonts w:ascii="Calibri" w:hAnsi="Calibri"/>
                <w:sz w:val="22"/>
                <w:szCs w:val="22"/>
              </w:rPr>
              <w:t>97,3 %</w:t>
            </w:r>
          </w:p>
        </w:tc>
      </w:tr>
      <w:tr w:rsidR="00BD22B8" w:rsidRPr="00FC55D9" w:rsidTr="00FE5629">
        <w:trPr>
          <w:gridAfter w:val="1"/>
          <w:wAfter w:w="15" w:type="dxa"/>
          <w:jc w:val="center"/>
        </w:trPr>
        <w:tc>
          <w:tcPr>
            <w:tcW w:w="6629" w:type="dxa"/>
          </w:tcPr>
          <w:p w:rsidR="00BD22B8" w:rsidRPr="00FC55D9" w:rsidRDefault="00BD22B8" w:rsidP="00FE5629">
            <w:pPr>
              <w:ind w:left="567"/>
              <w:jc w:val="both"/>
              <w:rPr>
                <w:rFonts w:ascii="Calibri" w:hAnsi="Calibri"/>
                <w:sz w:val="22"/>
                <w:szCs w:val="22"/>
              </w:rPr>
            </w:pPr>
            <w:r w:rsidRPr="00FC55D9">
              <w:rPr>
                <w:rFonts w:ascii="Calibri" w:hAnsi="Calibri"/>
                <w:sz w:val="22"/>
                <w:szCs w:val="22"/>
              </w:rPr>
              <w:t>Ministerstvá</w:t>
            </w:r>
          </w:p>
        </w:tc>
        <w:tc>
          <w:tcPr>
            <w:tcW w:w="1114" w:type="dxa"/>
          </w:tcPr>
          <w:p w:rsidR="00BD22B8" w:rsidRPr="00FC55D9" w:rsidRDefault="00BD22B8" w:rsidP="00FE5629">
            <w:pPr>
              <w:jc w:val="right"/>
              <w:rPr>
                <w:rFonts w:ascii="Calibri" w:hAnsi="Calibri"/>
                <w:sz w:val="22"/>
                <w:szCs w:val="22"/>
              </w:rPr>
            </w:pPr>
            <w:r>
              <w:rPr>
                <w:rFonts w:ascii="Calibri" w:hAnsi="Calibri"/>
                <w:sz w:val="22"/>
                <w:szCs w:val="22"/>
              </w:rPr>
              <w:t>6</w:t>
            </w:r>
          </w:p>
        </w:tc>
        <w:tc>
          <w:tcPr>
            <w:tcW w:w="1561" w:type="dxa"/>
          </w:tcPr>
          <w:p w:rsidR="00BD22B8" w:rsidRPr="00FC55D9" w:rsidRDefault="00BD22B8" w:rsidP="00FE5629">
            <w:pPr>
              <w:jc w:val="right"/>
              <w:rPr>
                <w:rFonts w:ascii="Calibri" w:hAnsi="Calibri"/>
                <w:sz w:val="22"/>
                <w:szCs w:val="22"/>
              </w:rPr>
            </w:pPr>
            <w:r>
              <w:rPr>
                <w:rFonts w:ascii="Calibri" w:hAnsi="Calibri"/>
                <w:sz w:val="22"/>
                <w:szCs w:val="22"/>
              </w:rPr>
              <w:t>2,1 %</w:t>
            </w:r>
          </w:p>
        </w:tc>
      </w:tr>
      <w:tr w:rsidR="00BD22B8" w:rsidRPr="00FC55D9" w:rsidTr="00FE5629">
        <w:trPr>
          <w:gridAfter w:val="1"/>
          <w:wAfter w:w="15" w:type="dxa"/>
          <w:jc w:val="center"/>
        </w:trPr>
        <w:tc>
          <w:tcPr>
            <w:tcW w:w="6629" w:type="dxa"/>
          </w:tcPr>
          <w:p w:rsidR="00BD22B8" w:rsidRPr="00FC55D9" w:rsidRDefault="00BD22B8" w:rsidP="00FE5629">
            <w:pPr>
              <w:ind w:left="567"/>
              <w:rPr>
                <w:rFonts w:ascii="Calibri" w:hAnsi="Calibri"/>
                <w:sz w:val="22"/>
                <w:szCs w:val="22"/>
              </w:rPr>
            </w:pPr>
            <w:r w:rsidRPr="00FC55D9">
              <w:rPr>
                <w:rFonts w:ascii="Calibri" w:hAnsi="Calibri"/>
                <w:sz w:val="22"/>
                <w:szCs w:val="22"/>
              </w:rPr>
              <w:t>Ústredné orgány štátnej správy a nimi zriadené organizácie</w:t>
            </w:r>
          </w:p>
        </w:tc>
        <w:tc>
          <w:tcPr>
            <w:tcW w:w="1114" w:type="dxa"/>
          </w:tcPr>
          <w:p w:rsidR="00BD22B8" w:rsidRPr="00FC55D9" w:rsidRDefault="00BD22B8" w:rsidP="00FE5629">
            <w:pPr>
              <w:jc w:val="right"/>
              <w:rPr>
                <w:rFonts w:ascii="Calibri" w:hAnsi="Calibri"/>
                <w:sz w:val="22"/>
                <w:szCs w:val="22"/>
              </w:rPr>
            </w:pPr>
            <w:r w:rsidRPr="00FC55D9">
              <w:rPr>
                <w:rFonts w:ascii="Calibri" w:hAnsi="Calibri"/>
                <w:sz w:val="22"/>
                <w:szCs w:val="22"/>
              </w:rPr>
              <w:t>2</w:t>
            </w:r>
            <w:r>
              <w:rPr>
                <w:rFonts w:ascii="Calibri" w:hAnsi="Calibri"/>
                <w:sz w:val="22"/>
                <w:szCs w:val="22"/>
              </w:rPr>
              <w:t>22</w:t>
            </w:r>
          </w:p>
        </w:tc>
        <w:tc>
          <w:tcPr>
            <w:tcW w:w="1561" w:type="dxa"/>
          </w:tcPr>
          <w:p w:rsidR="00BD22B8" w:rsidRPr="00FC55D9" w:rsidRDefault="00BD22B8" w:rsidP="00FE5629">
            <w:pPr>
              <w:jc w:val="right"/>
              <w:rPr>
                <w:rFonts w:ascii="Calibri" w:hAnsi="Calibri"/>
                <w:sz w:val="22"/>
                <w:szCs w:val="22"/>
              </w:rPr>
            </w:pPr>
            <w:r>
              <w:rPr>
                <w:rFonts w:ascii="Calibri" w:hAnsi="Calibri"/>
                <w:sz w:val="22"/>
                <w:szCs w:val="22"/>
              </w:rPr>
              <w:t>76,0 %</w:t>
            </w:r>
          </w:p>
        </w:tc>
      </w:tr>
      <w:tr w:rsidR="00BD22B8" w:rsidRPr="00FC55D9" w:rsidTr="00FE5629">
        <w:trPr>
          <w:gridAfter w:val="1"/>
          <w:wAfter w:w="15" w:type="dxa"/>
          <w:jc w:val="center"/>
        </w:trPr>
        <w:tc>
          <w:tcPr>
            <w:tcW w:w="6629" w:type="dxa"/>
          </w:tcPr>
          <w:p w:rsidR="00BD22B8" w:rsidRPr="00FC55D9" w:rsidRDefault="00BD22B8" w:rsidP="00FE5629">
            <w:pPr>
              <w:ind w:left="567"/>
              <w:rPr>
                <w:rFonts w:ascii="Calibri" w:hAnsi="Calibri"/>
                <w:sz w:val="22"/>
                <w:szCs w:val="22"/>
              </w:rPr>
            </w:pPr>
            <w:r w:rsidRPr="00FC55D9">
              <w:rPr>
                <w:rFonts w:ascii="Calibri" w:hAnsi="Calibri"/>
                <w:sz w:val="22"/>
                <w:szCs w:val="22"/>
              </w:rPr>
              <w:t>Iné inštitúcie štátnej správy</w:t>
            </w:r>
          </w:p>
        </w:tc>
        <w:tc>
          <w:tcPr>
            <w:tcW w:w="1114" w:type="dxa"/>
          </w:tcPr>
          <w:p w:rsidR="00BD22B8" w:rsidRPr="00FC55D9" w:rsidRDefault="00BD22B8" w:rsidP="00FE5629">
            <w:pPr>
              <w:jc w:val="right"/>
              <w:rPr>
                <w:rFonts w:ascii="Calibri" w:hAnsi="Calibri"/>
                <w:sz w:val="22"/>
                <w:szCs w:val="22"/>
              </w:rPr>
            </w:pPr>
            <w:r>
              <w:rPr>
                <w:rFonts w:ascii="Calibri" w:hAnsi="Calibri"/>
                <w:sz w:val="22"/>
                <w:szCs w:val="22"/>
              </w:rPr>
              <w:t>4</w:t>
            </w:r>
          </w:p>
        </w:tc>
        <w:tc>
          <w:tcPr>
            <w:tcW w:w="1561" w:type="dxa"/>
          </w:tcPr>
          <w:p w:rsidR="00BD22B8" w:rsidRPr="00FC55D9" w:rsidRDefault="00BD22B8" w:rsidP="00FE5629">
            <w:pPr>
              <w:jc w:val="right"/>
              <w:rPr>
                <w:rFonts w:ascii="Calibri" w:hAnsi="Calibri"/>
                <w:sz w:val="22"/>
                <w:szCs w:val="22"/>
              </w:rPr>
            </w:pPr>
            <w:r>
              <w:rPr>
                <w:rFonts w:ascii="Calibri" w:hAnsi="Calibri"/>
                <w:sz w:val="22"/>
                <w:szCs w:val="22"/>
              </w:rPr>
              <w:t>1,4 %</w:t>
            </w:r>
          </w:p>
        </w:tc>
      </w:tr>
      <w:tr w:rsidR="00BD22B8" w:rsidRPr="00FC55D9" w:rsidTr="00FE5629">
        <w:trPr>
          <w:gridAfter w:val="1"/>
          <w:wAfter w:w="15" w:type="dxa"/>
          <w:jc w:val="center"/>
        </w:trPr>
        <w:tc>
          <w:tcPr>
            <w:tcW w:w="6629" w:type="dxa"/>
          </w:tcPr>
          <w:p w:rsidR="00BD22B8" w:rsidRPr="00FC55D9" w:rsidRDefault="00BD22B8" w:rsidP="00FE5629">
            <w:pPr>
              <w:ind w:left="567"/>
              <w:jc w:val="both"/>
              <w:rPr>
                <w:rFonts w:ascii="Calibri" w:hAnsi="Calibri"/>
                <w:sz w:val="22"/>
                <w:szCs w:val="22"/>
              </w:rPr>
            </w:pPr>
            <w:r w:rsidRPr="00FC55D9">
              <w:rPr>
                <w:rFonts w:ascii="Calibri" w:hAnsi="Calibri"/>
                <w:sz w:val="22"/>
                <w:szCs w:val="22"/>
              </w:rPr>
              <w:t>Samosprávne kraje</w:t>
            </w:r>
          </w:p>
        </w:tc>
        <w:tc>
          <w:tcPr>
            <w:tcW w:w="1114" w:type="dxa"/>
          </w:tcPr>
          <w:p w:rsidR="00BD22B8" w:rsidRPr="00FC55D9" w:rsidRDefault="00BD22B8" w:rsidP="00FE5629">
            <w:pPr>
              <w:jc w:val="right"/>
              <w:rPr>
                <w:rFonts w:ascii="Calibri" w:hAnsi="Calibri"/>
                <w:sz w:val="22"/>
                <w:szCs w:val="22"/>
              </w:rPr>
            </w:pPr>
            <w:r>
              <w:rPr>
                <w:rFonts w:ascii="Calibri" w:hAnsi="Calibri"/>
                <w:sz w:val="22"/>
                <w:szCs w:val="22"/>
              </w:rPr>
              <w:t>3</w:t>
            </w:r>
          </w:p>
        </w:tc>
        <w:tc>
          <w:tcPr>
            <w:tcW w:w="1561" w:type="dxa"/>
          </w:tcPr>
          <w:p w:rsidR="00BD22B8" w:rsidRPr="00FC55D9" w:rsidRDefault="00BD22B8" w:rsidP="00FE5629">
            <w:pPr>
              <w:jc w:val="right"/>
              <w:rPr>
                <w:rFonts w:ascii="Calibri" w:hAnsi="Calibri"/>
                <w:sz w:val="22"/>
                <w:szCs w:val="22"/>
              </w:rPr>
            </w:pPr>
            <w:r>
              <w:rPr>
                <w:rFonts w:ascii="Calibri" w:hAnsi="Calibri"/>
                <w:sz w:val="22"/>
                <w:szCs w:val="22"/>
              </w:rPr>
              <w:t>1,0 %</w:t>
            </w:r>
          </w:p>
        </w:tc>
      </w:tr>
      <w:tr w:rsidR="00BD22B8" w:rsidRPr="00FC55D9" w:rsidTr="00FE5629">
        <w:trPr>
          <w:gridAfter w:val="1"/>
          <w:wAfter w:w="15" w:type="dxa"/>
          <w:jc w:val="center"/>
        </w:trPr>
        <w:tc>
          <w:tcPr>
            <w:tcW w:w="6629" w:type="dxa"/>
          </w:tcPr>
          <w:p w:rsidR="00BD22B8" w:rsidRPr="00FC55D9" w:rsidRDefault="00BD22B8" w:rsidP="00FE5629">
            <w:pPr>
              <w:ind w:left="567"/>
              <w:jc w:val="both"/>
              <w:rPr>
                <w:rFonts w:ascii="Calibri" w:hAnsi="Calibri"/>
                <w:sz w:val="22"/>
                <w:szCs w:val="22"/>
              </w:rPr>
            </w:pPr>
            <w:r w:rsidRPr="00FC55D9">
              <w:rPr>
                <w:rFonts w:ascii="Calibri" w:hAnsi="Calibri"/>
                <w:sz w:val="22"/>
                <w:szCs w:val="22"/>
              </w:rPr>
              <w:t>Mestá</w:t>
            </w:r>
          </w:p>
        </w:tc>
        <w:tc>
          <w:tcPr>
            <w:tcW w:w="1114" w:type="dxa"/>
          </w:tcPr>
          <w:p w:rsidR="00BD22B8" w:rsidRPr="00FC55D9" w:rsidRDefault="00BD22B8" w:rsidP="00FE5629">
            <w:pPr>
              <w:jc w:val="right"/>
              <w:rPr>
                <w:rFonts w:ascii="Calibri" w:hAnsi="Calibri"/>
                <w:sz w:val="22"/>
                <w:szCs w:val="22"/>
              </w:rPr>
            </w:pPr>
            <w:r>
              <w:rPr>
                <w:rFonts w:ascii="Calibri" w:hAnsi="Calibri"/>
                <w:sz w:val="22"/>
                <w:szCs w:val="22"/>
              </w:rPr>
              <w:t>36</w:t>
            </w:r>
          </w:p>
        </w:tc>
        <w:tc>
          <w:tcPr>
            <w:tcW w:w="1561" w:type="dxa"/>
          </w:tcPr>
          <w:p w:rsidR="00BD22B8" w:rsidRPr="00FC55D9" w:rsidRDefault="00BD22B8" w:rsidP="00FE5629">
            <w:pPr>
              <w:jc w:val="right"/>
              <w:rPr>
                <w:rFonts w:ascii="Calibri" w:hAnsi="Calibri"/>
                <w:sz w:val="22"/>
                <w:szCs w:val="22"/>
              </w:rPr>
            </w:pPr>
            <w:r>
              <w:rPr>
                <w:rFonts w:ascii="Calibri" w:hAnsi="Calibri"/>
                <w:sz w:val="22"/>
                <w:szCs w:val="22"/>
              </w:rPr>
              <w:t>12,3 %</w:t>
            </w:r>
          </w:p>
        </w:tc>
      </w:tr>
      <w:tr w:rsidR="00BD22B8" w:rsidRPr="00FC55D9" w:rsidTr="00FE5629">
        <w:trPr>
          <w:gridAfter w:val="1"/>
          <w:wAfter w:w="15" w:type="dxa"/>
          <w:jc w:val="center"/>
        </w:trPr>
        <w:tc>
          <w:tcPr>
            <w:tcW w:w="6629" w:type="dxa"/>
          </w:tcPr>
          <w:p w:rsidR="00BD22B8" w:rsidRPr="00932991" w:rsidRDefault="00BD22B8" w:rsidP="00FE5629">
            <w:pPr>
              <w:ind w:firstLine="584"/>
              <w:jc w:val="both"/>
              <w:rPr>
                <w:rFonts w:ascii="Calibri" w:hAnsi="Calibri"/>
                <w:sz w:val="22"/>
                <w:szCs w:val="22"/>
              </w:rPr>
            </w:pPr>
            <w:r w:rsidRPr="00932991">
              <w:rPr>
                <w:rFonts w:ascii="Calibri" w:hAnsi="Calibri"/>
                <w:sz w:val="22"/>
                <w:szCs w:val="22"/>
              </w:rPr>
              <w:t>Mestské časti</w:t>
            </w:r>
          </w:p>
        </w:tc>
        <w:tc>
          <w:tcPr>
            <w:tcW w:w="1114" w:type="dxa"/>
          </w:tcPr>
          <w:p w:rsidR="00BD22B8" w:rsidRPr="00F84FC0" w:rsidRDefault="00BD22B8" w:rsidP="00FE5629">
            <w:pPr>
              <w:jc w:val="right"/>
              <w:rPr>
                <w:rFonts w:ascii="Calibri" w:hAnsi="Calibri"/>
                <w:sz w:val="22"/>
                <w:szCs w:val="22"/>
              </w:rPr>
            </w:pPr>
            <w:r w:rsidRPr="00F84FC0">
              <w:rPr>
                <w:rFonts w:ascii="Calibri" w:hAnsi="Calibri"/>
                <w:sz w:val="22"/>
                <w:szCs w:val="22"/>
              </w:rPr>
              <w:t>5</w:t>
            </w:r>
          </w:p>
        </w:tc>
        <w:tc>
          <w:tcPr>
            <w:tcW w:w="1561" w:type="dxa"/>
          </w:tcPr>
          <w:p w:rsidR="00BD22B8" w:rsidRPr="00FC55D9" w:rsidRDefault="00BD22B8" w:rsidP="00FE5629">
            <w:pPr>
              <w:jc w:val="right"/>
              <w:rPr>
                <w:rFonts w:ascii="Calibri" w:hAnsi="Calibri"/>
                <w:sz w:val="22"/>
                <w:szCs w:val="22"/>
              </w:rPr>
            </w:pPr>
            <w:r>
              <w:rPr>
                <w:rFonts w:ascii="Calibri" w:hAnsi="Calibri"/>
                <w:sz w:val="22"/>
                <w:szCs w:val="22"/>
              </w:rPr>
              <w:t>1,7 %</w:t>
            </w:r>
          </w:p>
        </w:tc>
      </w:tr>
      <w:tr w:rsidR="00BD22B8" w:rsidRPr="00FC55D9" w:rsidTr="00FE5629">
        <w:trPr>
          <w:gridAfter w:val="1"/>
          <w:wAfter w:w="15" w:type="dxa"/>
          <w:jc w:val="center"/>
        </w:trPr>
        <w:tc>
          <w:tcPr>
            <w:tcW w:w="6629" w:type="dxa"/>
          </w:tcPr>
          <w:p w:rsidR="00BD22B8" w:rsidRPr="00FC55D9" w:rsidRDefault="00BD22B8" w:rsidP="00FE5629">
            <w:pPr>
              <w:jc w:val="both"/>
              <w:rPr>
                <w:rFonts w:ascii="Calibri" w:hAnsi="Calibri"/>
                <w:b/>
                <w:sz w:val="22"/>
                <w:szCs w:val="22"/>
              </w:rPr>
            </w:pPr>
            <w:r w:rsidRPr="00FC55D9">
              <w:rPr>
                <w:rFonts w:ascii="Calibri" w:hAnsi="Calibri"/>
                <w:b/>
                <w:sz w:val="22"/>
                <w:szCs w:val="22"/>
              </w:rPr>
              <w:t>Obstarávatelia</w:t>
            </w:r>
          </w:p>
        </w:tc>
        <w:tc>
          <w:tcPr>
            <w:tcW w:w="1114" w:type="dxa"/>
          </w:tcPr>
          <w:p w:rsidR="00BD22B8" w:rsidRPr="00FC55D9" w:rsidRDefault="00BD22B8" w:rsidP="00FE5629">
            <w:pPr>
              <w:jc w:val="right"/>
              <w:rPr>
                <w:rFonts w:ascii="Calibri" w:hAnsi="Calibri"/>
                <w:b/>
                <w:sz w:val="22"/>
                <w:szCs w:val="22"/>
              </w:rPr>
            </w:pPr>
            <w:r>
              <w:rPr>
                <w:rFonts w:ascii="Calibri" w:hAnsi="Calibri"/>
                <w:b/>
                <w:sz w:val="22"/>
                <w:szCs w:val="22"/>
              </w:rPr>
              <w:t>8</w:t>
            </w:r>
          </w:p>
        </w:tc>
        <w:tc>
          <w:tcPr>
            <w:tcW w:w="1561" w:type="dxa"/>
          </w:tcPr>
          <w:p w:rsidR="00BD22B8" w:rsidRPr="00FC55D9" w:rsidRDefault="00BD22B8" w:rsidP="00FE5629">
            <w:pPr>
              <w:jc w:val="right"/>
              <w:rPr>
                <w:rFonts w:ascii="Calibri" w:hAnsi="Calibri"/>
                <w:sz w:val="22"/>
                <w:szCs w:val="22"/>
              </w:rPr>
            </w:pPr>
            <w:r>
              <w:rPr>
                <w:rFonts w:ascii="Calibri" w:hAnsi="Calibri"/>
                <w:sz w:val="22"/>
                <w:szCs w:val="22"/>
              </w:rPr>
              <w:t>2,7 %</w:t>
            </w:r>
          </w:p>
        </w:tc>
      </w:tr>
      <w:tr w:rsidR="00BD22B8" w:rsidRPr="00FC55D9" w:rsidTr="00FE5629">
        <w:trPr>
          <w:gridAfter w:val="1"/>
          <w:wAfter w:w="15" w:type="dxa"/>
          <w:jc w:val="center"/>
        </w:trPr>
        <w:tc>
          <w:tcPr>
            <w:tcW w:w="6629" w:type="dxa"/>
          </w:tcPr>
          <w:p w:rsidR="00BD22B8" w:rsidRPr="00FC55D9" w:rsidRDefault="00BD22B8" w:rsidP="00FE5629">
            <w:pPr>
              <w:jc w:val="both"/>
              <w:rPr>
                <w:rFonts w:ascii="Calibri" w:hAnsi="Calibri"/>
                <w:b/>
                <w:sz w:val="22"/>
                <w:szCs w:val="22"/>
              </w:rPr>
            </w:pPr>
            <w:r w:rsidRPr="00FC55D9">
              <w:rPr>
                <w:rFonts w:ascii="Calibri" w:hAnsi="Calibri"/>
                <w:b/>
                <w:sz w:val="22"/>
                <w:szCs w:val="22"/>
              </w:rPr>
              <w:t>Spolu</w:t>
            </w:r>
          </w:p>
        </w:tc>
        <w:tc>
          <w:tcPr>
            <w:tcW w:w="1114" w:type="dxa"/>
          </w:tcPr>
          <w:p w:rsidR="00BD22B8" w:rsidRPr="00FC55D9" w:rsidRDefault="00BD22B8" w:rsidP="00FE5629">
            <w:pPr>
              <w:jc w:val="right"/>
              <w:rPr>
                <w:rFonts w:ascii="Calibri" w:hAnsi="Calibri"/>
                <w:b/>
                <w:sz w:val="22"/>
                <w:szCs w:val="22"/>
              </w:rPr>
            </w:pPr>
            <w:r w:rsidRPr="00FC55D9">
              <w:rPr>
                <w:rFonts w:ascii="Calibri" w:hAnsi="Calibri"/>
                <w:b/>
                <w:sz w:val="22"/>
                <w:szCs w:val="22"/>
              </w:rPr>
              <w:t>2</w:t>
            </w:r>
            <w:r>
              <w:rPr>
                <w:rFonts w:ascii="Calibri" w:hAnsi="Calibri"/>
                <w:b/>
                <w:sz w:val="22"/>
                <w:szCs w:val="22"/>
              </w:rPr>
              <w:t>92</w:t>
            </w:r>
          </w:p>
        </w:tc>
        <w:tc>
          <w:tcPr>
            <w:tcW w:w="1561" w:type="dxa"/>
          </w:tcPr>
          <w:p w:rsidR="00BD22B8" w:rsidRPr="00932991" w:rsidRDefault="00BD22B8" w:rsidP="00FE5629">
            <w:pPr>
              <w:jc w:val="right"/>
              <w:rPr>
                <w:rFonts w:ascii="Calibri" w:hAnsi="Calibri"/>
                <w:b/>
                <w:sz w:val="22"/>
                <w:szCs w:val="22"/>
              </w:rPr>
            </w:pPr>
            <w:r w:rsidRPr="00932991">
              <w:rPr>
                <w:rFonts w:ascii="Calibri" w:hAnsi="Calibri"/>
                <w:b/>
                <w:sz w:val="22"/>
                <w:szCs w:val="22"/>
              </w:rPr>
              <w:t>100,0 %</w:t>
            </w:r>
          </w:p>
        </w:tc>
      </w:tr>
    </w:tbl>
    <w:p w:rsidR="00BD22B8" w:rsidRPr="00FC55D9" w:rsidRDefault="00BD22B8" w:rsidP="00BD22B8">
      <w:pPr>
        <w:jc w:val="both"/>
        <w:rPr>
          <w:rFonts w:ascii="Calibri" w:hAnsi="Calibri"/>
          <w:sz w:val="22"/>
          <w:szCs w:val="22"/>
        </w:rPr>
      </w:pPr>
    </w:p>
    <w:p w:rsidR="00BD22B8" w:rsidRPr="00984C3C" w:rsidRDefault="00871458" w:rsidP="00BD22B8">
      <w:pPr>
        <w:jc w:val="both"/>
      </w:pPr>
      <w:r w:rsidRPr="00984C3C">
        <w:t xml:space="preserve">Graf </w:t>
      </w:r>
      <w:r w:rsidR="00BD22B8" w:rsidRPr="00984C3C">
        <w:t xml:space="preserve">1 </w:t>
      </w:r>
      <w:r w:rsidRPr="00984C3C">
        <w:t xml:space="preserve">zobrazuje počet subjektov, </w:t>
      </w:r>
      <w:r w:rsidR="00BD22B8" w:rsidRPr="00984C3C">
        <w:t>zapojených</w:t>
      </w:r>
      <w:r w:rsidRPr="00984C3C">
        <w:t xml:space="preserve"> do dotazníkového prieskumu,</w:t>
      </w:r>
      <w:r w:rsidR="00BD22B8" w:rsidRPr="00984C3C">
        <w:t xml:space="preserve"> podľa jednotlivých rezortov. Najviac inštitúcií (81) sa zapojilo do prieskumu z rezortu Ministerstva práce, sociálnych vecí a</w:t>
      </w:r>
      <w:r w:rsidRPr="00984C3C">
        <w:t> </w:t>
      </w:r>
      <w:r w:rsidR="00BD22B8" w:rsidRPr="00984C3C">
        <w:t>rodiny</w:t>
      </w:r>
      <w:r w:rsidRPr="00984C3C">
        <w:t xml:space="preserve"> SR</w:t>
      </w:r>
      <w:r w:rsidR="00BD22B8" w:rsidRPr="00984C3C">
        <w:t>. Najmenej inštitúcií (3) sa zapojilo z rezortu Ministerstva zahraničných vecí a Samosprávnych krajov</w:t>
      </w:r>
      <w:r w:rsidRPr="00984C3C">
        <w:t xml:space="preserve">. </w:t>
      </w:r>
      <w:r w:rsidR="00BD22B8" w:rsidRPr="00984C3C">
        <w:t xml:space="preserve"> Ministerstv</w:t>
      </w:r>
      <w:r w:rsidRPr="00984C3C">
        <w:t>o</w:t>
      </w:r>
      <w:r w:rsidR="00BD22B8" w:rsidRPr="00984C3C">
        <w:t xml:space="preserve"> obrany</w:t>
      </w:r>
      <w:r w:rsidRPr="00984C3C">
        <w:t xml:space="preserve"> SR</w:t>
      </w:r>
      <w:r w:rsidR="00BD22B8" w:rsidRPr="00984C3C">
        <w:t xml:space="preserve"> a Ministerstv</w:t>
      </w:r>
      <w:r w:rsidRPr="00984C3C">
        <w:t>o</w:t>
      </w:r>
      <w:r w:rsidR="00BD22B8" w:rsidRPr="00984C3C">
        <w:t xml:space="preserve"> vnútra</w:t>
      </w:r>
      <w:r w:rsidRPr="00984C3C">
        <w:t xml:space="preserve"> SR</w:t>
      </w:r>
      <w:r w:rsidR="00BD22B8" w:rsidRPr="00984C3C">
        <w:t xml:space="preserve"> sa do monitorovania GPP v SR za rok 2012 nezapojili vôbec.</w:t>
      </w:r>
    </w:p>
    <w:p w:rsidR="00BD22B8" w:rsidRPr="00984C3C" w:rsidRDefault="00BD22B8" w:rsidP="00BD22B8">
      <w:pPr>
        <w:jc w:val="both"/>
      </w:pPr>
    </w:p>
    <w:p w:rsidR="00BD22B8" w:rsidRDefault="00BD22B8" w:rsidP="00BD22B8">
      <w:pPr>
        <w:rPr>
          <w:rFonts w:ascii="Calibri" w:hAnsi="Calibri"/>
          <w:sz w:val="18"/>
          <w:szCs w:val="18"/>
        </w:rPr>
      </w:pPr>
      <w:r>
        <w:rPr>
          <w:rFonts w:ascii="Calibri" w:hAnsi="Calibri" w:cs="Arial"/>
          <w:sz w:val="22"/>
          <w:szCs w:val="22"/>
        </w:rPr>
        <w:object w:dxaOrig="12165" w:dyaOrig="6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246pt" o:ole="">
            <v:imagedata r:id="rId9" o:title=""/>
          </v:shape>
          <o:OLEObject Type="Embed" ProgID="Excel.Sheet.12" ShapeID="_x0000_i1025" DrawAspect="Content" ObjectID="_1432618858" r:id="rId10"/>
        </w:object>
      </w:r>
      <w:r w:rsidRPr="009B6342">
        <w:rPr>
          <w:rFonts w:ascii="Calibri" w:hAnsi="Calibri"/>
          <w:sz w:val="18"/>
          <w:szCs w:val="18"/>
        </w:rPr>
        <w:t>Graf 1</w:t>
      </w:r>
      <w:r w:rsidR="00871458">
        <w:rPr>
          <w:rFonts w:ascii="Calibri" w:hAnsi="Calibri"/>
          <w:sz w:val="18"/>
          <w:szCs w:val="18"/>
        </w:rPr>
        <w:t xml:space="preserve">: </w:t>
      </w:r>
      <w:r w:rsidRPr="009B6342">
        <w:rPr>
          <w:rFonts w:ascii="Calibri" w:hAnsi="Calibri"/>
          <w:sz w:val="18"/>
          <w:szCs w:val="18"/>
        </w:rPr>
        <w:t>Počet subjektov</w:t>
      </w:r>
      <w:r w:rsidR="00871458">
        <w:rPr>
          <w:rFonts w:ascii="Calibri" w:hAnsi="Calibri"/>
          <w:sz w:val="18"/>
          <w:szCs w:val="18"/>
        </w:rPr>
        <w:t>,</w:t>
      </w:r>
      <w:r w:rsidRPr="009B6342">
        <w:rPr>
          <w:rFonts w:ascii="Calibri" w:hAnsi="Calibri"/>
          <w:sz w:val="18"/>
          <w:szCs w:val="18"/>
        </w:rPr>
        <w:t xml:space="preserve"> zapojených  do prieskumu</w:t>
      </w:r>
      <w:r w:rsidR="00871458">
        <w:rPr>
          <w:rFonts w:ascii="Calibri" w:hAnsi="Calibri"/>
          <w:sz w:val="18"/>
          <w:szCs w:val="18"/>
        </w:rPr>
        <w:t>,</w:t>
      </w:r>
      <w:r w:rsidRPr="009B6342">
        <w:rPr>
          <w:rFonts w:ascii="Calibri" w:hAnsi="Calibri"/>
          <w:sz w:val="18"/>
          <w:szCs w:val="18"/>
        </w:rPr>
        <w:t xml:space="preserve"> podľa rezortov</w:t>
      </w:r>
    </w:p>
    <w:p w:rsidR="00BD22B8" w:rsidRDefault="00BD22B8" w:rsidP="00BD22B8">
      <w:pPr>
        <w:jc w:val="both"/>
        <w:rPr>
          <w:rFonts w:ascii="Calibri" w:hAnsi="Calibri"/>
          <w:sz w:val="22"/>
          <w:szCs w:val="22"/>
        </w:rPr>
      </w:pPr>
    </w:p>
    <w:p w:rsidR="00BD22B8" w:rsidRPr="00984C3C" w:rsidRDefault="00871458" w:rsidP="00BD22B8">
      <w:pPr>
        <w:jc w:val="both"/>
      </w:pPr>
      <w:r w:rsidRPr="00984C3C">
        <w:t xml:space="preserve">Graf </w:t>
      </w:r>
      <w:r w:rsidR="00BD22B8" w:rsidRPr="00984C3C">
        <w:t>2 poskytuje prehľad o</w:t>
      </w:r>
      <w:r w:rsidRPr="00984C3C">
        <w:t> </w:t>
      </w:r>
      <w:r w:rsidR="00BD22B8" w:rsidRPr="00984C3C">
        <w:t>odpovediach</w:t>
      </w:r>
      <w:r w:rsidRPr="00984C3C">
        <w:t xml:space="preserve"> jednotlivých respondentov</w:t>
      </w:r>
      <w:r w:rsidR="00BD22B8" w:rsidRPr="00984C3C">
        <w:t>. Jednotlivé rezorty sú rozdelené podľa počtu inštitúcií, ktoré uplatnili GPP, počtu inštitúcií, ktoré GPP nerealizovali, počtu inštitúcií, ktoré nerealizovali verejné obstarávanie vôbec a počtu inštitúcií, ktoré nedoda</w:t>
      </w:r>
      <w:r w:rsidRPr="00984C3C">
        <w:t>li potrebné informácie do  vyhodnotenia</w:t>
      </w:r>
      <w:r w:rsidR="00BD22B8" w:rsidRPr="00984C3C">
        <w:t xml:space="preserve">. </w:t>
      </w:r>
    </w:p>
    <w:p w:rsidR="00BD22B8" w:rsidRDefault="00BD22B8" w:rsidP="00BD22B8">
      <w:pPr>
        <w:jc w:val="both"/>
        <w:rPr>
          <w:rFonts w:ascii="Calibri" w:hAnsi="Calibri"/>
          <w:sz w:val="22"/>
          <w:szCs w:val="22"/>
        </w:rPr>
      </w:pPr>
    </w:p>
    <w:p w:rsidR="00BD22B8" w:rsidRDefault="00BD22B8" w:rsidP="00BD22B8">
      <w:pPr>
        <w:rPr>
          <w:rFonts w:ascii="Calibri" w:hAnsi="Calibri"/>
          <w:sz w:val="18"/>
          <w:szCs w:val="18"/>
        </w:rPr>
      </w:pPr>
      <w:r>
        <w:rPr>
          <w:rFonts w:ascii="Calibri" w:hAnsi="Calibri" w:cs="Arial"/>
          <w:noProof/>
          <w:sz w:val="22"/>
          <w:szCs w:val="22"/>
        </w:rPr>
        <w:object w:dxaOrig="12617" w:dyaOrig="13501">
          <v:shape id="_x0000_i1026" type="#_x0000_t75" style="width:504.75pt;height:540pt" o:ole="">
            <v:imagedata r:id="rId11" o:title=""/>
          </v:shape>
          <o:OLEObject Type="Embed" ProgID="Excel.Sheet.12" ShapeID="_x0000_i1026" DrawAspect="Content" ObjectID="_1432618859" r:id="rId12"/>
        </w:object>
      </w:r>
      <w:r w:rsidRPr="00CE33BF">
        <w:rPr>
          <w:rFonts w:ascii="Calibri" w:hAnsi="Calibri"/>
          <w:sz w:val="18"/>
          <w:szCs w:val="18"/>
        </w:rPr>
        <w:t>Graf 2</w:t>
      </w:r>
      <w:r w:rsidR="00871458">
        <w:rPr>
          <w:rFonts w:ascii="Calibri" w:hAnsi="Calibri"/>
          <w:sz w:val="18"/>
          <w:szCs w:val="18"/>
        </w:rPr>
        <w:t xml:space="preserve">: </w:t>
      </w:r>
      <w:r w:rsidRPr="00CE33BF">
        <w:rPr>
          <w:rFonts w:ascii="Calibri" w:hAnsi="Calibri"/>
          <w:sz w:val="18"/>
          <w:szCs w:val="18"/>
        </w:rPr>
        <w:t xml:space="preserve"> Prehľad  odpovedí</w:t>
      </w:r>
      <w:r w:rsidR="00871458">
        <w:rPr>
          <w:rFonts w:ascii="Calibri" w:hAnsi="Calibri"/>
          <w:sz w:val="18"/>
          <w:szCs w:val="18"/>
        </w:rPr>
        <w:t xml:space="preserve"> respondentov</w:t>
      </w:r>
      <w:r w:rsidRPr="00CE33BF">
        <w:rPr>
          <w:rFonts w:ascii="Calibri" w:hAnsi="Calibri"/>
          <w:sz w:val="18"/>
          <w:szCs w:val="18"/>
        </w:rPr>
        <w:t xml:space="preserve"> dotazníkového prieskumu</w:t>
      </w:r>
    </w:p>
    <w:p w:rsidR="00BD22B8" w:rsidRDefault="00BD22B8" w:rsidP="00BD22B8">
      <w:pPr>
        <w:pStyle w:val="Nadpis1"/>
        <w:spacing w:before="0" w:after="0"/>
        <w:rPr>
          <w:rFonts w:ascii="Calibri" w:hAnsi="Calibri" w:cs="Times New Roman"/>
          <w:sz w:val="22"/>
          <w:szCs w:val="22"/>
        </w:rPr>
      </w:pPr>
      <w:bookmarkStart w:id="6" w:name="_Toc326050099"/>
    </w:p>
    <w:p w:rsidR="00BD22B8" w:rsidRPr="00984C3C" w:rsidRDefault="00BD22B8" w:rsidP="00BD22B8">
      <w:pPr>
        <w:pStyle w:val="Nadpis1"/>
        <w:spacing w:before="0" w:after="0"/>
        <w:rPr>
          <w:rFonts w:ascii="Times New Roman" w:hAnsi="Times New Roman" w:cs="Times New Roman"/>
          <w:sz w:val="24"/>
          <w:szCs w:val="24"/>
        </w:rPr>
      </w:pPr>
      <w:bookmarkStart w:id="7" w:name="_Toc355000154"/>
      <w:r w:rsidRPr="00984C3C">
        <w:rPr>
          <w:rFonts w:ascii="Times New Roman" w:hAnsi="Times New Roman" w:cs="Times New Roman"/>
          <w:sz w:val="24"/>
          <w:szCs w:val="24"/>
        </w:rPr>
        <w:t>Priemerná úroveň uplatňovania GPP v SR</w:t>
      </w:r>
      <w:bookmarkEnd w:id="6"/>
      <w:bookmarkEnd w:id="7"/>
    </w:p>
    <w:p w:rsidR="00BD22B8" w:rsidRPr="00984C3C" w:rsidRDefault="00BD22B8" w:rsidP="00BD22B8">
      <w:pPr>
        <w:jc w:val="both"/>
      </w:pPr>
    </w:p>
    <w:p w:rsidR="00BD22B8" w:rsidRPr="00984C3C" w:rsidRDefault="00BD22B8" w:rsidP="00BD22B8">
      <w:pPr>
        <w:jc w:val="both"/>
      </w:pPr>
      <w:r w:rsidRPr="00984C3C">
        <w:t>Do vyhodnotenia úrovne uplatňovanie GPP v SR boli zaradené len subjekty, ktoré uviedli aspoň základné údaje</w:t>
      </w:r>
      <w:r w:rsidR="00702E64" w:rsidRPr="00984C3C">
        <w:t>,</w:t>
      </w:r>
      <w:r w:rsidRPr="00984C3C">
        <w:t xml:space="preserve"> potrebné pre vyhodnotenie, t.j. celkový počet a celkovú hodnotu zrealizovaných zákaziek v sledovanom roku. V rámci monitorovania GPP v SR za rok 2012 </w:t>
      </w:r>
      <w:r w:rsidRPr="00984C3C">
        <w:lastRenderedPageBreak/>
        <w:t>bolo do vyhodnotenia zaradených 271 respondentov, ktorí zrealizovali celkovo 73 353 zákaziek v celkovej hodnote 621 089 187,26 EUR. V rámci týchto zákaziek bolo uskutočnených 43 370 zákaziek na dodanie tovaru v hodnote 168 124 987,99 EUR, 26 087 zákaziek na poskytnutie služby v hodnote 248 283 654,38 EUR a 3 896 zákaziek na uskutočnenie stavebných prác v hodnote 204 680 544,89 EUR. 17 respondentov nedodalo potrebné údaje a 4 subjekty nerealizovali v roku 2012 verejné obstarávanie, t.j. celkovo 21 subjektov, ktoré sa do prieskumu zapojilo, nebolo zaradených do vyhodnotenia plnenia NAP GPP II.</w:t>
      </w:r>
    </w:p>
    <w:p w:rsidR="00BD22B8" w:rsidRPr="00984C3C" w:rsidRDefault="00BD22B8" w:rsidP="00BD22B8">
      <w:pPr>
        <w:jc w:val="both"/>
      </w:pPr>
    </w:p>
    <w:p w:rsidR="00BD22B8" w:rsidRPr="00984C3C" w:rsidRDefault="00BD22B8" w:rsidP="00BD22B8">
      <w:pPr>
        <w:jc w:val="both"/>
      </w:pPr>
      <w:r w:rsidRPr="00984C3C">
        <w:t xml:space="preserve">Za zelenú zákazku je v rámci monitorovania GPP považovaná zákazka, uzatvorená zmluva alebo objednávka, pri ktorej bola požadovaná aspoň jedna environmentálna charakteristika. Pričom pod pojmom environmentálna charakteristika možno rozumieť technickú špecifikáciu, príp. vlastnosť výrobku, služby alebo stavebnej práce, ktorá znižuje negatívny </w:t>
      </w:r>
      <w:r w:rsidR="00702E64" w:rsidRPr="00984C3C">
        <w:t>vplyv</w:t>
      </w:r>
      <w:r w:rsidRPr="00984C3C">
        <w:t xml:space="preserve"> tohto výrobku, služby alebo stavebnej práce na životné prostredie. Vychádzajúc z európskych smerníc o verejnom obstarávaní (Smernica Európskeho parlamentu a Rady 2004/18/ES z 31. marca 2004 o koordinácii postupov zadávania verejných zákaziek na práce, verejných zákaziek na dodávku tovaru a verejných zákaziek na služby a Smernica Európskeho parlamentu a Rady 2004/17/ES z 31. marca 2004 o koordinácii postupov obstarávania subjektov pôsobiacich v odvetviach vodného hospodárstva, energetiky, dopravy a poštových služieb) a zákona č. 25/2006 Z. z. o verejnom obstarávaní a o zmene a doplnení niektorých zákonov v znení neskorších predpisov možno environmentálne charakteristiky využiť v priebehu celého procesu verejného obstarávania</w:t>
      </w:r>
      <w:r w:rsidR="00A47BBB" w:rsidRPr="00984C3C">
        <w:t xml:space="preserve"> (ďalej zákon o verejnom obstarávaní)</w:t>
      </w:r>
      <w:r w:rsidRPr="00984C3C">
        <w:t xml:space="preserve">. V roku 2012 uplatnilo princípy GPP začleňovaním environmentálnych charakteristík do verejného obstarávania 223 subjektov, čo predstavuje 82,3 % vyhodnocovaných inštitúcií a organizácií. 48 subjektov (17,7 %) nerealizovalo zelené verejné obstarávanie, ako </w:t>
      </w:r>
      <w:r w:rsidR="00702E64" w:rsidRPr="00984C3C">
        <w:t xml:space="preserve">dokumentuje  graf </w:t>
      </w:r>
      <w:r w:rsidRPr="00984C3C">
        <w:t>3.</w:t>
      </w:r>
    </w:p>
    <w:p w:rsidR="00BD22B8" w:rsidRDefault="00BD22B8" w:rsidP="00BD22B8">
      <w:pPr>
        <w:jc w:val="both"/>
        <w:rPr>
          <w:rFonts w:ascii="Calibri" w:hAnsi="Calibri"/>
          <w:sz w:val="22"/>
          <w:szCs w:val="22"/>
        </w:rPr>
      </w:pPr>
    </w:p>
    <w:p w:rsidR="00BD22B8" w:rsidRDefault="00BD22B8" w:rsidP="00BD22B8">
      <w:pPr>
        <w:jc w:val="center"/>
        <w:rPr>
          <w:rFonts w:ascii="Calibri" w:hAnsi="Calibri"/>
          <w:sz w:val="22"/>
          <w:szCs w:val="22"/>
        </w:rPr>
      </w:pPr>
      <w:r>
        <w:rPr>
          <w:rFonts w:ascii="Calibri" w:hAnsi="Calibri"/>
          <w:sz w:val="22"/>
          <w:szCs w:val="22"/>
        </w:rPr>
        <w:object w:dxaOrig="7218" w:dyaOrig="4530">
          <v:shape id="_x0000_i1027" type="#_x0000_t75" style="width:360.75pt;height:226.5pt" o:ole="">
            <v:imagedata r:id="rId13" o:title=""/>
          </v:shape>
          <o:OLEObject Type="Embed" ProgID="Excel.Sheet.12" ShapeID="_x0000_i1027" DrawAspect="Content" ObjectID="_1432618860" r:id="rId14"/>
        </w:object>
      </w:r>
    </w:p>
    <w:p w:rsidR="00BD22B8" w:rsidRDefault="00BD22B8" w:rsidP="00BD22B8">
      <w:pPr>
        <w:jc w:val="center"/>
        <w:rPr>
          <w:rFonts w:ascii="Calibri" w:hAnsi="Calibri"/>
          <w:noProof/>
          <w:sz w:val="18"/>
          <w:szCs w:val="18"/>
        </w:rPr>
      </w:pPr>
      <w:r w:rsidRPr="00E55465">
        <w:rPr>
          <w:rFonts w:ascii="Calibri" w:hAnsi="Calibri"/>
          <w:noProof/>
          <w:sz w:val="18"/>
          <w:szCs w:val="18"/>
        </w:rPr>
        <w:t>Graf 3</w:t>
      </w:r>
      <w:r w:rsidR="00702E64">
        <w:rPr>
          <w:rFonts w:ascii="Calibri" w:hAnsi="Calibri"/>
          <w:noProof/>
          <w:sz w:val="18"/>
          <w:szCs w:val="18"/>
        </w:rPr>
        <w:t xml:space="preserve">: </w:t>
      </w:r>
      <w:r w:rsidRPr="00E55465">
        <w:rPr>
          <w:rFonts w:ascii="Calibri" w:hAnsi="Calibri"/>
          <w:noProof/>
          <w:sz w:val="18"/>
          <w:szCs w:val="18"/>
        </w:rPr>
        <w:t xml:space="preserve"> Percentuálny podiel uplatnen</w:t>
      </w:r>
      <w:r w:rsidR="00702E64">
        <w:rPr>
          <w:rFonts w:ascii="Calibri" w:hAnsi="Calibri"/>
          <w:noProof/>
          <w:sz w:val="18"/>
          <w:szCs w:val="18"/>
        </w:rPr>
        <w:t xml:space="preserve">ých </w:t>
      </w:r>
      <w:r w:rsidRPr="00E55465">
        <w:rPr>
          <w:rFonts w:ascii="Calibri" w:hAnsi="Calibri"/>
          <w:noProof/>
          <w:sz w:val="18"/>
          <w:szCs w:val="18"/>
        </w:rPr>
        <w:t xml:space="preserve"> environmentálnych charakteristík vo verejnom obstarávaní</w:t>
      </w:r>
    </w:p>
    <w:p w:rsidR="00BD22B8" w:rsidRDefault="00BD22B8" w:rsidP="00BD22B8">
      <w:pPr>
        <w:jc w:val="both"/>
      </w:pPr>
    </w:p>
    <w:p w:rsidR="00BD22B8" w:rsidRPr="00984C3C" w:rsidRDefault="00BD22B8" w:rsidP="00BD22B8">
      <w:pPr>
        <w:jc w:val="both"/>
      </w:pPr>
      <w:r w:rsidRPr="00984C3C">
        <w:lastRenderedPageBreak/>
        <w:t xml:space="preserve">S uplatnením environmentálnych charakteristík </w:t>
      </w:r>
      <w:r w:rsidR="00702E64" w:rsidRPr="00984C3C">
        <w:t xml:space="preserve">sa v roku 2012 </w:t>
      </w:r>
      <w:r w:rsidRPr="00984C3C">
        <w:t xml:space="preserve"> zrealizova</w:t>
      </w:r>
      <w:r w:rsidR="00702E64" w:rsidRPr="00984C3C">
        <w:t>lo</w:t>
      </w:r>
      <w:r w:rsidRPr="00984C3C">
        <w:t xml:space="preserve"> </w:t>
      </w:r>
      <w:r w:rsidR="00702E64" w:rsidRPr="00984C3C">
        <w:t>spolu</w:t>
      </w:r>
      <w:r w:rsidRPr="00984C3C">
        <w:t xml:space="preserve"> 3 673 zákaziek v celkovej hodnote 128 040 145,01 EUR. V rámci týchto zákaziek bolo uskutočnených 1 205 zelených zákaziek na dodanie tovaru v hodnote 5 828 105,52 EUR, 1 599 zelených zákaziek na poskytnutie služby v hodnote 18 286 444,72 EUR a 869 zelených zákaziek na uskutočnenie stavebných prác v hodnote 103 925 594,77</w:t>
      </w:r>
      <w:r w:rsidR="00702E64" w:rsidRPr="00984C3C">
        <w:t xml:space="preserve"> EUR. Tabuľka </w:t>
      </w:r>
      <w:r w:rsidRPr="00984C3C">
        <w:t xml:space="preserve"> 3 porovnáva celkový počet a celkovú hodnotu zákaziek</w:t>
      </w:r>
      <w:r w:rsidR="00702E64" w:rsidRPr="00984C3C">
        <w:t>,</w:t>
      </w:r>
      <w:r w:rsidRPr="00984C3C">
        <w:t xml:space="preserve"> realizovaných v roku 2012 vo väzbe na predmet zákazky s celkovým počtom a hodnotou realizovaných zelených zákaziek. </w:t>
      </w:r>
    </w:p>
    <w:p w:rsidR="00BD22B8" w:rsidRDefault="00BD22B8" w:rsidP="00BD22B8">
      <w:pPr>
        <w:jc w:val="both"/>
        <w:rPr>
          <w:rFonts w:ascii="Calibri" w:hAnsi="Calibri"/>
          <w:sz w:val="22"/>
          <w:szCs w:val="22"/>
        </w:rPr>
      </w:pPr>
    </w:p>
    <w:p w:rsidR="00BD22B8" w:rsidRDefault="00702E64" w:rsidP="00BD22B8">
      <w:pPr>
        <w:ind w:hanging="142"/>
        <w:rPr>
          <w:rFonts w:ascii="Calibri" w:hAnsi="Calibri"/>
          <w:sz w:val="18"/>
          <w:szCs w:val="18"/>
        </w:rPr>
      </w:pPr>
      <w:r>
        <w:rPr>
          <w:rFonts w:ascii="Calibri" w:hAnsi="Calibri"/>
          <w:sz w:val="18"/>
          <w:szCs w:val="18"/>
        </w:rPr>
        <w:t>Tabuľka</w:t>
      </w:r>
      <w:r w:rsidR="00BD22B8" w:rsidRPr="00FD2EC2">
        <w:rPr>
          <w:rFonts w:ascii="Calibri" w:hAnsi="Calibri"/>
          <w:sz w:val="18"/>
          <w:szCs w:val="18"/>
        </w:rPr>
        <w:t xml:space="preserve"> 3</w:t>
      </w:r>
      <w:r>
        <w:rPr>
          <w:rFonts w:ascii="Calibri" w:hAnsi="Calibri"/>
          <w:sz w:val="18"/>
          <w:szCs w:val="18"/>
        </w:rPr>
        <w:t xml:space="preserve">: </w:t>
      </w:r>
      <w:r w:rsidR="00BD22B8" w:rsidRPr="00FD2EC2">
        <w:rPr>
          <w:rFonts w:ascii="Calibri" w:hAnsi="Calibri"/>
          <w:sz w:val="18"/>
          <w:szCs w:val="18"/>
        </w:rPr>
        <w:t xml:space="preserve"> Celkový počet a celková hodnota realizovaných zákaziek vo väzbe na predmet zákazky</w:t>
      </w:r>
    </w:p>
    <w:p w:rsidR="00A47BBB" w:rsidRPr="00FD2EC2" w:rsidRDefault="00A47BBB" w:rsidP="00BD22B8">
      <w:pPr>
        <w:ind w:hanging="142"/>
        <w:rPr>
          <w:rFonts w:ascii="Calibri" w:hAnsi="Calibri"/>
          <w:sz w:val="18"/>
          <w:szCs w:val="18"/>
        </w:rPr>
      </w:pPr>
    </w:p>
    <w:tbl>
      <w:tblPr>
        <w:tblW w:w="939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446"/>
        <w:gridCol w:w="1198"/>
        <w:gridCol w:w="1134"/>
        <w:gridCol w:w="1896"/>
        <w:gridCol w:w="1716"/>
      </w:tblGrid>
      <w:tr w:rsidR="00BD22B8" w:rsidRPr="00FD2EC2" w:rsidTr="00FE5629">
        <w:trPr>
          <w:jc w:val="center"/>
        </w:trPr>
        <w:tc>
          <w:tcPr>
            <w:tcW w:w="3446" w:type="dxa"/>
            <w:tcBorders>
              <w:top w:val="double" w:sz="4" w:space="0" w:color="auto"/>
              <w:bottom w:val="single" w:sz="6" w:space="0" w:color="auto"/>
            </w:tcBorders>
            <w:shd w:val="pct20" w:color="auto" w:fill="auto"/>
            <w:vAlign w:val="center"/>
          </w:tcPr>
          <w:p w:rsidR="00BD22B8" w:rsidRPr="00FD2EC2" w:rsidRDefault="00BD22B8" w:rsidP="00FE5629">
            <w:pPr>
              <w:jc w:val="center"/>
              <w:rPr>
                <w:rFonts w:ascii="Calibri" w:hAnsi="Calibri"/>
                <w:b/>
                <w:sz w:val="22"/>
                <w:szCs w:val="22"/>
              </w:rPr>
            </w:pPr>
            <w:r w:rsidRPr="00FD2EC2">
              <w:rPr>
                <w:rFonts w:ascii="Calibri" w:hAnsi="Calibri"/>
                <w:b/>
                <w:sz w:val="22"/>
                <w:szCs w:val="22"/>
              </w:rPr>
              <w:t>Predmet zákazky</w:t>
            </w:r>
          </w:p>
        </w:tc>
        <w:tc>
          <w:tcPr>
            <w:tcW w:w="1198" w:type="dxa"/>
            <w:tcBorders>
              <w:top w:val="double" w:sz="4" w:space="0" w:color="auto"/>
              <w:bottom w:val="single" w:sz="6" w:space="0" w:color="auto"/>
            </w:tcBorders>
            <w:shd w:val="pct20" w:color="auto" w:fill="FFFFFF"/>
          </w:tcPr>
          <w:p w:rsidR="00BD22B8" w:rsidRPr="00FD2EC2" w:rsidRDefault="00BD22B8" w:rsidP="00FE5629">
            <w:pPr>
              <w:jc w:val="center"/>
              <w:rPr>
                <w:rFonts w:ascii="Calibri" w:hAnsi="Calibri"/>
                <w:b/>
                <w:sz w:val="22"/>
                <w:szCs w:val="22"/>
              </w:rPr>
            </w:pPr>
            <w:r w:rsidRPr="00FD2EC2">
              <w:rPr>
                <w:rFonts w:ascii="Calibri" w:hAnsi="Calibri"/>
                <w:b/>
                <w:sz w:val="22"/>
                <w:szCs w:val="22"/>
              </w:rPr>
              <w:t>Počet všetkých zákaziek</w:t>
            </w:r>
          </w:p>
        </w:tc>
        <w:tc>
          <w:tcPr>
            <w:tcW w:w="1134" w:type="dxa"/>
            <w:tcBorders>
              <w:top w:val="double" w:sz="4" w:space="0" w:color="auto"/>
              <w:bottom w:val="single" w:sz="6" w:space="0" w:color="auto"/>
            </w:tcBorders>
            <w:shd w:val="pct20" w:color="auto" w:fill="FFFFFF"/>
          </w:tcPr>
          <w:p w:rsidR="00BD22B8" w:rsidRPr="00FD2EC2" w:rsidRDefault="00BD22B8" w:rsidP="00FE5629">
            <w:pPr>
              <w:jc w:val="center"/>
              <w:rPr>
                <w:rFonts w:ascii="Calibri" w:hAnsi="Calibri"/>
                <w:b/>
                <w:sz w:val="22"/>
                <w:szCs w:val="22"/>
              </w:rPr>
            </w:pPr>
            <w:r w:rsidRPr="00FD2EC2">
              <w:rPr>
                <w:rFonts w:ascii="Calibri" w:hAnsi="Calibri"/>
                <w:b/>
                <w:sz w:val="22"/>
                <w:szCs w:val="22"/>
              </w:rPr>
              <w:t>Počet zelených zákaziek</w:t>
            </w:r>
          </w:p>
        </w:tc>
        <w:tc>
          <w:tcPr>
            <w:tcW w:w="1896" w:type="dxa"/>
            <w:tcBorders>
              <w:top w:val="double" w:sz="4" w:space="0" w:color="auto"/>
              <w:bottom w:val="single" w:sz="6" w:space="0" w:color="auto"/>
            </w:tcBorders>
            <w:shd w:val="pct20" w:color="auto" w:fill="FFFFFF"/>
          </w:tcPr>
          <w:p w:rsidR="00BD22B8" w:rsidRPr="00FD2EC2" w:rsidRDefault="00BD22B8" w:rsidP="00FE5629">
            <w:pPr>
              <w:jc w:val="center"/>
              <w:rPr>
                <w:rFonts w:ascii="Calibri" w:hAnsi="Calibri"/>
                <w:b/>
                <w:sz w:val="22"/>
                <w:szCs w:val="22"/>
              </w:rPr>
            </w:pPr>
            <w:r w:rsidRPr="00FD2EC2">
              <w:rPr>
                <w:rFonts w:ascii="Calibri" w:hAnsi="Calibri"/>
                <w:b/>
                <w:sz w:val="22"/>
                <w:szCs w:val="22"/>
              </w:rPr>
              <w:t xml:space="preserve">Hodnota všetkých zákaziek </w:t>
            </w:r>
          </w:p>
          <w:p w:rsidR="00BD22B8" w:rsidRPr="00FD2EC2" w:rsidRDefault="00BD22B8" w:rsidP="00FE5629">
            <w:pPr>
              <w:jc w:val="center"/>
              <w:rPr>
                <w:rFonts w:ascii="Calibri" w:hAnsi="Calibri"/>
                <w:b/>
                <w:sz w:val="22"/>
                <w:szCs w:val="22"/>
                <w:lang w:val="en-US"/>
              </w:rPr>
            </w:pPr>
            <w:r w:rsidRPr="00FD2EC2">
              <w:rPr>
                <w:rFonts w:ascii="Calibri" w:hAnsi="Calibri"/>
                <w:b/>
                <w:sz w:val="22"/>
                <w:szCs w:val="22"/>
                <w:lang w:val="en-US"/>
              </w:rPr>
              <w:t>[EUR]</w:t>
            </w:r>
          </w:p>
        </w:tc>
        <w:tc>
          <w:tcPr>
            <w:tcW w:w="1716" w:type="dxa"/>
            <w:tcBorders>
              <w:top w:val="double" w:sz="4" w:space="0" w:color="auto"/>
              <w:bottom w:val="single" w:sz="6" w:space="0" w:color="auto"/>
            </w:tcBorders>
            <w:shd w:val="pct20" w:color="auto" w:fill="FFFFFF"/>
          </w:tcPr>
          <w:p w:rsidR="00BD22B8" w:rsidRPr="00FD2EC2" w:rsidRDefault="00BD22B8" w:rsidP="00FE5629">
            <w:pPr>
              <w:jc w:val="center"/>
              <w:rPr>
                <w:rFonts w:ascii="Calibri" w:hAnsi="Calibri"/>
                <w:b/>
                <w:sz w:val="22"/>
                <w:szCs w:val="22"/>
              </w:rPr>
            </w:pPr>
            <w:r w:rsidRPr="00FD2EC2">
              <w:rPr>
                <w:rFonts w:ascii="Calibri" w:hAnsi="Calibri"/>
                <w:b/>
                <w:sz w:val="22"/>
                <w:szCs w:val="22"/>
              </w:rPr>
              <w:t>Hodnota zelených zákaziek [EUR]</w:t>
            </w:r>
          </w:p>
        </w:tc>
      </w:tr>
      <w:tr w:rsidR="00BD22B8" w:rsidRPr="00FD2EC2" w:rsidTr="00FE5629">
        <w:trPr>
          <w:jc w:val="center"/>
        </w:trPr>
        <w:tc>
          <w:tcPr>
            <w:tcW w:w="3446" w:type="dxa"/>
            <w:tcBorders>
              <w:top w:val="single" w:sz="6" w:space="0" w:color="auto"/>
              <w:bottom w:val="single" w:sz="6" w:space="0" w:color="auto"/>
            </w:tcBorders>
            <w:shd w:val="clear" w:color="auto" w:fill="FFFFFF"/>
          </w:tcPr>
          <w:p w:rsidR="00BD22B8" w:rsidRPr="00FD2EC2" w:rsidRDefault="00BD22B8" w:rsidP="00FE5629">
            <w:pPr>
              <w:rPr>
                <w:rFonts w:ascii="Calibri" w:hAnsi="Calibri"/>
                <w:sz w:val="22"/>
                <w:szCs w:val="22"/>
              </w:rPr>
            </w:pPr>
            <w:r w:rsidRPr="00FD2EC2">
              <w:rPr>
                <w:rFonts w:ascii="Calibri" w:hAnsi="Calibri"/>
                <w:sz w:val="22"/>
                <w:szCs w:val="22"/>
              </w:rPr>
              <w:t>Dodanie tovaru</w:t>
            </w:r>
          </w:p>
        </w:tc>
        <w:tc>
          <w:tcPr>
            <w:tcW w:w="1198" w:type="dxa"/>
            <w:tcBorders>
              <w:top w:val="single" w:sz="6" w:space="0" w:color="auto"/>
            </w:tcBorders>
          </w:tcPr>
          <w:p w:rsidR="00BD22B8" w:rsidRPr="00FD2EC2" w:rsidRDefault="00BD22B8" w:rsidP="00FE5629">
            <w:pPr>
              <w:jc w:val="right"/>
              <w:rPr>
                <w:rFonts w:ascii="Calibri" w:hAnsi="Calibri"/>
                <w:sz w:val="22"/>
                <w:szCs w:val="22"/>
              </w:rPr>
            </w:pPr>
            <w:r>
              <w:rPr>
                <w:rFonts w:ascii="Calibri" w:hAnsi="Calibri"/>
                <w:sz w:val="22"/>
                <w:szCs w:val="22"/>
              </w:rPr>
              <w:t>43 370</w:t>
            </w:r>
          </w:p>
        </w:tc>
        <w:tc>
          <w:tcPr>
            <w:tcW w:w="1134" w:type="dxa"/>
            <w:tcBorders>
              <w:top w:val="single" w:sz="6" w:space="0" w:color="auto"/>
            </w:tcBorders>
          </w:tcPr>
          <w:p w:rsidR="00BD22B8" w:rsidRPr="00FD2EC2" w:rsidRDefault="00BD22B8" w:rsidP="00FE5629">
            <w:pPr>
              <w:jc w:val="right"/>
              <w:rPr>
                <w:rFonts w:ascii="Calibri" w:hAnsi="Calibri"/>
                <w:sz w:val="22"/>
                <w:szCs w:val="22"/>
              </w:rPr>
            </w:pPr>
            <w:r>
              <w:rPr>
                <w:rFonts w:ascii="Calibri" w:hAnsi="Calibri"/>
                <w:sz w:val="22"/>
                <w:szCs w:val="22"/>
              </w:rPr>
              <w:t>1 205</w:t>
            </w:r>
          </w:p>
        </w:tc>
        <w:tc>
          <w:tcPr>
            <w:tcW w:w="1896" w:type="dxa"/>
            <w:tcBorders>
              <w:top w:val="single" w:sz="6" w:space="0" w:color="auto"/>
            </w:tcBorders>
          </w:tcPr>
          <w:p w:rsidR="00BD22B8" w:rsidRPr="00FD2EC2" w:rsidRDefault="00BD22B8" w:rsidP="00FE5629">
            <w:pPr>
              <w:jc w:val="right"/>
              <w:rPr>
                <w:rFonts w:ascii="Calibri" w:hAnsi="Calibri"/>
                <w:sz w:val="22"/>
                <w:szCs w:val="22"/>
              </w:rPr>
            </w:pPr>
            <w:r>
              <w:rPr>
                <w:rFonts w:ascii="Calibri" w:hAnsi="Calibri"/>
                <w:sz w:val="22"/>
                <w:szCs w:val="22"/>
              </w:rPr>
              <w:t>168 124 987,99</w:t>
            </w:r>
          </w:p>
        </w:tc>
        <w:tc>
          <w:tcPr>
            <w:tcW w:w="1716" w:type="dxa"/>
            <w:tcBorders>
              <w:top w:val="single" w:sz="6" w:space="0" w:color="auto"/>
            </w:tcBorders>
          </w:tcPr>
          <w:p w:rsidR="00BD22B8" w:rsidRPr="00FD2EC2" w:rsidRDefault="00BD22B8" w:rsidP="00FE5629">
            <w:pPr>
              <w:jc w:val="right"/>
              <w:rPr>
                <w:rFonts w:ascii="Calibri" w:hAnsi="Calibri"/>
                <w:sz w:val="22"/>
                <w:szCs w:val="22"/>
              </w:rPr>
            </w:pPr>
            <w:r>
              <w:rPr>
                <w:rFonts w:ascii="Calibri" w:hAnsi="Calibri"/>
                <w:sz w:val="22"/>
                <w:szCs w:val="22"/>
              </w:rPr>
              <w:t>5 828 105,52</w:t>
            </w:r>
          </w:p>
        </w:tc>
      </w:tr>
      <w:tr w:rsidR="00BD22B8" w:rsidRPr="00FD2EC2" w:rsidTr="00FE5629">
        <w:trPr>
          <w:jc w:val="center"/>
        </w:trPr>
        <w:tc>
          <w:tcPr>
            <w:tcW w:w="3446" w:type="dxa"/>
            <w:tcBorders>
              <w:top w:val="single" w:sz="6" w:space="0" w:color="auto"/>
              <w:bottom w:val="single" w:sz="6" w:space="0" w:color="auto"/>
            </w:tcBorders>
            <w:shd w:val="clear" w:color="auto" w:fill="FFFFFF"/>
          </w:tcPr>
          <w:p w:rsidR="00BD22B8" w:rsidRPr="00FD2EC2" w:rsidRDefault="00BD22B8" w:rsidP="00FE5629">
            <w:pPr>
              <w:rPr>
                <w:rFonts w:ascii="Calibri" w:hAnsi="Calibri"/>
                <w:sz w:val="22"/>
                <w:szCs w:val="22"/>
              </w:rPr>
            </w:pPr>
            <w:r w:rsidRPr="00FD2EC2">
              <w:rPr>
                <w:rFonts w:ascii="Calibri" w:hAnsi="Calibri"/>
                <w:sz w:val="22"/>
                <w:szCs w:val="22"/>
              </w:rPr>
              <w:t>Poskytnutie služby</w:t>
            </w:r>
          </w:p>
        </w:tc>
        <w:tc>
          <w:tcPr>
            <w:tcW w:w="1198" w:type="dxa"/>
          </w:tcPr>
          <w:p w:rsidR="00BD22B8" w:rsidRPr="00FD2EC2" w:rsidRDefault="00BD22B8" w:rsidP="00FE5629">
            <w:pPr>
              <w:jc w:val="right"/>
              <w:rPr>
                <w:rFonts w:ascii="Calibri" w:hAnsi="Calibri"/>
                <w:sz w:val="22"/>
                <w:szCs w:val="22"/>
              </w:rPr>
            </w:pPr>
            <w:r>
              <w:rPr>
                <w:rFonts w:ascii="Calibri" w:hAnsi="Calibri"/>
                <w:sz w:val="22"/>
                <w:szCs w:val="22"/>
              </w:rPr>
              <w:t>26 087</w:t>
            </w:r>
          </w:p>
        </w:tc>
        <w:tc>
          <w:tcPr>
            <w:tcW w:w="1134" w:type="dxa"/>
          </w:tcPr>
          <w:p w:rsidR="00BD22B8" w:rsidRPr="00FD2EC2" w:rsidRDefault="00BD22B8" w:rsidP="00FE5629">
            <w:pPr>
              <w:jc w:val="right"/>
              <w:rPr>
                <w:rFonts w:ascii="Calibri" w:hAnsi="Calibri"/>
                <w:sz w:val="22"/>
                <w:szCs w:val="22"/>
              </w:rPr>
            </w:pPr>
            <w:r>
              <w:rPr>
                <w:rFonts w:ascii="Calibri" w:hAnsi="Calibri"/>
                <w:sz w:val="22"/>
                <w:szCs w:val="22"/>
              </w:rPr>
              <w:t>1 599</w:t>
            </w:r>
          </w:p>
        </w:tc>
        <w:tc>
          <w:tcPr>
            <w:tcW w:w="1896" w:type="dxa"/>
          </w:tcPr>
          <w:p w:rsidR="00BD22B8" w:rsidRPr="00FD2EC2" w:rsidRDefault="00BD22B8" w:rsidP="00FE5629">
            <w:pPr>
              <w:jc w:val="right"/>
              <w:rPr>
                <w:rFonts w:ascii="Calibri" w:hAnsi="Calibri"/>
                <w:sz w:val="22"/>
                <w:szCs w:val="22"/>
              </w:rPr>
            </w:pPr>
            <w:r>
              <w:rPr>
                <w:rFonts w:ascii="Calibri" w:hAnsi="Calibri"/>
                <w:sz w:val="22"/>
                <w:szCs w:val="22"/>
              </w:rPr>
              <w:t>248 283 654,38</w:t>
            </w:r>
          </w:p>
        </w:tc>
        <w:tc>
          <w:tcPr>
            <w:tcW w:w="1716" w:type="dxa"/>
          </w:tcPr>
          <w:p w:rsidR="00BD22B8" w:rsidRPr="00FD2EC2" w:rsidRDefault="00BD22B8" w:rsidP="00FE5629">
            <w:pPr>
              <w:jc w:val="right"/>
              <w:rPr>
                <w:rFonts w:ascii="Calibri" w:hAnsi="Calibri"/>
                <w:sz w:val="22"/>
                <w:szCs w:val="22"/>
              </w:rPr>
            </w:pPr>
            <w:r>
              <w:rPr>
                <w:rFonts w:ascii="Calibri" w:hAnsi="Calibri"/>
                <w:sz w:val="22"/>
                <w:szCs w:val="22"/>
              </w:rPr>
              <w:t>18 286 444,72</w:t>
            </w:r>
          </w:p>
        </w:tc>
      </w:tr>
      <w:tr w:rsidR="00BD22B8" w:rsidRPr="00FD2EC2" w:rsidTr="00FE5629">
        <w:trPr>
          <w:jc w:val="center"/>
        </w:trPr>
        <w:tc>
          <w:tcPr>
            <w:tcW w:w="3446" w:type="dxa"/>
            <w:tcBorders>
              <w:top w:val="single" w:sz="6" w:space="0" w:color="auto"/>
              <w:bottom w:val="single" w:sz="6" w:space="0" w:color="auto"/>
            </w:tcBorders>
            <w:shd w:val="clear" w:color="auto" w:fill="FFFFFF"/>
          </w:tcPr>
          <w:p w:rsidR="00BD22B8" w:rsidRPr="00FD2EC2" w:rsidRDefault="00BD22B8" w:rsidP="00FE5629">
            <w:pPr>
              <w:rPr>
                <w:rFonts w:ascii="Calibri" w:hAnsi="Calibri"/>
                <w:sz w:val="22"/>
                <w:szCs w:val="22"/>
              </w:rPr>
            </w:pPr>
            <w:r w:rsidRPr="00FD2EC2">
              <w:rPr>
                <w:rFonts w:ascii="Calibri" w:hAnsi="Calibri"/>
                <w:sz w:val="22"/>
                <w:szCs w:val="22"/>
              </w:rPr>
              <w:t>Uskutočnenie stavebných prác</w:t>
            </w:r>
          </w:p>
        </w:tc>
        <w:tc>
          <w:tcPr>
            <w:tcW w:w="1198" w:type="dxa"/>
            <w:tcBorders>
              <w:bottom w:val="single" w:sz="6" w:space="0" w:color="auto"/>
            </w:tcBorders>
          </w:tcPr>
          <w:p w:rsidR="00BD22B8" w:rsidRPr="00FD2EC2" w:rsidRDefault="00BD22B8" w:rsidP="00FE5629">
            <w:pPr>
              <w:jc w:val="right"/>
              <w:rPr>
                <w:rFonts w:ascii="Calibri" w:hAnsi="Calibri"/>
                <w:sz w:val="22"/>
                <w:szCs w:val="22"/>
              </w:rPr>
            </w:pPr>
            <w:r>
              <w:rPr>
                <w:rFonts w:ascii="Calibri" w:hAnsi="Calibri"/>
                <w:sz w:val="22"/>
                <w:szCs w:val="22"/>
              </w:rPr>
              <w:t>3 896</w:t>
            </w:r>
          </w:p>
        </w:tc>
        <w:tc>
          <w:tcPr>
            <w:tcW w:w="1134" w:type="dxa"/>
            <w:tcBorders>
              <w:bottom w:val="single" w:sz="6" w:space="0" w:color="auto"/>
            </w:tcBorders>
          </w:tcPr>
          <w:p w:rsidR="00BD22B8" w:rsidRPr="00FD2EC2" w:rsidRDefault="00BD22B8" w:rsidP="00FE5629">
            <w:pPr>
              <w:jc w:val="right"/>
              <w:rPr>
                <w:rFonts w:ascii="Calibri" w:hAnsi="Calibri"/>
                <w:sz w:val="22"/>
                <w:szCs w:val="22"/>
              </w:rPr>
            </w:pPr>
            <w:r>
              <w:rPr>
                <w:rFonts w:ascii="Calibri" w:hAnsi="Calibri"/>
                <w:sz w:val="22"/>
                <w:szCs w:val="22"/>
              </w:rPr>
              <w:t>869</w:t>
            </w:r>
          </w:p>
        </w:tc>
        <w:tc>
          <w:tcPr>
            <w:tcW w:w="1896" w:type="dxa"/>
            <w:tcBorders>
              <w:bottom w:val="single" w:sz="6" w:space="0" w:color="auto"/>
            </w:tcBorders>
          </w:tcPr>
          <w:p w:rsidR="00BD22B8" w:rsidRPr="00FD2EC2" w:rsidRDefault="00BD22B8" w:rsidP="00FE5629">
            <w:pPr>
              <w:jc w:val="right"/>
              <w:rPr>
                <w:rFonts w:ascii="Calibri" w:hAnsi="Calibri"/>
                <w:sz w:val="22"/>
                <w:szCs w:val="22"/>
              </w:rPr>
            </w:pPr>
            <w:r>
              <w:rPr>
                <w:rFonts w:ascii="Calibri" w:hAnsi="Calibri"/>
                <w:sz w:val="22"/>
                <w:szCs w:val="22"/>
              </w:rPr>
              <w:t>204 680 544,89</w:t>
            </w:r>
          </w:p>
        </w:tc>
        <w:tc>
          <w:tcPr>
            <w:tcW w:w="1716" w:type="dxa"/>
            <w:tcBorders>
              <w:bottom w:val="single" w:sz="6" w:space="0" w:color="auto"/>
            </w:tcBorders>
          </w:tcPr>
          <w:p w:rsidR="00BD22B8" w:rsidRPr="00FD2EC2" w:rsidRDefault="00BD22B8" w:rsidP="00FE5629">
            <w:pPr>
              <w:jc w:val="right"/>
              <w:rPr>
                <w:rFonts w:ascii="Calibri" w:hAnsi="Calibri"/>
                <w:sz w:val="22"/>
                <w:szCs w:val="22"/>
              </w:rPr>
            </w:pPr>
            <w:r>
              <w:rPr>
                <w:rFonts w:ascii="Calibri" w:hAnsi="Calibri"/>
                <w:sz w:val="22"/>
                <w:szCs w:val="22"/>
              </w:rPr>
              <w:t>103 925 594,77</w:t>
            </w:r>
          </w:p>
        </w:tc>
      </w:tr>
      <w:tr w:rsidR="00BD22B8" w:rsidRPr="00FD2EC2" w:rsidTr="00FE5629">
        <w:trPr>
          <w:jc w:val="center"/>
        </w:trPr>
        <w:tc>
          <w:tcPr>
            <w:tcW w:w="3446" w:type="dxa"/>
            <w:tcBorders>
              <w:top w:val="single" w:sz="6" w:space="0" w:color="auto"/>
              <w:bottom w:val="double" w:sz="4" w:space="0" w:color="auto"/>
            </w:tcBorders>
            <w:shd w:val="clear" w:color="auto" w:fill="FFFFFF"/>
          </w:tcPr>
          <w:p w:rsidR="00BD22B8" w:rsidRPr="00FD2EC2" w:rsidRDefault="00BD22B8" w:rsidP="00FE5629">
            <w:pPr>
              <w:jc w:val="both"/>
              <w:rPr>
                <w:rFonts w:ascii="Calibri" w:hAnsi="Calibri"/>
                <w:b/>
                <w:sz w:val="22"/>
                <w:szCs w:val="22"/>
              </w:rPr>
            </w:pPr>
            <w:r w:rsidRPr="00FD2EC2">
              <w:rPr>
                <w:rFonts w:ascii="Calibri" w:hAnsi="Calibri"/>
                <w:b/>
                <w:sz w:val="22"/>
                <w:szCs w:val="22"/>
              </w:rPr>
              <w:t>Spolu</w:t>
            </w:r>
          </w:p>
        </w:tc>
        <w:tc>
          <w:tcPr>
            <w:tcW w:w="1198" w:type="dxa"/>
            <w:tcBorders>
              <w:top w:val="single" w:sz="6" w:space="0" w:color="auto"/>
              <w:bottom w:val="double" w:sz="4" w:space="0" w:color="auto"/>
            </w:tcBorders>
            <w:shd w:val="clear" w:color="auto" w:fill="FFFFFF"/>
          </w:tcPr>
          <w:p w:rsidR="00BD22B8" w:rsidRPr="00FD2EC2" w:rsidRDefault="00BD22B8" w:rsidP="00FE5629">
            <w:pPr>
              <w:jc w:val="right"/>
              <w:rPr>
                <w:rFonts w:ascii="Calibri" w:hAnsi="Calibri"/>
                <w:b/>
                <w:sz w:val="22"/>
                <w:szCs w:val="22"/>
              </w:rPr>
            </w:pPr>
            <w:r>
              <w:rPr>
                <w:rFonts w:ascii="Calibri" w:hAnsi="Calibri"/>
                <w:b/>
                <w:sz w:val="22"/>
                <w:szCs w:val="22"/>
              </w:rPr>
              <w:t>73 353</w:t>
            </w:r>
          </w:p>
        </w:tc>
        <w:tc>
          <w:tcPr>
            <w:tcW w:w="1134" w:type="dxa"/>
            <w:tcBorders>
              <w:top w:val="single" w:sz="6" w:space="0" w:color="auto"/>
              <w:bottom w:val="double" w:sz="4" w:space="0" w:color="auto"/>
            </w:tcBorders>
            <w:shd w:val="clear" w:color="auto" w:fill="FFFFFF"/>
          </w:tcPr>
          <w:p w:rsidR="00BD22B8" w:rsidRPr="00FD2EC2" w:rsidRDefault="00BD22B8" w:rsidP="00FE5629">
            <w:pPr>
              <w:jc w:val="right"/>
              <w:rPr>
                <w:rFonts w:ascii="Calibri" w:hAnsi="Calibri"/>
                <w:b/>
                <w:sz w:val="22"/>
                <w:szCs w:val="22"/>
              </w:rPr>
            </w:pPr>
            <w:r>
              <w:rPr>
                <w:rFonts w:ascii="Calibri" w:hAnsi="Calibri"/>
                <w:b/>
                <w:sz w:val="22"/>
                <w:szCs w:val="22"/>
              </w:rPr>
              <w:t>3 673</w:t>
            </w:r>
          </w:p>
        </w:tc>
        <w:tc>
          <w:tcPr>
            <w:tcW w:w="1896" w:type="dxa"/>
            <w:tcBorders>
              <w:top w:val="single" w:sz="6" w:space="0" w:color="auto"/>
              <w:bottom w:val="double" w:sz="4" w:space="0" w:color="auto"/>
            </w:tcBorders>
            <w:shd w:val="clear" w:color="auto" w:fill="FFFFFF"/>
          </w:tcPr>
          <w:p w:rsidR="00BD22B8" w:rsidRPr="00FD2EC2" w:rsidRDefault="00BD22B8" w:rsidP="00FE5629">
            <w:pPr>
              <w:jc w:val="right"/>
              <w:rPr>
                <w:rFonts w:ascii="Calibri" w:hAnsi="Calibri"/>
                <w:b/>
                <w:sz w:val="22"/>
                <w:szCs w:val="22"/>
              </w:rPr>
            </w:pPr>
            <w:r>
              <w:rPr>
                <w:rFonts w:ascii="Calibri" w:hAnsi="Calibri"/>
                <w:b/>
                <w:sz w:val="22"/>
                <w:szCs w:val="22"/>
              </w:rPr>
              <w:t>621 089 187,26</w:t>
            </w:r>
          </w:p>
        </w:tc>
        <w:tc>
          <w:tcPr>
            <w:tcW w:w="1716" w:type="dxa"/>
            <w:tcBorders>
              <w:top w:val="single" w:sz="6" w:space="0" w:color="auto"/>
              <w:bottom w:val="double" w:sz="4" w:space="0" w:color="auto"/>
            </w:tcBorders>
            <w:shd w:val="clear" w:color="auto" w:fill="FFFFFF"/>
          </w:tcPr>
          <w:p w:rsidR="00BD22B8" w:rsidRPr="00FD2EC2" w:rsidRDefault="00BD22B8" w:rsidP="00FE5629">
            <w:pPr>
              <w:jc w:val="right"/>
              <w:rPr>
                <w:rFonts w:ascii="Calibri" w:hAnsi="Calibri"/>
                <w:b/>
                <w:sz w:val="22"/>
                <w:szCs w:val="22"/>
              </w:rPr>
            </w:pPr>
            <w:r>
              <w:rPr>
                <w:rFonts w:ascii="Calibri" w:hAnsi="Calibri"/>
                <w:b/>
                <w:sz w:val="22"/>
                <w:szCs w:val="22"/>
              </w:rPr>
              <w:t>128 040 145,01</w:t>
            </w:r>
          </w:p>
        </w:tc>
      </w:tr>
    </w:tbl>
    <w:p w:rsidR="00BD22B8" w:rsidRPr="00FD2EC2" w:rsidRDefault="00BD22B8" w:rsidP="00BD22B8">
      <w:pPr>
        <w:jc w:val="both"/>
        <w:rPr>
          <w:rFonts w:ascii="Calibri" w:hAnsi="Calibri"/>
          <w:sz w:val="22"/>
          <w:szCs w:val="22"/>
        </w:rPr>
      </w:pPr>
    </w:p>
    <w:p w:rsidR="00BD22B8" w:rsidRPr="00984C3C" w:rsidRDefault="00BD22B8" w:rsidP="00BD22B8">
      <w:pPr>
        <w:jc w:val="both"/>
      </w:pPr>
      <w:r w:rsidRPr="00984C3C">
        <w:t>Prehľad o celkovom počte realizovaných zákaziek v členení na zákazky na dodanie tovaru, zákazk</w:t>
      </w:r>
      <w:r w:rsidR="00702E64" w:rsidRPr="00984C3C">
        <w:t>y</w:t>
      </w:r>
      <w:r w:rsidRPr="00984C3C">
        <w:t xml:space="preserve"> na poskytnutie služby a zákazk</w:t>
      </w:r>
      <w:r w:rsidR="00702E64" w:rsidRPr="00984C3C">
        <w:t>y</w:t>
      </w:r>
      <w:r w:rsidRPr="00984C3C">
        <w:t xml:space="preserve"> na uskutočnenie stavebných prác v pomere k počtu zelených zákaziek na tovary, služby a</w:t>
      </w:r>
      <w:r w:rsidR="005F2E3F" w:rsidRPr="00984C3C">
        <w:t xml:space="preserve"> stavebné práce poskytuje graf  4. Podobne graf </w:t>
      </w:r>
      <w:r w:rsidRPr="00984C3C">
        <w:t xml:space="preserve"> 5 porovnáva celkovú hodnotu všetkých zákaziek s hodnotou realizovaných zelených zákaziek.</w:t>
      </w:r>
    </w:p>
    <w:p w:rsidR="00BD22B8" w:rsidRPr="00E55465" w:rsidRDefault="00BD22B8" w:rsidP="00BD22B8">
      <w:pPr>
        <w:jc w:val="both"/>
        <w:rPr>
          <w:rFonts w:ascii="Calibri" w:hAnsi="Calibri"/>
          <w:sz w:val="22"/>
          <w:szCs w:val="22"/>
        </w:rPr>
      </w:pPr>
    </w:p>
    <w:p w:rsidR="00BD22B8" w:rsidRPr="00082349" w:rsidRDefault="00BD22B8" w:rsidP="00BD22B8">
      <w:pPr>
        <w:rPr>
          <w:rFonts w:ascii="Calibri" w:hAnsi="Calibri"/>
          <w:sz w:val="18"/>
          <w:szCs w:val="18"/>
        </w:rPr>
      </w:pPr>
      <w:r>
        <w:rPr>
          <w:rFonts w:ascii="Calibri" w:hAnsi="Calibri" w:cs="Arial"/>
          <w:sz w:val="18"/>
          <w:szCs w:val="18"/>
        </w:rPr>
        <w:object w:dxaOrig="10074" w:dyaOrig="4981">
          <v:shape id="_x0000_i1028" type="#_x0000_t75" style="width:7in;height:249pt" o:ole="">
            <v:imagedata r:id="rId15" o:title=""/>
          </v:shape>
          <o:OLEObject Type="Embed" ProgID="Excel.Sheet.12" ShapeID="_x0000_i1028" DrawAspect="Content" ObjectID="_1432618861" r:id="rId16"/>
        </w:object>
      </w:r>
      <w:r w:rsidRPr="00082349">
        <w:rPr>
          <w:rFonts w:ascii="Calibri" w:hAnsi="Calibri"/>
          <w:sz w:val="18"/>
          <w:szCs w:val="18"/>
        </w:rPr>
        <w:t>Graf 4</w:t>
      </w:r>
      <w:r w:rsidR="005F2E3F">
        <w:rPr>
          <w:rFonts w:ascii="Calibri" w:hAnsi="Calibri"/>
          <w:sz w:val="18"/>
          <w:szCs w:val="18"/>
        </w:rPr>
        <w:t xml:space="preserve">: </w:t>
      </w:r>
      <w:r w:rsidRPr="00082349">
        <w:rPr>
          <w:rFonts w:ascii="Calibri" w:hAnsi="Calibri"/>
          <w:sz w:val="18"/>
          <w:szCs w:val="18"/>
        </w:rPr>
        <w:t xml:space="preserve"> Celkový počet zákaziek a počet zelených zákaziek</w:t>
      </w:r>
    </w:p>
    <w:p w:rsidR="00BD22B8" w:rsidRDefault="00BD22B8" w:rsidP="00BD22B8">
      <w:pPr>
        <w:rPr>
          <w:rFonts w:ascii="Calibri" w:hAnsi="Calibri" w:cs="Arial"/>
          <w:sz w:val="18"/>
          <w:szCs w:val="18"/>
        </w:rPr>
      </w:pPr>
    </w:p>
    <w:p w:rsidR="00BD22B8" w:rsidRDefault="00BD22B8" w:rsidP="00BD22B8">
      <w:pPr>
        <w:jc w:val="center"/>
        <w:rPr>
          <w:rFonts w:ascii="Calibri" w:hAnsi="Calibri" w:cs="Arial"/>
          <w:sz w:val="18"/>
          <w:szCs w:val="18"/>
        </w:rPr>
      </w:pPr>
      <w:r>
        <w:rPr>
          <w:rFonts w:ascii="Calibri" w:hAnsi="Calibri" w:cs="Arial"/>
          <w:sz w:val="18"/>
          <w:szCs w:val="18"/>
        </w:rPr>
        <w:object w:dxaOrig="8842" w:dyaOrig="5715">
          <v:shape id="_x0000_i1029" type="#_x0000_t75" style="width:441.75pt;height:285.75pt" o:ole="">
            <v:imagedata r:id="rId17" o:title=""/>
          </v:shape>
          <o:OLEObject Type="Embed" ProgID="Excel.Sheet.12" ShapeID="_x0000_i1029" DrawAspect="Content" ObjectID="_1432618862" r:id="rId18"/>
        </w:object>
      </w:r>
    </w:p>
    <w:p w:rsidR="00BD22B8" w:rsidRPr="00082349" w:rsidRDefault="00BD22B8" w:rsidP="00BD22B8">
      <w:pPr>
        <w:ind w:firstLine="284"/>
        <w:jc w:val="both"/>
        <w:rPr>
          <w:rFonts w:ascii="Calibri" w:hAnsi="Calibri"/>
          <w:noProof/>
          <w:sz w:val="18"/>
          <w:szCs w:val="18"/>
        </w:rPr>
      </w:pPr>
      <w:r w:rsidRPr="00082349">
        <w:rPr>
          <w:rFonts w:ascii="Calibri" w:hAnsi="Calibri"/>
          <w:noProof/>
          <w:sz w:val="18"/>
          <w:szCs w:val="18"/>
        </w:rPr>
        <w:t>Graf 5</w:t>
      </w:r>
      <w:r w:rsidR="005F2E3F">
        <w:rPr>
          <w:rFonts w:ascii="Calibri" w:hAnsi="Calibri"/>
          <w:noProof/>
          <w:sz w:val="18"/>
          <w:szCs w:val="18"/>
        </w:rPr>
        <w:t xml:space="preserve">: </w:t>
      </w:r>
      <w:r w:rsidRPr="00082349">
        <w:rPr>
          <w:rFonts w:ascii="Calibri" w:hAnsi="Calibri"/>
          <w:noProof/>
          <w:sz w:val="18"/>
          <w:szCs w:val="18"/>
        </w:rPr>
        <w:t xml:space="preserve"> Celková hodnota zákaziek a hodnota zelených zákaziek </w:t>
      </w:r>
    </w:p>
    <w:p w:rsidR="00BD22B8" w:rsidRPr="00082349" w:rsidRDefault="00BD22B8" w:rsidP="00BD22B8">
      <w:pPr>
        <w:rPr>
          <w:rFonts w:ascii="Calibri" w:hAnsi="Calibri" w:cs="Arial"/>
          <w:sz w:val="22"/>
          <w:szCs w:val="22"/>
        </w:rPr>
      </w:pPr>
    </w:p>
    <w:p w:rsidR="00BD22B8" w:rsidRPr="00984C3C" w:rsidRDefault="00BD22B8" w:rsidP="00BD22B8">
      <w:pPr>
        <w:jc w:val="both"/>
      </w:pPr>
      <w:r w:rsidRPr="00984C3C">
        <w:t xml:space="preserve">Na základe uvedených údajov bola stanovená priemerná úroveň uplatňovania GPP v SR za rok 2012 </w:t>
      </w:r>
      <w:r w:rsidR="005F2E3F" w:rsidRPr="00984C3C">
        <w:t xml:space="preserve"> takto</w:t>
      </w:r>
      <w:r w:rsidRPr="00984C3C">
        <w:t>:</w:t>
      </w:r>
    </w:p>
    <w:p w:rsidR="00BD22B8" w:rsidRPr="00984C3C" w:rsidRDefault="00BD22B8" w:rsidP="00BD22B8">
      <w:pPr>
        <w:jc w:val="both"/>
      </w:pPr>
    </w:p>
    <w:p w:rsidR="00BD22B8" w:rsidRPr="00984C3C" w:rsidRDefault="00BD22B8" w:rsidP="00BD22B8">
      <w:pPr>
        <w:numPr>
          <w:ilvl w:val="0"/>
          <w:numId w:val="3"/>
        </w:numPr>
        <w:jc w:val="both"/>
      </w:pPr>
      <w:r w:rsidRPr="00984C3C">
        <w:t>indikátor 1: 5,0 %,</w:t>
      </w:r>
    </w:p>
    <w:p w:rsidR="00BD22B8" w:rsidRPr="00984C3C" w:rsidRDefault="00BD22B8" w:rsidP="00BD22B8">
      <w:pPr>
        <w:numPr>
          <w:ilvl w:val="0"/>
          <w:numId w:val="3"/>
        </w:numPr>
        <w:jc w:val="both"/>
      </w:pPr>
      <w:r w:rsidRPr="00984C3C">
        <w:t>indikátor 2: 20,6 %.</w:t>
      </w:r>
    </w:p>
    <w:p w:rsidR="00BD22B8" w:rsidRPr="00984C3C" w:rsidRDefault="00BD22B8" w:rsidP="00BD22B8">
      <w:pPr>
        <w:jc w:val="both"/>
      </w:pPr>
    </w:p>
    <w:p w:rsidR="00BD22B8" w:rsidRPr="00984C3C" w:rsidRDefault="005F2E3F" w:rsidP="00BD22B8">
      <w:pPr>
        <w:jc w:val="both"/>
      </w:pPr>
      <w:r w:rsidRPr="00984C3C">
        <w:t xml:space="preserve">Grafické </w:t>
      </w:r>
      <w:r w:rsidR="00BD22B8" w:rsidRPr="00984C3C">
        <w:t xml:space="preserve"> </w:t>
      </w:r>
      <w:r w:rsidRPr="00984C3C">
        <w:t xml:space="preserve">znázornenie </w:t>
      </w:r>
      <w:r w:rsidR="00BD22B8" w:rsidRPr="00984C3C">
        <w:t xml:space="preserve"> priemern</w:t>
      </w:r>
      <w:r w:rsidRPr="00984C3C">
        <w:t xml:space="preserve">ej </w:t>
      </w:r>
      <w:r w:rsidR="00BD22B8" w:rsidRPr="00984C3C">
        <w:t xml:space="preserve"> úrov</w:t>
      </w:r>
      <w:r w:rsidRPr="00984C3C">
        <w:t xml:space="preserve">ne </w:t>
      </w:r>
      <w:r w:rsidR="00BD22B8" w:rsidRPr="00984C3C">
        <w:t xml:space="preserve"> GPP, </w:t>
      </w:r>
      <w:r w:rsidRPr="00984C3C">
        <w:t xml:space="preserve"> vyhodnotenej</w:t>
      </w:r>
      <w:r w:rsidR="00BD22B8" w:rsidRPr="00984C3C">
        <w:t xml:space="preserve"> na základe indikátora 1 a indikátora 2</w:t>
      </w:r>
      <w:r w:rsidRPr="00984C3C">
        <w:t>, je v nasledujúcom grafe</w:t>
      </w:r>
      <w:r w:rsidR="00BD22B8" w:rsidRPr="00984C3C">
        <w:t xml:space="preserve">. </w:t>
      </w:r>
    </w:p>
    <w:p w:rsidR="005F2E3F" w:rsidRPr="00984C3C" w:rsidRDefault="005F2E3F" w:rsidP="00BD22B8">
      <w:pPr>
        <w:jc w:val="both"/>
      </w:pPr>
    </w:p>
    <w:p w:rsidR="005F2E3F" w:rsidRDefault="005F2E3F" w:rsidP="00BD22B8">
      <w:pPr>
        <w:jc w:val="both"/>
        <w:rPr>
          <w:rFonts w:ascii="Calibri" w:hAnsi="Calibri"/>
          <w:sz w:val="22"/>
          <w:szCs w:val="22"/>
        </w:rPr>
      </w:pPr>
    </w:p>
    <w:p w:rsidR="00BD22B8" w:rsidRDefault="00BD22B8" w:rsidP="00BD22B8">
      <w:pPr>
        <w:jc w:val="center"/>
        <w:rPr>
          <w:rFonts w:ascii="Calibri" w:hAnsi="Calibri"/>
          <w:sz w:val="22"/>
          <w:szCs w:val="22"/>
        </w:rPr>
      </w:pPr>
      <w:r>
        <w:rPr>
          <w:rFonts w:ascii="Calibri" w:hAnsi="Calibri"/>
          <w:sz w:val="22"/>
          <w:szCs w:val="22"/>
        </w:rPr>
        <w:object w:dxaOrig="6646" w:dyaOrig="4081">
          <v:shape id="_x0000_i1030" type="#_x0000_t75" style="width:332.25pt;height:204pt" o:ole="">
            <v:imagedata r:id="rId19" o:title=""/>
          </v:shape>
          <o:OLEObject Type="Embed" ProgID="Excel.Sheet.12" ShapeID="_x0000_i1030" DrawAspect="Content" ObjectID="_1432618863" r:id="rId20"/>
        </w:object>
      </w:r>
    </w:p>
    <w:p w:rsidR="00BD22B8" w:rsidRDefault="00BD22B8" w:rsidP="00BD22B8">
      <w:pPr>
        <w:ind w:left="1276"/>
        <w:rPr>
          <w:rFonts w:ascii="Calibri" w:hAnsi="Calibri"/>
          <w:sz w:val="18"/>
          <w:szCs w:val="18"/>
        </w:rPr>
      </w:pPr>
      <w:r w:rsidRPr="00082349">
        <w:rPr>
          <w:rFonts w:ascii="Calibri" w:hAnsi="Calibri"/>
          <w:sz w:val="18"/>
          <w:szCs w:val="18"/>
        </w:rPr>
        <w:t>Graf 6 Priemerná úroveň GPP v SR stanovená na základe indikátora 1 a indikátora 2</w:t>
      </w:r>
    </w:p>
    <w:p w:rsidR="005F2E3F" w:rsidRDefault="005F2E3F" w:rsidP="00BD22B8">
      <w:pPr>
        <w:ind w:left="1276"/>
        <w:rPr>
          <w:rFonts w:ascii="Calibri" w:hAnsi="Calibri"/>
          <w:sz w:val="18"/>
          <w:szCs w:val="18"/>
        </w:rPr>
      </w:pPr>
    </w:p>
    <w:p w:rsidR="00BD22B8" w:rsidRPr="00984C3C" w:rsidRDefault="00BD22B8" w:rsidP="00BD22B8">
      <w:pPr>
        <w:jc w:val="both"/>
      </w:pPr>
      <w:r w:rsidRPr="00984C3C">
        <w:t>Priemerná úroveň GPP v roku 2012, ktorú dosiahli ústredné orgány štátnej správy a podriadené organizácie, ako je podložené v prílohe tohto dokumentu, je nasledujúca:</w:t>
      </w:r>
    </w:p>
    <w:p w:rsidR="00BD22B8" w:rsidRPr="00984C3C" w:rsidRDefault="00BD22B8" w:rsidP="00BD22B8"/>
    <w:p w:rsidR="00BD22B8" w:rsidRPr="00984C3C" w:rsidRDefault="00BD22B8" w:rsidP="00BD22B8">
      <w:pPr>
        <w:numPr>
          <w:ilvl w:val="0"/>
          <w:numId w:val="4"/>
        </w:numPr>
      </w:pPr>
      <w:r w:rsidRPr="00984C3C">
        <w:t>indikátor 1: 5,3 %,</w:t>
      </w:r>
    </w:p>
    <w:p w:rsidR="00BD22B8" w:rsidRPr="00984C3C" w:rsidRDefault="00BD22B8" w:rsidP="00BD22B8">
      <w:pPr>
        <w:numPr>
          <w:ilvl w:val="0"/>
          <w:numId w:val="4"/>
        </w:numPr>
      </w:pPr>
      <w:r w:rsidRPr="00984C3C">
        <w:t>indikátor 2: 6,3 %.</w:t>
      </w:r>
    </w:p>
    <w:p w:rsidR="00BD22B8" w:rsidRPr="00984C3C" w:rsidRDefault="00BD22B8" w:rsidP="00BD22B8"/>
    <w:p w:rsidR="00BD22B8" w:rsidRPr="00984C3C" w:rsidRDefault="00BD22B8" w:rsidP="00BD22B8">
      <w:pPr>
        <w:jc w:val="both"/>
      </w:pPr>
      <w:r w:rsidRPr="00984C3C">
        <w:t>Priemerná úroveň GPP v roku 2012, ktorú dosiahli mestá a samosprávne kraje:</w:t>
      </w:r>
    </w:p>
    <w:p w:rsidR="00BD22B8" w:rsidRPr="00984C3C" w:rsidRDefault="00BD22B8" w:rsidP="00BD22B8"/>
    <w:p w:rsidR="00BD22B8" w:rsidRPr="00984C3C" w:rsidRDefault="00BD22B8" w:rsidP="00BD22B8">
      <w:pPr>
        <w:numPr>
          <w:ilvl w:val="0"/>
          <w:numId w:val="5"/>
        </w:numPr>
      </w:pPr>
      <w:r w:rsidRPr="00984C3C">
        <w:t>indikátor 1: 4,8 %,</w:t>
      </w:r>
    </w:p>
    <w:p w:rsidR="00BD22B8" w:rsidRPr="00984C3C" w:rsidRDefault="00BD22B8" w:rsidP="00BD22B8">
      <w:pPr>
        <w:numPr>
          <w:ilvl w:val="0"/>
          <w:numId w:val="5"/>
        </w:numPr>
      </w:pPr>
      <w:r w:rsidRPr="00984C3C">
        <w:t>indikátor 2: 11,5 %.</w:t>
      </w:r>
    </w:p>
    <w:p w:rsidR="00BD22B8" w:rsidRPr="00984C3C" w:rsidRDefault="00BD22B8" w:rsidP="00BD22B8"/>
    <w:p w:rsidR="00BD22B8" w:rsidRPr="00984C3C" w:rsidRDefault="00BD22B8" w:rsidP="00BD22B8">
      <w:pPr>
        <w:jc w:val="both"/>
      </w:pPr>
      <w:r w:rsidRPr="00984C3C">
        <w:t>Priemerná úroveň GPP za rok 2012, ktorú dosiahli obstarávatelia:</w:t>
      </w:r>
    </w:p>
    <w:p w:rsidR="00BD22B8" w:rsidRPr="00984C3C" w:rsidRDefault="00BD22B8" w:rsidP="00BD22B8"/>
    <w:p w:rsidR="00BD22B8" w:rsidRPr="00984C3C" w:rsidRDefault="00BD22B8" w:rsidP="00BD22B8">
      <w:pPr>
        <w:numPr>
          <w:ilvl w:val="0"/>
          <w:numId w:val="6"/>
        </w:numPr>
      </w:pPr>
      <w:r w:rsidRPr="00984C3C">
        <w:t>indikátor 1: 4,3 %,</w:t>
      </w:r>
    </w:p>
    <w:p w:rsidR="00BD22B8" w:rsidRPr="00984C3C" w:rsidRDefault="00BD22B8" w:rsidP="00BD22B8">
      <w:pPr>
        <w:numPr>
          <w:ilvl w:val="0"/>
          <w:numId w:val="6"/>
        </w:numPr>
      </w:pPr>
      <w:r w:rsidRPr="00984C3C">
        <w:t>indikátor 2: 35,4 %.</w:t>
      </w:r>
    </w:p>
    <w:p w:rsidR="00BD22B8" w:rsidRPr="00984C3C" w:rsidRDefault="00BD22B8" w:rsidP="00BD22B8"/>
    <w:p w:rsidR="00BD22B8" w:rsidRPr="00984C3C" w:rsidRDefault="00BD22B8" w:rsidP="00BD22B8">
      <w:pPr>
        <w:pStyle w:val="Nadpis1"/>
        <w:spacing w:before="0" w:after="0"/>
        <w:rPr>
          <w:rFonts w:ascii="Times New Roman" w:hAnsi="Times New Roman" w:cs="Times New Roman"/>
          <w:sz w:val="24"/>
          <w:szCs w:val="24"/>
        </w:rPr>
      </w:pPr>
      <w:bookmarkStart w:id="8" w:name="_Toc326050100"/>
      <w:bookmarkStart w:id="9" w:name="_Toc355000155"/>
      <w:r w:rsidRPr="00984C3C">
        <w:rPr>
          <w:rFonts w:ascii="Times New Roman" w:hAnsi="Times New Roman" w:cs="Times New Roman"/>
          <w:sz w:val="24"/>
          <w:szCs w:val="24"/>
        </w:rPr>
        <w:t>Zadávanie environmentálnych charakteristík</w:t>
      </w:r>
      <w:bookmarkEnd w:id="8"/>
      <w:bookmarkEnd w:id="9"/>
    </w:p>
    <w:p w:rsidR="00BD22B8" w:rsidRPr="00984C3C" w:rsidRDefault="00BD22B8" w:rsidP="00BD22B8"/>
    <w:p w:rsidR="00BD22B8" w:rsidRPr="00984C3C" w:rsidRDefault="00BD22B8" w:rsidP="00BD22B8">
      <w:pPr>
        <w:jc w:val="both"/>
      </w:pPr>
      <w:r w:rsidRPr="00984C3C">
        <w:t>Ďalšou časťou prieskumu bolo monitorovanie environmentálnych charakteristík, ktoré verejní obstarávatelia a obstarávatelia využili v postupoch verejného obstarávania. Tieto environmentálne charakteristiky bol</w:t>
      </w:r>
      <w:r w:rsidR="00C06902" w:rsidRPr="00984C3C">
        <w:t>i</w:t>
      </w:r>
      <w:r w:rsidRPr="00984C3C">
        <w:t xml:space="preserve"> vyhodnotené </w:t>
      </w:r>
      <w:r w:rsidR="005F2E3F" w:rsidRPr="00984C3C">
        <w:t xml:space="preserve">za každý indikátor </w:t>
      </w:r>
      <w:r w:rsidRPr="00984C3C">
        <w:t>zvlášť</w:t>
      </w:r>
      <w:r w:rsidR="005F2E3F" w:rsidRPr="00984C3C">
        <w:t xml:space="preserve">. Tabuľka </w:t>
      </w:r>
      <w:r w:rsidRPr="00984C3C">
        <w:t xml:space="preserve"> 4 poskytuje prehľad využitých environmentálnych charakteristík vo väzbe na </w:t>
      </w:r>
      <w:r w:rsidR="00A47BBB" w:rsidRPr="00984C3C">
        <w:t xml:space="preserve"> oba </w:t>
      </w:r>
      <w:r w:rsidRPr="00984C3C">
        <w:t xml:space="preserve">  indikátor</w:t>
      </w:r>
      <w:r w:rsidR="00A47BBB" w:rsidRPr="00984C3C">
        <w:t>y</w:t>
      </w:r>
      <w:r w:rsidRPr="00984C3C">
        <w:t xml:space="preserve">. Z tabuľky </w:t>
      </w:r>
      <w:r w:rsidR="00A47BBB" w:rsidRPr="00984C3C">
        <w:t>je zrejmé</w:t>
      </w:r>
      <w:r w:rsidRPr="00984C3C">
        <w:t>, že</w:t>
      </w:r>
      <w:r w:rsidR="00A47BBB" w:rsidRPr="00984C3C">
        <w:t xml:space="preserve"> vo väzbe na indikátor 1 bol</w:t>
      </w:r>
      <w:r w:rsidR="00C06902" w:rsidRPr="00984C3C">
        <w:t>i</w:t>
      </w:r>
      <w:r w:rsidR="00A47BBB" w:rsidRPr="00984C3C">
        <w:t xml:space="preserve"> </w:t>
      </w:r>
      <w:r w:rsidRPr="00984C3C">
        <w:t>najčastejšie využ</w:t>
      </w:r>
      <w:r w:rsidR="00A47BBB" w:rsidRPr="00984C3C">
        <w:t xml:space="preserve">ívané </w:t>
      </w:r>
      <w:r w:rsidRPr="00984C3C">
        <w:t xml:space="preserve"> environmentáln</w:t>
      </w:r>
      <w:r w:rsidR="00A47BBB" w:rsidRPr="00984C3C">
        <w:t>e</w:t>
      </w:r>
      <w:r w:rsidRPr="00984C3C">
        <w:t xml:space="preserve"> charakterist</w:t>
      </w:r>
      <w:r w:rsidR="00A47BBB" w:rsidRPr="00984C3C">
        <w:t>i</w:t>
      </w:r>
      <w:r w:rsidRPr="00984C3C">
        <w:t>k</w:t>
      </w:r>
      <w:r w:rsidR="00A47BBB" w:rsidRPr="00984C3C">
        <w:t xml:space="preserve">y: </w:t>
      </w:r>
      <w:r w:rsidRPr="00984C3C">
        <w:t xml:space="preserve"> environmentálne nakladanie s odpadmi, z</w:t>
      </w:r>
      <w:r w:rsidRPr="00984C3C">
        <w:rPr>
          <w:color w:val="000000"/>
        </w:rPr>
        <w:t xml:space="preserve">nížená spotreba energie a </w:t>
      </w:r>
      <w:r w:rsidRPr="00984C3C">
        <w:t>recyklované materiály. V zelených zákazkách s celkovo najvyššou peňažnou hodnotou boli uplatnené environmentálne charakteristiky</w:t>
      </w:r>
      <w:r w:rsidR="00A47BBB" w:rsidRPr="00984C3C">
        <w:t xml:space="preserve">: </w:t>
      </w:r>
      <w:r w:rsidRPr="00984C3C">
        <w:t xml:space="preserve"> </w:t>
      </w:r>
      <w:r w:rsidRPr="00984C3C">
        <w:rPr>
          <w:color w:val="000000"/>
        </w:rPr>
        <w:t>environmentálne nakladanie s odpadmi, znížená spotreba energie a znížená tvorba znečisťujúcich látok.</w:t>
      </w:r>
      <w:r w:rsidRPr="00984C3C">
        <w:t xml:space="preserve"> V niektorých prípadoch (164 zákaziek) bolo v rámci jednej zákazky uplatnených viac environmentálnych charakteristík.</w:t>
      </w:r>
    </w:p>
    <w:p w:rsidR="00A47BBB" w:rsidRDefault="00A47BBB" w:rsidP="00BD22B8">
      <w:pPr>
        <w:jc w:val="both"/>
        <w:rPr>
          <w:rFonts w:ascii="Calibri" w:hAnsi="Calibri"/>
          <w:sz w:val="22"/>
          <w:szCs w:val="22"/>
        </w:rPr>
      </w:pPr>
    </w:p>
    <w:p w:rsidR="00D30FD8" w:rsidRDefault="00D30FD8" w:rsidP="00BD22B8">
      <w:pPr>
        <w:ind w:firstLine="567"/>
        <w:rPr>
          <w:rFonts w:ascii="Calibri" w:hAnsi="Calibri"/>
          <w:bCs/>
          <w:sz w:val="18"/>
          <w:szCs w:val="18"/>
        </w:rPr>
      </w:pPr>
    </w:p>
    <w:p w:rsidR="00BD22B8" w:rsidRDefault="00A47BBB" w:rsidP="00BD22B8">
      <w:pPr>
        <w:ind w:firstLine="567"/>
        <w:rPr>
          <w:rFonts w:ascii="Calibri" w:hAnsi="Calibri"/>
          <w:bCs/>
          <w:sz w:val="18"/>
          <w:szCs w:val="18"/>
        </w:rPr>
      </w:pPr>
      <w:r>
        <w:rPr>
          <w:rFonts w:ascii="Calibri" w:hAnsi="Calibri"/>
          <w:bCs/>
          <w:sz w:val="18"/>
          <w:szCs w:val="18"/>
        </w:rPr>
        <w:lastRenderedPageBreak/>
        <w:t>Tabuľka</w:t>
      </w:r>
      <w:r w:rsidR="00BD22B8" w:rsidRPr="002F0734">
        <w:rPr>
          <w:rFonts w:ascii="Calibri" w:hAnsi="Calibri"/>
          <w:bCs/>
          <w:sz w:val="18"/>
          <w:szCs w:val="18"/>
        </w:rPr>
        <w:t xml:space="preserve"> 4</w:t>
      </w:r>
      <w:r>
        <w:rPr>
          <w:rFonts w:ascii="Calibri" w:hAnsi="Calibri"/>
          <w:bCs/>
          <w:sz w:val="18"/>
          <w:szCs w:val="18"/>
        </w:rPr>
        <w:t xml:space="preserve">: </w:t>
      </w:r>
      <w:r w:rsidR="00BD22B8" w:rsidRPr="002F0734">
        <w:rPr>
          <w:rFonts w:ascii="Calibri" w:hAnsi="Calibri"/>
          <w:bCs/>
          <w:sz w:val="18"/>
          <w:szCs w:val="18"/>
        </w:rPr>
        <w:t xml:space="preserve"> Prehľad využitých environmentálnych charakteristík vo väzbe na indikátor 1 a indikátor 2</w:t>
      </w:r>
    </w:p>
    <w:p w:rsidR="00A47BBB" w:rsidRPr="002F0734" w:rsidRDefault="00A47BBB" w:rsidP="00BD22B8">
      <w:pPr>
        <w:ind w:firstLine="567"/>
        <w:rPr>
          <w:rFonts w:ascii="Calibri" w:hAnsi="Calibri"/>
          <w:bCs/>
          <w:sz w:val="18"/>
          <w:szCs w:val="18"/>
        </w:rPr>
      </w:pPr>
    </w:p>
    <w:tbl>
      <w:tblPr>
        <w:tblW w:w="8040" w:type="dxa"/>
        <w:jc w:val="center"/>
        <w:tblInd w:w="70" w:type="dxa"/>
        <w:tblCellMar>
          <w:left w:w="70" w:type="dxa"/>
          <w:right w:w="70" w:type="dxa"/>
        </w:tblCellMar>
        <w:tblLook w:val="04A0" w:firstRow="1" w:lastRow="0" w:firstColumn="1" w:lastColumn="0" w:noHBand="0" w:noVBand="1"/>
      </w:tblPr>
      <w:tblGrid>
        <w:gridCol w:w="4972"/>
        <w:gridCol w:w="1448"/>
        <w:gridCol w:w="1620"/>
      </w:tblGrid>
      <w:tr w:rsidR="00BD22B8" w:rsidRPr="002F0734" w:rsidTr="00FE5629">
        <w:trPr>
          <w:trHeight w:val="300"/>
          <w:jc w:val="center"/>
        </w:trPr>
        <w:tc>
          <w:tcPr>
            <w:tcW w:w="497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D22B8" w:rsidRPr="002F0734" w:rsidRDefault="00BD22B8" w:rsidP="00FE5629">
            <w:pPr>
              <w:jc w:val="center"/>
              <w:rPr>
                <w:rFonts w:ascii="Calibri" w:hAnsi="Calibri" w:cs="Arial"/>
                <w:b/>
                <w:color w:val="000000"/>
                <w:sz w:val="22"/>
                <w:szCs w:val="22"/>
              </w:rPr>
            </w:pPr>
            <w:r w:rsidRPr="002F0734">
              <w:rPr>
                <w:rFonts w:ascii="Calibri" w:hAnsi="Calibri" w:cs="Arial"/>
                <w:b/>
                <w:color w:val="000000"/>
                <w:sz w:val="22"/>
                <w:szCs w:val="22"/>
              </w:rPr>
              <w:t>Typ uplatnenej environmentálnej charakteristiky</w:t>
            </w:r>
          </w:p>
        </w:tc>
        <w:tc>
          <w:tcPr>
            <w:tcW w:w="1448" w:type="dxa"/>
            <w:tcBorders>
              <w:top w:val="single" w:sz="4" w:space="0" w:color="auto"/>
              <w:left w:val="nil"/>
              <w:bottom w:val="single" w:sz="4" w:space="0" w:color="auto"/>
              <w:right w:val="single" w:sz="4" w:space="0" w:color="auto"/>
            </w:tcBorders>
            <w:shd w:val="clear" w:color="auto" w:fill="BFBFBF"/>
            <w:vAlign w:val="center"/>
            <w:hideMark/>
          </w:tcPr>
          <w:p w:rsidR="00BD22B8" w:rsidRPr="002F0734" w:rsidRDefault="00BD22B8" w:rsidP="00FE5629">
            <w:pPr>
              <w:jc w:val="center"/>
              <w:rPr>
                <w:rFonts w:ascii="Calibri" w:hAnsi="Calibri" w:cs="Arial"/>
                <w:b/>
                <w:bCs/>
                <w:color w:val="000000"/>
                <w:sz w:val="22"/>
                <w:szCs w:val="22"/>
              </w:rPr>
            </w:pPr>
            <w:r w:rsidRPr="002F0734">
              <w:rPr>
                <w:rFonts w:ascii="Calibri" w:hAnsi="Calibri" w:cs="Arial"/>
                <w:b/>
                <w:bCs/>
                <w:color w:val="000000"/>
                <w:sz w:val="22"/>
                <w:szCs w:val="22"/>
              </w:rPr>
              <w:t>Počet</w:t>
            </w:r>
          </w:p>
        </w:tc>
        <w:tc>
          <w:tcPr>
            <w:tcW w:w="1620" w:type="dxa"/>
            <w:tcBorders>
              <w:top w:val="single" w:sz="4" w:space="0" w:color="auto"/>
              <w:left w:val="nil"/>
              <w:bottom w:val="single" w:sz="4" w:space="0" w:color="auto"/>
              <w:right w:val="single" w:sz="4" w:space="0" w:color="auto"/>
            </w:tcBorders>
            <w:shd w:val="clear" w:color="auto" w:fill="BFBFBF"/>
            <w:noWrap/>
            <w:vAlign w:val="center"/>
            <w:hideMark/>
          </w:tcPr>
          <w:p w:rsidR="00BD22B8" w:rsidRPr="002F0734" w:rsidRDefault="00BD22B8" w:rsidP="00FE5629">
            <w:pPr>
              <w:jc w:val="center"/>
              <w:rPr>
                <w:rFonts w:ascii="Calibri" w:hAnsi="Calibri" w:cs="Arial"/>
                <w:b/>
                <w:bCs/>
                <w:color w:val="000000"/>
                <w:sz w:val="22"/>
                <w:szCs w:val="22"/>
              </w:rPr>
            </w:pPr>
            <w:r w:rsidRPr="002F0734">
              <w:rPr>
                <w:rFonts w:ascii="Calibri" w:hAnsi="Calibri" w:cs="Arial"/>
                <w:b/>
                <w:bCs/>
                <w:color w:val="000000"/>
                <w:sz w:val="22"/>
                <w:szCs w:val="22"/>
              </w:rPr>
              <w:t>Hodnota v EUR s DPH</w:t>
            </w:r>
          </w:p>
        </w:tc>
      </w:tr>
      <w:tr w:rsidR="00BD22B8" w:rsidRPr="002F0734" w:rsidTr="00FE5629">
        <w:trPr>
          <w:trHeight w:val="300"/>
          <w:jc w:val="center"/>
        </w:trPr>
        <w:tc>
          <w:tcPr>
            <w:tcW w:w="4972" w:type="dxa"/>
            <w:tcBorders>
              <w:top w:val="nil"/>
              <w:left w:val="single" w:sz="4" w:space="0" w:color="auto"/>
              <w:bottom w:val="single" w:sz="4" w:space="0" w:color="auto"/>
              <w:right w:val="single" w:sz="4" w:space="0" w:color="auto"/>
            </w:tcBorders>
            <w:shd w:val="clear" w:color="auto" w:fill="auto"/>
            <w:vAlign w:val="bottom"/>
            <w:hideMark/>
          </w:tcPr>
          <w:p w:rsidR="00BD22B8" w:rsidRPr="002F0734" w:rsidRDefault="00BD22B8" w:rsidP="00FE5629">
            <w:pPr>
              <w:rPr>
                <w:rFonts w:ascii="Calibri" w:hAnsi="Calibri" w:cs="Arial"/>
                <w:color w:val="000000"/>
                <w:sz w:val="22"/>
                <w:szCs w:val="22"/>
              </w:rPr>
            </w:pPr>
            <w:r w:rsidRPr="002F0734">
              <w:rPr>
                <w:rFonts w:ascii="Calibri" w:hAnsi="Calibri" w:cs="Arial"/>
                <w:color w:val="000000"/>
                <w:sz w:val="22"/>
                <w:szCs w:val="22"/>
              </w:rPr>
              <w:t>Znížená spotreba energie</w:t>
            </w:r>
          </w:p>
        </w:tc>
        <w:tc>
          <w:tcPr>
            <w:tcW w:w="1448" w:type="dxa"/>
            <w:tcBorders>
              <w:top w:val="nil"/>
              <w:left w:val="nil"/>
              <w:bottom w:val="single" w:sz="4" w:space="0" w:color="auto"/>
              <w:right w:val="single" w:sz="4" w:space="0" w:color="auto"/>
            </w:tcBorders>
            <w:shd w:val="clear" w:color="auto" w:fill="auto"/>
            <w:vAlign w:val="bottom"/>
            <w:hideMark/>
          </w:tcPr>
          <w:p w:rsidR="00BD22B8" w:rsidRPr="002F0734" w:rsidRDefault="00BD22B8" w:rsidP="00FE5629">
            <w:pPr>
              <w:jc w:val="right"/>
              <w:rPr>
                <w:rFonts w:ascii="Calibri" w:hAnsi="Calibri" w:cs="Arial"/>
                <w:color w:val="000000"/>
                <w:sz w:val="22"/>
                <w:szCs w:val="22"/>
              </w:rPr>
            </w:pPr>
            <w:r>
              <w:rPr>
                <w:rFonts w:ascii="Calibri" w:hAnsi="Calibri" w:cs="Arial"/>
                <w:color w:val="000000"/>
                <w:sz w:val="22"/>
                <w:szCs w:val="22"/>
              </w:rPr>
              <w:t>845</w:t>
            </w:r>
          </w:p>
        </w:tc>
        <w:tc>
          <w:tcPr>
            <w:tcW w:w="1620" w:type="dxa"/>
            <w:tcBorders>
              <w:top w:val="nil"/>
              <w:left w:val="nil"/>
              <w:bottom w:val="single" w:sz="4" w:space="0" w:color="auto"/>
              <w:right w:val="single" w:sz="4" w:space="0" w:color="auto"/>
            </w:tcBorders>
            <w:shd w:val="clear" w:color="auto" w:fill="auto"/>
            <w:noWrap/>
            <w:vAlign w:val="bottom"/>
            <w:hideMark/>
          </w:tcPr>
          <w:p w:rsidR="00BD22B8" w:rsidRPr="002F0734" w:rsidRDefault="00BD22B8" w:rsidP="00FE5629">
            <w:pPr>
              <w:jc w:val="right"/>
              <w:rPr>
                <w:rFonts w:ascii="Calibri" w:hAnsi="Calibri" w:cs="Arial"/>
                <w:color w:val="000000"/>
                <w:sz w:val="22"/>
                <w:szCs w:val="22"/>
              </w:rPr>
            </w:pPr>
            <w:r>
              <w:rPr>
                <w:rFonts w:ascii="Calibri" w:hAnsi="Calibri" w:cs="Arial"/>
                <w:color w:val="000000"/>
                <w:sz w:val="22"/>
                <w:szCs w:val="22"/>
              </w:rPr>
              <w:t>11 939 438,76</w:t>
            </w:r>
          </w:p>
        </w:tc>
      </w:tr>
      <w:tr w:rsidR="00BD22B8" w:rsidRPr="002F0734" w:rsidTr="00FE5629">
        <w:trPr>
          <w:trHeight w:val="300"/>
          <w:jc w:val="center"/>
        </w:trPr>
        <w:tc>
          <w:tcPr>
            <w:tcW w:w="4972" w:type="dxa"/>
            <w:tcBorders>
              <w:top w:val="nil"/>
              <w:left w:val="single" w:sz="4" w:space="0" w:color="auto"/>
              <w:bottom w:val="single" w:sz="4" w:space="0" w:color="auto"/>
              <w:right w:val="single" w:sz="4" w:space="0" w:color="auto"/>
            </w:tcBorders>
            <w:shd w:val="clear" w:color="auto" w:fill="auto"/>
            <w:vAlign w:val="bottom"/>
            <w:hideMark/>
          </w:tcPr>
          <w:p w:rsidR="00BD22B8" w:rsidRPr="002F0734" w:rsidRDefault="00BD22B8" w:rsidP="00FE5629">
            <w:pPr>
              <w:rPr>
                <w:rFonts w:ascii="Calibri" w:hAnsi="Calibri" w:cs="Arial"/>
                <w:color w:val="000000"/>
                <w:sz w:val="22"/>
                <w:szCs w:val="22"/>
              </w:rPr>
            </w:pPr>
            <w:r w:rsidRPr="002F0734">
              <w:rPr>
                <w:rFonts w:ascii="Calibri" w:hAnsi="Calibri" w:cs="Arial"/>
                <w:color w:val="000000"/>
                <w:sz w:val="22"/>
                <w:szCs w:val="22"/>
              </w:rPr>
              <w:t>Znížená spotreba vody</w:t>
            </w:r>
          </w:p>
        </w:tc>
        <w:tc>
          <w:tcPr>
            <w:tcW w:w="1448" w:type="dxa"/>
            <w:tcBorders>
              <w:top w:val="nil"/>
              <w:left w:val="nil"/>
              <w:bottom w:val="single" w:sz="4" w:space="0" w:color="auto"/>
              <w:right w:val="single" w:sz="4" w:space="0" w:color="auto"/>
            </w:tcBorders>
            <w:shd w:val="clear" w:color="auto" w:fill="auto"/>
            <w:vAlign w:val="bottom"/>
            <w:hideMark/>
          </w:tcPr>
          <w:p w:rsidR="00BD22B8" w:rsidRPr="002F0734" w:rsidRDefault="00BD22B8" w:rsidP="00FE5629">
            <w:pPr>
              <w:jc w:val="right"/>
              <w:rPr>
                <w:rFonts w:ascii="Calibri" w:hAnsi="Calibri" w:cs="Arial"/>
                <w:color w:val="000000"/>
                <w:sz w:val="22"/>
                <w:szCs w:val="22"/>
              </w:rPr>
            </w:pPr>
            <w:r>
              <w:rPr>
                <w:rFonts w:ascii="Calibri" w:hAnsi="Calibri" w:cs="Arial"/>
                <w:color w:val="000000"/>
                <w:sz w:val="22"/>
                <w:szCs w:val="22"/>
              </w:rPr>
              <w:t>262</w:t>
            </w:r>
          </w:p>
        </w:tc>
        <w:tc>
          <w:tcPr>
            <w:tcW w:w="1620" w:type="dxa"/>
            <w:tcBorders>
              <w:top w:val="nil"/>
              <w:left w:val="nil"/>
              <w:bottom w:val="single" w:sz="4" w:space="0" w:color="auto"/>
              <w:right w:val="single" w:sz="4" w:space="0" w:color="auto"/>
            </w:tcBorders>
            <w:shd w:val="clear" w:color="auto" w:fill="auto"/>
            <w:noWrap/>
            <w:vAlign w:val="bottom"/>
            <w:hideMark/>
          </w:tcPr>
          <w:p w:rsidR="00BD22B8" w:rsidRPr="002F0734" w:rsidRDefault="00BD22B8" w:rsidP="00FE5629">
            <w:pPr>
              <w:jc w:val="right"/>
              <w:rPr>
                <w:rFonts w:ascii="Calibri" w:hAnsi="Calibri" w:cs="Arial"/>
                <w:color w:val="000000"/>
                <w:sz w:val="22"/>
                <w:szCs w:val="22"/>
              </w:rPr>
            </w:pPr>
            <w:r>
              <w:rPr>
                <w:rFonts w:ascii="Calibri" w:hAnsi="Calibri" w:cs="Arial"/>
                <w:color w:val="000000"/>
                <w:sz w:val="22"/>
                <w:szCs w:val="22"/>
              </w:rPr>
              <w:t>687 352,60</w:t>
            </w:r>
          </w:p>
        </w:tc>
      </w:tr>
      <w:tr w:rsidR="00BD22B8" w:rsidRPr="002F0734" w:rsidTr="00FE5629">
        <w:trPr>
          <w:trHeight w:val="300"/>
          <w:jc w:val="center"/>
        </w:trPr>
        <w:tc>
          <w:tcPr>
            <w:tcW w:w="4972" w:type="dxa"/>
            <w:tcBorders>
              <w:top w:val="nil"/>
              <w:left w:val="single" w:sz="4" w:space="0" w:color="auto"/>
              <w:bottom w:val="single" w:sz="4" w:space="0" w:color="auto"/>
              <w:right w:val="single" w:sz="4" w:space="0" w:color="auto"/>
            </w:tcBorders>
            <w:shd w:val="clear" w:color="auto" w:fill="auto"/>
            <w:vAlign w:val="bottom"/>
            <w:hideMark/>
          </w:tcPr>
          <w:p w:rsidR="00BD22B8" w:rsidRPr="002F0734" w:rsidRDefault="00BD22B8" w:rsidP="00DD3762">
            <w:pPr>
              <w:rPr>
                <w:rFonts w:ascii="Calibri" w:hAnsi="Calibri" w:cs="Arial"/>
                <w:color w:val="000000"/>
                <w:sz w:val="22"/>
                <w:szCs w:val="22"/>
              </w:rPr>
            </w:pPr>
            <w:r w:rsidRPr="002F0734">
              <w:rPr>
                <w:rFonts w:ascii="Calibri" w:hAnsi="Calibri" w:cs="Arial"/>
                <w:color w:val="000000"/>
                <w:sz w:val="22"/>
                <w:szCs w:val="22"/>
              </w:rPr>
              <w:t>Znížená spotreba surovín (z ne</w:t>
            </w:r>
            <w:r w:rsidR="00DD3762">
              <w:rPr>
                <w:rFonts w:ascii="Calibri" w:hAnsi="Calibri" w:cs="Arial"/>
                <w:color w:val="000000"/>
                <w:sz w:val="22"/>
                <w:szCs w:val="22"/>
              </w:rPr>
              <w:t>udržat</w:t>
            </w:r>
            <w:r w:rsidR="00C06902">
              <w:rPr>
                <w:rFonts w:ascii="Calibri" w:hAnsi="Calibri" w:cs="Arial"/>
                <w:color w:val="000000"/>
                <w:sz w:val="22"/>
                <w:szCs w:val="22"/>
              </w:rPr>
              <w:t>e</w:t>
            </w:r>
            <w:r w:rsidRPr="002F0734">
              <w:rPr>
                <w:rFonts w:ascii="Calibri" w:hAnsi="Calibri" w:cs="Arial"/>
                <w:color w:val="000000"/>
                <w:sz w:val="22"/>
                <w:szCs w:val="22"/>
              </w:rPr>
              <w:t>ľných zdrojov)</w:t>
            </w:r>
          </w:p>
        </w:tc>
        <w:tc>
          <w:tcPr>
            <w:tcW w:w="1448" w:type="dxa"/>
            <w:tcBorders>
              <w:top w:val="nil"/>
              <w:left w:val="nil"/>
              <w:bottom w:val="single" w:sz="4" w:space="0" w:color="auto"/>
              <w:right w:val="single" w:sz="4" w:space="0" w:color="auto"/>
            </w:tcBorders>
            <w:shd w:val="clear" w:color="auto" w:fill="auto"/>
            <w:vAlign w:val="bottom"/>
            <w:hideMark/>
          </w:tcPr>
          <w:p w:rsidR="00BD22B8" w:rsidRPr="002F0734" w:rsidRDefault="00BD22B8" w:rsidP="00FE5629">
            <w:pPr>
              <w:jc w:val="right"/>
              <w:rPr>
                <w:rFonts w:ascii="Calibri" w:hAnsi="Calibri" w:cs="Arial"/>
                <w:color w:val="000000"/>
                <w:sz w:val="22"/>
                <w:szCs w:val="22"/>
              </w:rPr>
            </w:pPr>
            <w:r w:rsidRPr="002F0734">
              <w:rPr>
                <w:rFonts w:ascii="Calibri" w:hAnsi="Calibri" w:cs="Arial"/>
                <w:color w:val="000000"/>
                <w:sz w:val="22"/>
                <w:szCs w:val="22"/>
              </w:rPr>
              <w:t>21</w:t>
            </w:r>
          </w:p>
        </w:tc>
        <w:tc>
          <w:tcPr>
            <w:tcW w:w="1620" w:type="dxa"/>
            <w:tcBorders>
              <w:top w:val="nil"/>
              <w:left w:val="nil"/>
              <w:bottom w:val="single" w:sz="4" w:space="0" w:color="auto"/>
              <w:right w:val="single" w:sz="4" w:space="0" w:color="auto"/>
            </w:tcBorders>
            <w:shd w:val="clear" w:color="auto" w:fill="auto"/>
            <w:noWrap/>
            <w:vAlign w:val="bottom"/>
            <w:hideMark/>
          </w:tcPr>
          <w:p w:rsidR="00BD22B8" w:rsidRPr="002F0734" w:rsidRDefault="00BD22B8" w:rsidP="00FE5629">
            <w:pPr>
              <w:jc w:val="right"/>
              <w:rPr>
                <w:rFonts w:ascii="Calibri" w:hAnsi="Calibri" w:cs="Arial"/>
                <w:color w:val="000000"/>
                <w:sz w:val="22"/>
                <w:szCs w:val="22"/>
              </w:rPr>
            </w:pPr>
            <w:r w:rsidRPr="002F0734">
              <w:rPr>
                <w:rFonts w:ascii="Calibri" w:hAnsi="Calibri" w:cs="Arial"/>
                <w:color w:val="000000"/>
                <w:sz w:val="22"/>
                <w:szCs w:val="22"/>
              </w:rPr>
              <w:t>904 546,24</w:t>
            </w:r>
          </w:p>
        </w:tc>
      </w:tr>
      <w:tr w:rsidR="00BD22B8" w:rsidRPr="002F0734" w:rsidTr="00FE5629">
        <w:trPr>
          <w:trHeight w:val="300"/>
          <w:jc w:val="center"/>
        </w:trPr>
        <w:tc>
          <w:tcPr>
            <w:tcW w:w="4972" w:type="dxa"/>
            <w:tcBorders>
              <w:top w:val="nil"/>
              <w:left w:val="single" w:sz="4" w:space="0" w:color="auto"/>
              <w:bottom w:val="single" w:sz="4" w:space="0" w:color="auto"/>
              <w:right w:val="single" w:sz="4" w:space="0" w:color="auto"/>
            </w:tcBorders>
            <w:shd w:val="clear" w:color="auto" w:fill="auto"/>
            <w:vAlign w:val="bottom"/>
            <w:hideMark/>
          </w:tcPr>
          <w:p w:rsidR="00BD22B8" w:rsidRPr="002F0734" w:rsidRDefault="00BD22B8" w:rsidP="00FE5629">
            <w:pPr>
              <w:rPr>
                <w:rFonts w:ascii="Calibri" w:hAnsi="Calibri" w:cs="Arial"/>
                <w:color w:val="000000"/>
                <w:sz w:val="22"/>
                <w:szCs w:val="22"/>
              </w:rPr>
            </w:pPr>
            <w:r w:rsidRPr="002F0734">
              <w:rPr>
                <w:rFonts w:ascii="Calibri" w:hAnsi="Calibri" w:cs="Arial"/>
                <w:color w:val="000000"/>
                <w:sz w:val="22"/>
                <w:szCs w:val="22"/>
              </w:rPr>
              <w:t>Znížené množstvo nebezpečných látok</w:t>
            </w:r>
          </w:p>
        </w:tc>
        <w:tc>
          <w:tcPr>
            <w:tcW w:w="1448" w:type="dxa"/>
            <w:tcBorders>
              <w:top w:val="nil"/>
              <w:left w:val="nil"/>
              <w:bottom w:val="single" w:sz="4" w:space="0" w:color="auto"/>
              <w:right w:val="single" w:sz="4" w:space="0" w:color="auto"/>
            </w:tcBorders>
            <w:shd w:val="clear" w:color="auto" w:fill="auto"/>
            <w:vAlign w:val="bottom"/>
            <w:hideMark/>
          </w:tcPr>
          <w:p w:rsidR="00BD22B8" w:rsidRPr="002F0734" w:rsidRDefault="00BD22B8" w:rsidP="00FE5629">
            <w:pPr>
              <w:jc w:val="right"/>
              <w:rPr>
                <w:rFonts w:ascii="Calibri" w:hAnsi="Calibri" w:cs="Arial"/>
                <w:color w:val="000000"/>
                <w:sz w:val="22"/>
                <w:szCs w:val="22"/>
              </w:rPr>
            </w:pPr>
            <w:r w:rsidRPr="002F0734">
              <w:rPr>
                <w:rFonts w:ascii="Calibri" w:hAnsi="Calibri" w:cs="Arial"/>
                <w:color w:val="000000"/>
                <w:sz w:val="22"/>
                <w:szCs w:val="22"/>
              </w:rPr>
              <w:t>139</w:t>
            </w:r>
          </w:p>
        </w:tc>
        <w:tc>
          <w:tcPr>
            <w:tcW w:w="1620" w:type="dxa"/>
            <w:tcBorders>
              <w:top w:val="nil"/>
              <w:left w:val="nil"/>
              <w:bottom w:val="single" w:sz="4" w:space="0" w:color="auto"/>
              <w:right w:val="single" w:sz="4" w:space="0" w:color="auto"/>
            </w:tcBorders>
            <w:shd w:val="clear" w:color="auto" w:fill="auto"/>
            <w:noWrap/>
            <w:vAlign w:val="bottom"/>
            <w:hideMark/>
          </w:tcPr>
          <w:p w:rsidR="00BD22B8" w:rsidRPr="002F0734" w:rsidRDefault="00BD22B8" w:rsidP="00FE5629">
            <w:pPr>
              <w:jc w:val="right"/>
              <w:rPr>
                <w:rFonts w:ascii="Calibri" w:hAnsi="Calibri" w:cs="Arial"/>
                <w:color w:val="000000"/>
                <w:sz w:val="22"/>
                <w:szCs w:val="22"/>
              </w:rPr>
            </w:pPr>
            <w:r w:rsidRPr="002F0734">
              <w:rPr>
                <w:rFonts w:ascii="Calibri" w:hAnsi="Calibri" w:cs="Arial"/>
                <w:color w:val="000000"/>
                <w:sz w:val="22"/>
                <w:szCs w:val="22"/>
              </w:rPr>
              <w:t>1 567 915,72</w:t>
            </w:r>
          </w:p>
        </w:tc>
      </w:tr>
      <w:tr w:rsidR="00BD22B8" w:rsidRPr="002F0734" w:rsidTr="00FE5629">
        <w:trPr>
          <w:trHeight w:val="300"/>
          <w:jc w:val="center"/>
        </w:trPr>
        <w:tc>
          <w:tcPr>
            <w:tcW w:w="4972" w:type="dxa"/>
            <w:tcBorders>
              <w:top w:val="nil"/>
              <w:left w:val="single" w:sz="4" w:space="0" w:color="auto"/>
              <w:bottom w:val="single" w:sz="4" w:space="0" w:color="auto"/>
              <w:right w:val="single" w:sz="4" w:space="0" w:color="auto"/>
            </w:tcBorders>
            <w:shd w:val="clear" w:color="auto" w:fill="auto"/>
            <w:vAlign w:val="bottom"/>
            <w:hideMark/>
          </w:tcPr>
          <w:p w:rsidR="00BD22B8" w:rsidRPr="002F0734" w:rsidRDefault="00BD22B8" w:rsidP="00FE5629">
            <w:pPr>
              <w:rPr>
                <w:rFonts w:ascii="Calibri" w:hAnsi="Calibri" w:cs="Arial"/>
                <w:color w:val="000000"/>
                <w:sz w:val="22"/>
                <w:szCs w:val="22"/>
              </w:rPr>
            </w:pPr>
            <w:r w:rsidRPr="002F0734">
              <w:rPr>
                <w:rFonts w:ascii="Calibri" w:hAnsi="Calibri" w:cs="Arial"/>
                <w:color w:val="000000"/>
                <w:sz w:val="22"/>
                <w:szCs w:val="22"/>
              </w:rPr>
              <w:t>Znížená tvorba znečisťujúcich látok</w:t>
            </w:r>
          </w:p>
        </w:tc>
        <w:tc>
          <w:tcPr>
            <w:tcW w:w="1448" w:type="dxa"/>
            <w:tcBorders>
              <w:top w:val="nil"/>
              <w:left w:val="nil"/>
              <w:bottom w:val="single" w:sz="4" w:space="0" w:color="auto"/>
              <w:right w:val="single" w:sz="4" w:space="0" w:color="auto"/>
            </w:tcBorders>
            <w:shd w:val="clear" w:color="auto" w:fill="auto"/>
            <w:vAlign w:val="bottom"/>
            <w:hideMark/>
          </w:tcPr>
          <w:p w:rsidR="00BD22B8" w:rsidRPr="002F0734" w:rsidRDefault="00BD22B8" w:rsidP="00FE5629">
            <w:pPr>
              <w:jc w:val="right"/>
              <w:rPr>
                <w:rFonts w:ascii="Calibri" w:hAnsi="Calibri" w:cs="Arial"/>
                <w:color w:val="000000"/>
                <w:sz w:val="22"/>
                <w:szCs w:val="22"/>
              </w:rPr>
            </w:pPr>
            <w:r>
              <w:rPr>
                <w:rFonts w:ascii="Calibri" w:hAnsi="Calibri" w:cs="Arial"/>
                <w:color w:val="000000"/>
                <w:sz w:val="22"/>
                <w:szCs w:val="22"/>
              </w:rPr>
              <w:t>486</w:t>
            </w:r>
          </w:p>
        </w:tc>
        <w:tc>
          <w:tcPr>
            <w:tcW w:w="1620" w:type="dxa"/>
            <w:tcBorders>
              <w:top w:val="nil"/>
              <w:left w:val="nil"/>
              <w:bottom w:val="single" w:sz="4" w:space="0" w:color="auto"/>
              <w:right w:val="single" w:sz="4" w:space="0" w:color="auto"/>
            </w:tcBorders>
            <w:shd w:val="clear" w:color="auto" w:fill="auto"/>
            <w:noWrap/>
            <w:vAlign w:val="bottom"/>
            <w:hideMark/>
          </w:tcPr>
          <w:p w:rsidR="00BD22B8" w:rsidRPr="002F0734" w:rsidRDefault="00BD22B8" w:rsidP="00FE5629">
            <w:pPr>
              <w:jc w:val="right"/>
              <w:rPr>
                <w:rFonts w:ascii="Calibri" w:hAnsi="Calibri" w:cs="Arial"/>
                <w:color w:val="000000"/>
                <w:sz w:val="22"/>
                <w:szCs w:val="22"/>
              </w:rPr>
            </w:pPr>
            <w:r>
              <w:rPr>
                <w:rFonts w:ascii="Calibri" w:hAnsi="Calibri" w:cs="Arial"/>
                <w:color w:val="000000"/>
                <w:sz w:val="22"/>
                <w:szCs w:val="22"/>
              </w:rPr>
              <w:t>2 834 622,83</w:t>
            </w:r>
          </w:p>
        </w:tc>
      </w:tr>
      <w:tr w:rsidR="00BD22B8" w:rsidRPr="002F0734" w:rsidTr="00FE5629">
        <w:trPr>
          <w:trHeight w:val="300"/>
          <w:jc w:val="center"/>
        </w:trPr>
        <w:tc>
          <w:tcPr>
            <w:tcW w:w="4972" w:type="dxa"/>
            <w:tcBorders>
              <w:top w:val="nil"/>
              <w:left w:val="single" w:sz="4" w:space="0" w:color="auto"/>
              <w:bottom w:val="single" w:sz="4" w:space="0" w:color="auto"/>
              <w:right w:val="single" w:sz="4" w:space="0" w:color="auto"/>
            </w:tcBorders>
            <w:shd w:val="clear" w:color="auto" w:fill="auto"/>
            <w:vAlign w:val="bottom"/>
            <w:hideMark/>
          </w:tcPr>
          <w:p w:rsidR="00BD22B8" w:rsidRPr="002F0734" w:rsidRDefault="00BD22B8" w:rsidP="00FE5629">
            <w:pPr>
              <w:rPr>
                <w:rFonts w:ascii="Calibri" w:hAnsi="Calibri" w:cs="Arial"/>
                <w:color w:val="000000"/>
                <w:sz w:val="22"/>
                <w:szCs w:val="22"/>
              </w:rPr>
            </w:pPr>
            <w:r w:rsidRPr="002F0734">
              <w:rPr>
                <w:rFonts w:ascii="Calibri" w:hAnsi="Calibri" w:cs="Arial"/>
                <w:color w:val="000000"/>
                <w:sz w:val="22"/>
                <w:szCs w:val="22"/>
              </w:rPr>
              <w:t>Obnoviteľné zdroje energie</w:t>
            </w:r>
          </w:p>
        </w:tc>
        <w:tc>
          <w:tcPr>
            <w:tcW w:w="1448" w:type="dxa"/>
            <w:tcBorders>
              <w:top w:val="nil"/>
              <w:left w:val="nil"/>
              <w:bottom w:val="single" w:sz="4" w:space="0" w:color="auto"/>
              <w:right w:val="single" w:sz="4" w:space="0" w:color="auto"/>
            </w:tcBorders>
            <w:shd w:val="clear" w:color="auto" w:fill="auto"/>
            <w:vAlign w:val="bottom"/>
            <w:hideMark/>
          </w:tcPr>
          <w:p w:rsidR="00BD22B8" w:rsidRPr="002F0734" w:rsidRDefault="00BD22B8" w:rsidP="00FE5629">
            <w:pPr>
              <w:jc w:val="right"/>
              <w:rPr>
                <w:rFonts w:ascii="Calibri" w:hAnsi="Calibri" w:cs="Arial"/>
                <w:color w:val="000000"/>
                <w:sz w:val="22"/>
                <w:szCs w:val="22"/>
              </w:rPr>
            </w:pPr>
            <w:r w:rsidRPr="002F0734">
              <w:rPr>
                <w:rFonts w:ascii="Calibri" w:hAnsi="Calibri" w:cs="Arial"/>
                <w:color w:val="000000"/>
                <w:sz w:val="22"/>
                <w:szCs w:val="22"/>
              </w:rPr>
              <w:t>1</w:t>
            </w:r>
          </w:p>
        </w:tc>
        <w:tc>
          <w:tcPr>
            <w:tcW w:w="1620" w:type="dxa"/>
            <w:tcBorders>
              <w:top w:val="nil"/>
              <w:left w:val="nil"/>
              <w:bottom w:val="single" w:sz="4" w:space="0" w:color="auto"/>
              <w:right w:val="single" w:sz="4" w:space="0" w:color="auto"/>
            </w:tcBorders>
            <w:shd w:val="clear" w:color="auto" w:fill="auto"/>
            <w:noWrap/>
            <w:vAlign w:val="bottom"/>
            <w:hideMark/>
          </w:tcPr>
          <w:p w:rsidR="00BD22B8" w:rsidRPr="002F0734" w:rsidRDefault="00BD22B8" w:rsidP="00FE5629">
            <w:pPr>
              <w:jc w:val="right"/>
              <w:rPr>
                <w:rFonts w:ascii="Calibri" w:hAnsi="Calibri" w:cs="Arial"/>
                <w:color w:val="000000"/>
                <w:sz w:val="22"/>
                <w:szCs w:val="22"/>
              </w:rPr>
            </w:pPr>
            <w:r w:rsidRPr="002F0734">
              <w:rPr>
                <w:rFonts w:ascii="Calibri" w:hAnsi="Calibri" w:cs="Arial"/>
                <w:color w:val="000000"/>
                <w:sz w:val="22"/>
                <w:szCs w:val="22"/>
              </w:rPr>
              <w:t>27 915,00</w:t>
            </w:r>
          </w:p>
        </w:tc>
      </w:tr>
      <w:tr w:rsidR="00BD22B8" w:rsidRPr="002F0734" w:rsidTr="00FE5629">
        <w:trPr>
          <w:trHeight w:val="300"/>
          <w:jc w:val="center"/>
        </w:trPr>
        <w:tc>
          <w:tcPr>
            <w:tcW w:w="4972" w:type="dxa"/>
            <w:tcBorders>
              <w:top w:val="nil"/>
              <w:left w:val="single" w:sz="4" w:space="0" w:color="auto"/>
              <w:bottom w:val="single" w:sz="4" w:space="0" w:color="auto"/>
              <w:right w:val="single" w:sz="4" w:space="0" w:color="auto"/>
            </w:tcBorders>
            <w:shd w:val="clear" w:color="auto" w:fill="auto"/>
            <w:vAlign w:val="bottom"/>
            <w:hideMark/>
          </w:tcPr>
          <w:p w:rsidR="00BD22B8" w:rsidRPr="002F0734" w:rsidRDefault="00BD22B8" w:rsidP="00FE5629">
            <w:pPr>
              <w:rPr>
                <w:rFonts w:ascii="Calibri" w:hAnsi="Calibri" w:cs="Arial"/>
                <w:color w:val="000000"/>
                <w:sz w:val="22"/>
                <w:szCs w:val="22"/>
              </w:rPr>
            </w:pPr>
            <w:r w:rsidRPr="002F0734">
              <w:rPr>
                <w:rFonts w:ascii="Calibri" w:hAnsi="Calibri" w:cs="Arial"/>
                <w:color w:val="000000"/>
                <w:sz w:val="22"/>
                <w:szCs w:val="22"/>
              </w:rPr>
              <w:t>Biopotraviny</w:t>
            </w:r>
          </w:p>
        </w:tc>
        <w:tc>
          <w:tcPr>
            <w:tcW w:w="1448" w:type="dxa"/>
            <w:tcBorders>
              <w:top w:val="nil"/>
              <w:left w:val="nil"/>
              <w:bottom w:val="single" w:sz="4" w:space="0" w:color="auto"/>
              <w:right w:val="single" w:sz="4" w:space="0" w:color="auto"/>
            </w:tcBorders>
            <w:shd w:val="clear" w:color="auto" w:fill="auto"/>
            <w:vAlign w:val="bottom"/>
            <w:hideMark/>
          </w:tcPr>
          <w:p w:rsidR="00BD22B8" w:rsidRPr="002F0734" w:rsidRDefault="00BD22B8" w:rsidP="00FE5629">
            <w:pPr>
              <w:jc w:val="right"/>
              <w:rPr>
                <w:rFonts w:ascii="Calibri" w:hAnsi="Calibri" w:cs="Arial"/>
                <w:color w:val="000000"/>
                <w:sz w:val="22"/>
                <w:szCs w:val="22"/>
              </w:rPr>
            </w:pPr>
            <w:r w:rsidRPr="002F0734">
              <w:rPr>
                <w:rFonts w:ascii="Calibri" w:hAnsi="Calibri" w:cs="Arial"/>
                <w:color w:val="000000"/>
                <w:sz w:val="22"/>
                <w:szCs w:val="22"/>
              </w:rPr>
              <w:t>194</w:t>
            </w:r>
          </w:p>
        </w:tc>
        <w:tc>
          <w:tcPr>
            <w:tcW w:w="1620" w:type="dxa"/>
            <w:tcBorders>
              <w:top w:val="nil"/>
              <w:left w:val="nil"/>
              <w:bottom w:val="single" w:sz="4" w:space="0" w:color="auto"/>
              <w:right w:val="single" w:sz="4" w:space="0" w:color="auto"/>
            </w:tcBorders>
            <w:shd w:val="clear" w:color="auto" w:fill="auto"/>
            <w:noWrap/>
            <w:vAlign w:val="bottom"/>
            <w:hideMark/>
          </w:tcPr>
          <w:p w:rsidR="00BD22B8" w:rsidRPr="002F0734" w:rsidRDefault="00BD22B8" w:rsidP="00FE5629">
            <w:pPr>
              <w:jc w:val="right"/>
              <w:rPr>
                <w:rFonts w:ascii="Calibri" w:hAnsi="Calibri" w:cs="Arial"/>
                <w:color w:val="000000"/>
                <w:sz w:val="22"/>
                <w:szCs w:val="22"/>
              </w:rPr>
            </w:pPr>
            <w:r w:rsidRPr="002F0734">
              <w:rPr>
                <w:rFonts w:ascii="Calibri" w:hAnsi="Calibri" w:cs="Arial"/>
                <w:color w:val="000000"/>
                <w:sz w:val="22"/>
                <w:szCs w:val="22"/>
              </w:rPr>
              <w:t>111 924,53</w:t>
            </w:r>
          </w:p>
        </w:tc>
      </w:tr>
      <w:tr w:rsidR="00BD22B8" w:rsidRPr="002F0734" w:rsidTr="00FE5629">
        <w:trPr>
          <w:trHeight w:val="300"/>
          <w:jc w:val="center"/>
        </w:trPr>
        <w:tc>
          <w:tcPr>
            <w:tcW w:w="4972" w:type="dxa"/>
            <w:tcBorders>
              <w:top w:val="nil"/>
              <w:left w:val="single" w:sz="4" w:space="0" w:color="auto"/>
              <w:bottom w:val="single" w:sz="4" w:space="0" w:color="auto"/>
              <w:right w:val="single" w:sz="4" w:space="0" w:color="auto"/>
            </w:tcBorders>
            <w:shd w:val="clear" w:color="auto" w:fill="auto"/>
            <w:vAlign w:val="bottom"/>
            <w:hideMark/>
          </w:tcPr>
          <w:p w:rsidR="00BD22B8" w:rsidRPr="002F0734" w:rsidRDefault="00BD22B8" w:rsidP="00FE5629">
            <w:pPr>
              <w:rPr>
                <w:rFonts w:ascii="Calibri" w:hAnsi="Calibri" w:cs="Arial"/>
                <w:color w:val="000000"/>
                <w:sz w:val="22"/>
                <w:szCs w:val="22"/>
              </w:rPr>
            </w:pPr>
            <w:r w:rsidRPr="002F0734">
              <w:rPr>
                <w:rFonts w:ascii="Calibri" w:hAnsi="Calibri" w:cs="Arial"/>
                <w:color w:val="000000"/>
                <w:sz w:val="22"/>
                <w:szCs w:val="22"/>
              </w:rPr>
              <w:t>Environmentálne nakladanie s odpadmi</w:t>
            </w:r>
          </w:p>
        </w:tc>
        <w:tc>
          <w:tcPr>
            <w:tcW w:w="1448" w:type="dxa"/>
            <w:tcBorders>
              <w:top w:val="nil"/>
              <w:left w:val="nil"/>
              <w:bottom w:val="single" w:sz="4" w:space="0" w:color="auto"/>
              <w:right w:val="single" w:sz="4" w:space="0" w:color="auto"/>
            </w:tcBorders>
            <w:shd w:val="clear" w:color="auto" w:fill="auto"/>
            <w:vAlign w:val="bottom"/>
            <w:hideMark/>
          </w:tcPr>
          <w:p w:rsidR="00BD22B8" w:rsidRPr="002F0734" w:rsidRDefault="00BD22B8" w:rsidP="00FE5629">
            <w:pPr>
              <w:jc w:val="right"/>
              <w:rPr>
                <w:rFonts w:ascii="Calibri" w:hAnsi="Calibri" w:cs="Arial"/>
                <w:color w:val="000000"/>
                <w:sz w:val="22"/>
                <w:szCs w:val="22"/>
              </w:rPr>
            </w:pPr>
            <w:r>
              <w:rPr>
                <w:rFonts w:ascii="Calibri" w:hAnsi="Calibri" w:cs="Arial"/>
                <w:color w:val="000000"/>
                <w:sz w:val="22"/>
                <w:szCs w:val="22"/>
              </w:rPr>
              <w:t>868</w:t>
            </w:r>
          </w:p>
        </w:tc>
        <w:tc>
          <w:tcPr>
            <w:tcW w:w="1620" w:type="dxa"/>
            <w:tcBorders>
              <w:top w:val="nil"/>
              <w:left w:val="nil"/>
              <w:bottom w:val="single" w:sz="4" w:space="0" w:color="auto"/>
              <w:right w:val="single" w:sz="4" w:space="0" w:color="auto"/>
            </w:tcBorders>
            <w:shd w:val="clear" w:color="auto" w:fill="auto"/>
            <w:noWrap/>
            <w:vAlign w:val="bottom"/>
            <w:hideMark/>
          </w:tcPr>
          <w:p w:rsidR="00BD22B8" w:rsidRPr="002F0734" w:rsidRDefault="00BD22B8" w:rsidP="00FE5629">
            <w:pPr>
              <w:jc w:val="right"/>
              <w:rPr>
                <w:rFonts w:ascii="Calibri" w:hAnsi="Calibri" w:cs="Arial"/>
                <w:color w:val="000000"/>
                <w:sz w:val="22"/>
                <w:szCs w:val="22"/>
              </w:rPr>
            </w:pPr>
            <w:r>
              <w:rPr>
                <w:rFonts w:ascii="Calibri" w:hAnsi="Calibri" w:cs="Arial"/>
                <w:color w:val="000000"/>
                <w:sz w:val="22"/>
                <w:szCs w:val="22"/>
              </w:rPr>
              <w:t>103 697 933,78</w:t>
            </w:r>
          </w:p>
        </w:tc>
      </w:tr>
      <w:tr w:rsidR="00BD22B8" w:rsidRPr="002F0734" w:rsidTr="00FE5629">
        <w:trPr>
          <w:trHeight w:val="300"/>
          <w:jc w:val="center"/>
        </w:trPr>
        <w:tc>
          <w:tcPr>
            <w:tcW w:w="4972" w:type="dxa"/>
            <w:tcBorders>
              <w:top w:val="nil"/>
              <w:left w:val="single" w:sz="4" w:space="0" w:color="auto"/>
              <w:bottom w:val="single" w:sz="4" w:space="0" w:color="auto"/>
              <w:right w:val="single" w:sz="4" w:space="0" w:color="auto"/>
            </w:tcBorders>
            <w:shd w:val="clear" w:color="auto" w:fill="auto"/>
            <w:vAlign w:val="bottom"/>
            <w:hideMark/>
          </w:tcPr>
          <w:p w:rsidR="00BD22B8" w:rsidRPr="002F0734" w:rsidRDefault="00BD22B8" w:rsidP="00FE5629">
            <w:pPr>
              <w:rPr>
                <w:rFonts w:ascii="Calibri" w:hAnsi="Calibri" w:cs="Arial"/>
                <w:color w:val="000000"/>
                <w:sz w:val="22"/>
                <w:szCs w:val="22"/>
              </w:rPr>
            </w:pPr>
            <w:r w:rsidRPr="002F0734">
              <w:rPr>
                <w:rFonts w:ascii="Calibri" w:hAnsi="Calibri" w:cs="Arial"/>
                <w:color w:val="000000"/>
                <w:sz w:val="22"/>
                <w:szCs w:val="22"/>
              </w:rPr>
              <w:t>Redukcia obalov</w:t>
            </w:r>
          </w:p>
        </w:tc>
        <w:tc>
          <w:tcPr>
            <w:tcW w:w="1448" w:type="dxa"/>
            <w:tcBorders>
              <w:top w:val="nil"/>
              <w:left w:val="nil"/>
              <w:bottom w:val="single" w:sz="4" w:space="0" w:color="auto"/>
              <w:right w:val="single" w:sz="4" w:space="0" w:color="auto"/>
            </w:tcBorders>
            <w:shd w:val="clear" w:color="auto" w:fill="auto"/>
            <w:vAlign w:val="bottom"/>
            <w:hideMark/>
          </w:tcPr>
          <w:p w:rsidR="00BD22B8" w:rsidRPr="002F0734" w:rsidRDefault="00BD22B8" w:rsidP="00FE5629">
            <w:pPr>
              <w:jc w:val="right"/>
              <w:rPr>
                <w:rFonts w:ascii="Calibri" w:hAnsi="Calibri" w:cs="Arial"/>
                <w:color w:val="000000"/>
                <w:sz w:val="22"/>
                <w:szCs w:val="22"/>
              </w:rPr>
            </w:pPr>
            <w:r>
              <w:rPr>
                <w:rFonts w:ascii="Calibri" w:hAnsi="Calibri" w:cs="Arial"/>
                <w:color w:val="000000"/>
                <w:sz w:val="22"/>
                <w:szCs w:val="22"/>
              </w:rPr>
              <w:t>96</w:t>
            </w:r>
          </w:p>
        </w:tc>
        <w:tc>
          <w:tcPr>
            <w:tcW w:w="1620" w:type="dxa"/>
            <w:tcBorders>
              <w:top w:val="nil"/>
              <w:left w:val="nil"/>
              <w:bottom w:val="single" w:sz="4" w:space="0" w:color="auto"/>
              <w:right w:val="single" w:sz="4" w:space="0" w:color="auto"/>
            </w:tcBorders>
            <w:shd w:val="clear" w:color="auto" w:fill="auto"/>
            <w:noWrap/>
            <w:vAlign w:val="bottom"/>
            <w:hideMark/>
          </w:tcPr>
          <w:p w:rsidR="00BD22B8" w:rsidRPr="002F0734" w:rsidRDefault="00BD22B8" w:rsidP="00FE5629">
            <w:pPr>
              <w:jc w:val="right"/>
              <w:rPr>
                <w:rFonts w:ascii="Calibri" w:hAnsi="Calibri" w:cs="Arial"/>
                <w:color w:val="000000"/>
                <w:sz w:val="22"/>
                <w:szCs w:val="22"/>
              </w:rPr>
            </w:pPr>
            <w:r>
              <w:rPr>
                <w:rFonts w:ascii="Calibri" w:hAnsi="Calibri" w:cs="Arial"/>
                <w:color w:val="000000"/>
                <w:sz w:val="22"/>
                <w:szCs w:val="22"/>
              </w:rPr>
              <w:t>1 106 354,90</w:t>
            </w:r>
          </w:p>
        </w:tc>
      </w:tr>
      <w:tr w:rsidR="00BD22B8" w:rsidRPr="002F0734" w:rsidTr="00FE5629">
        <w:trPr>
          <w:trHeight w:val="300"/>
          <w:jc w:val="center"/>
        </w:trPr>
        <w:tc>
          <w:tcPr>
            <w:tcW w:w="4972" w:type="dxa"/>
            <w:tcBorders>
              <w:top w:val="nil"/>
              <w:left w:val="single" w:sz="4" w:space="0" w:color="auto"/>
              <w:bottom w:val="single" w:sz="4" w:space="0" w:color="auto"/>
              <w:right w:val="single" w:sz="4" w:space="0" w:color="auto"/>
            </w:tcBorders>
            <w:shd w:val="clear" w:color="auto" w:fill="auto"/>
            <w:vAlign w:val="bottom"/>
            <w:hideMark/>
          </w:tcPr>
          <w:p w:rsidR="00BD22B8" w:rsidRPr="002F0734" w:rsidRDefault="00BD22B8" w:rsidP="00FE5629">
            <w:pPr>
              <w:rPr>
                <w:rFonts w:ascii="Calibri" w:hAnsi="Calibri" w:cs="Arial"/>
                <w:color w:val="000000"/>
                <w:sz w:val="22"/>
                <w:szCs w:val="22"/>
              </w:rPr>
            </w:pPr>
            <w:r w:rsidRPr="002F0734">
              <w:rPr>
                <w:rFonts w:ascii="Calibri" w:hAnsi="Calibri" w:cs="Arial"/>
                <w:color w:val="000000"/>
                <w:sz w:val="22"/>
                <w:szCs w:val="22"/>
              </w:rPr>
              <w:t>Recyklovateľné materiály</w:t>
            </w:r>
          </w:p>
        </w:tc>
        <w:tc>
          <w:tcPr>
            <w:tcW w:w="1448" w:type="dxa"/>
            <w:tcBorders>
              <w:top w:val="nil"/>
              <w:left w:val="nil"/>
              <w:bottom w:val="single" w:sz="4" w:space="0" w:color="auto"/>
              <w:right w:val="single" w:sz="4" w:space="0" w:color="auto"/>
            </w:tcBorders>
            <w:shd w:val="clear" w:color="auto" w:fill="auto"/>
            <w:noWrap/>
            <w:vAlign w:val="bottom"/>
            <w:hideMark/>
          </w:tcPr>
          <w:p w:rsidR="00BD22B8" w:rsidRPr="002F0734" w:rsidRDefault="00BD22B8" w:rsidP="00FE5629">
            <w:pPr>
              <w:jc w:val="right"/>
              <w:rPr>
                <w:rFonts w:ascii="Calibri" w:hAnsi="Calibri" w:cs="Arial"/>
                <w:color w:val="000000"/>
                <w:sz w:val="22"/>
                <w:szCs w:val="22"/>
              </w:rPr>
            </w:pPr>
            <w:r w:rsidRPr="002F0734">
              <w:rPr>
                <w:rFonts w:ascii="Calibri" w:hAnsi="Calibri" w:cs="Arial"/>
                <w:color w:val="000000"/>
                <w:sz w:val="22"/>
                <w:szCs w:val="22"/>
              </w:rPr>
              <w:t>257</w:t>
            </w:r>
          </w:p>
        </w:tc>
        <w:tc>
          <w:tcPr>
            <w:tcW w:w="1620" w:type="dxa"/>
            <w:tcBorders>
              <w:top w:val="nil"/>
              <w:left w:val="nil"/>
              <w:bottom w:val="single" w:sz="4" w:space="0" w:color="auto"/>
              <w:right w:val="single" w:sz="4" w:space="0" w:color="auto"/>
            </w:tcBorders>
            <w:shd w:val="clear" w:color="auto" w:fill="auto"/>
            <w:noWrap/>
            <w:vAlign w:val="bottom"/>
            <w:hideMark/>
          </w:tcPr>
          <w:p w:rsidR="00BD22B8" w:rsidRPr="002F0734" w:rsidRDefault="00BD22B8" w:rsidP="00FE5629">
            <w:pPr>
              <w:jc w:val="right"/>
              <w:rPr>
                <w:rFonts w:ascii="Calibri" w:hAnsi="Calibri" w:cs="Arial"/>
                <w:color w:val="000000"/>
                <w:sz w:val="22"/>
                <w:szCs w:val="22"/>
              </w:rPr>
            </w:pPr>
            <w:r w:rsidRPr="002F0734">
              <w:rPr>
                <w:rFonts w:ascii="Calibri" w:hAnsi="Calibri" w:cs="Arial"/>
                <w:color w:val="000000"/>
                <w:sz w:val="22"/>
                <w:szCs w:val="22"/>
              </w:rPr>
              <w:t>1 030 845,84</w:t>
            </w:r>
          </w:p>
        </w:tc>
      </w:tr>
      <w:tr w:rsidR="00BD22B8" w:rsidRPr="002F0734" w:rsidTr="00FE5629">
        <w:trPr>
          <w:trHeight w:val="300"/>
          <w:jc w:val="center"/>
        </w:trPr>
        <w:tc>
          <w:tcPr>
            <w:tcW w:w="4972" w:type="dxa"/>
            <w:tcBorders>
              <w:top w:val="nil"/>
              <w:left w:val="single" w:sz="4" w:space="0" w:color="auto"/>
              <w:bottom w:val="single" w:sz="4" w:space="0" w:color="auto"/>
              <w:right w:val="single" w:sz="4" w:space="0" w:color="auto"/>
            </w:tcBorders>
            <w:shd w:val="clear" w:color="auto" w:fill="auto"/>
            <w:vAlign w:val="bottom"/>
            <w:hideMark/>
          </w:tcPr>
          <w:p w:rsidR="00BD22B8" w:rsidRPr="002F0734" w:rsidRDefault="00BD22B8" w:rsidP="00FE5629">
            <w:pPr>
              <w:rPr>
                <w:rFonts w:ascii="Calibri" w:hAnsi="Calibri" w:cs="Arial"/>
                <w:color w:val="000000"/>
                <w:sz w:val="22"/>
                <w:szCs w:val="22"/>
              </w:rPr>
            </w:pPr>
            <w:r w:rsidRPr="002F0734">
              <w:rPr>
                <w:rFonts w:ascii="Calibri" w:hAnsi="Calibri" w:cs="Arial"/>
                <w:color w:val="000000"/>
                <w:sz w:val="22"/>
                <w:szCs w:val="22"/>
              </w:rPr>
              <w:t>Recyklované materiály</w:t>
            </w:r>
          </w:p>
        </w:tc>
        <w:tc>
          <w:tcPr>
            <w:tcW w:w="1448" w:type="dxa"/>
            <w:tcBorders>
              <w:top w:val="nil"/>
              <w:left w:val="nil"/>
              <w:bottom w:val="single" w:sz="4" w:space="0" w:color="auto"/>
              <w:right w:val="single" w:sz="4" w:space="0" w:color="auto"/>
            </w:tcBorders>
            <w:shd w:val="clear" w:color="auto" w:fill="auto"/>
            <w:noWrap/>
            <w:vAlign w:val="bottom"/>
            <w:hideMark/>
          </w:tcPr>
          <w:p w:rsidR="00BD22B8" w:rsidRPr="002F0734" w:rsidRDefault="00BD22B8" w:rsidP="00FE5629">
            <w:pPr>
              <w:jc w:val="right"/>
              <w:rPr>
                <w:rFonts w:ascii="Calibri" w:hAnsi="Calibri" w:cs="Arial"/>
                <w:color w:val="000000"/>
                <w:sz w:val="22"/>
                <w:szCs w:val="22"/>
              </w:rPr>
            </w:pPr>
            <w:r w:rsidRPr="002F0734">
              <w:rPr>
                <w:rFonts w:ascii="Calibri" w:hAnsi="Calibri" w:cs="Arial"/>
                <w:color w:val="000000"/>
                <w:sz w:val="22"/>
                <w:szCs w:val="22"/>
              </w:rPr>
              <w:t>512</w:t>
            </w:r>
          </w:p>
        </w:tc>
        <w:tc>
          <w:tcPr>
            <w:tcW w:w="1620" w:type="dxa"/>
            <w:tcBorders>
              <w:top w:val="nil"/>
              <w:left w:val="nil"/>
              <w:bottom w:val="single" w:sz="4" w:space="0" w:color="auto"/>
              <w:right w:val="single" w:sz="4" w:space="0" w:color="auto"/>
            </w:tcBorders>
            <w:shd w:val="clear" w:color="auto" w:fill="auto"/>
            <w:noWrap/>
            <w:vAlign w:val="bottom"/>
            <w:hideMark/>
          </w:tcPr>
          <w:p w:rsidR="00BD22B8" w:rsidRPr="002F0734" w:rsidRDefault="00BD22B8" w:rsidP="00FE5629">
            <w:pPr>
              <w:jc w:val="right"/>
              <w:rPr>
                <w:rFonts w:ascii="Calibri" w:hAnsi="Calibri" w:cs="Arial"/>
                <w:color w:val="000000"/>
                <w:sz w:val="22"/>
                <w:szCs w:val="22"/>
              </w:rPr>
            </w:pPr>
            <w:r w:rsidRPr="002F0734">
              <w:rPr>
                <w:rFonts w:ascii="Calibri" w:hAnsi="Calibri" w:cs="Arial"/>
                <w:color w:val="000000"/>
                <w:sz w:val="22"/>
                <w:szCs w:val="22"/>
              </w:rPr>
              <w:t>852 665,35</w:t>
            </w:r>
          </w:p>
        </w:tc>
      </w:tr>
      <w:tr w:rsidR="00BD22B8" w:rsidRPr="002F0734" w:rsidTr="00FE5629">
        <w:trPr>
          <w:trHeight w:val="300"/>
          <w:jc w:val="center"/>
        </w:trPr>
        <w:tc>
          <w:tcPr>
            <w:tcW w:w="4972" w:type="dxa"/>
            <w:tcBorders>
              <w:top w:val="nil"/>
              <w:left w:val="single" w:sz="4" w:space="0" w:color="auto"/>
              <w:bottom w:val="single" w:sz="4" w:space="0" w:color="auto"/>
              <w:right w:val="single" w:sz="4" w:space="0" w:color="auto"/>
            </w:tcBorders>
            <w:shd w:val="clear" w:color="auto" w:fill="auto"/>
            <w:vAlign w:val="bottom"/>
            <w:hideMark/>
          </w:tcPr>
          <w:p w:rsidR="00BD22B8" w:rsidRPr="002F0734" w:rsidRDefault="00BD22B8" w:rsidP="00FE5629">
            <w:pPr>
              <w:rPr>
                <w:rFonts w:ascii="Calibri" w:hAnsi="Calibri" w:cs="Arial"/>
                <w:color w:val="000000"/>
                <w:sz w:val="22"/>
                <w:szCs w:val="22"/>
              </w:rPr>
            </w:pPr>
            <w:r w:rsidRPr="002F0734">
              <w:rPr>
                <w:rFonts w:ascii="Calibri" w:hAnsi="Calibri" w:cs="Arial"/>
                <w:color w:val="000000"/>
                <w:sz w:val="22"/>
                <w:szCs w:val="22"/>
              </w:rPr>
              <w:t>Znižovanie hluku</w:t>
            </w:r>
          </w:p>
        </w:tc>
        <w:tc>
          <w:tcPr>
            <w:tcW w:w="1448" w:type="dxa"/>
            <w:tcBorders>
              <w:top w:val="nil"/>
              <w:left w:val="nil"/>
              <w:bottom w:val="single" w:sz="4" w:space="0" w:color="auto"/>
              <w:right w:val="single" w:sz="4" w:space="0" w:color="auto"/>
            </w:tcBorders>
            <w:shd w:val="clear" w:color="auto" w:fill="auto"/>
            <w:noWrap/>
            <w:vAlign w:val="bottom"/>
            <w:hideMark/>
          </w:tcPr>
          <w:p w:rsidR="00BD22B8" w:rsidRPr="002F0734" w:rsidRDefault="00BD22B8" w:rsidP="00FE5629">
            <w:pPr>
              <w:jc w:val="right"/>
              <w:rPr>
                <w:rFonts w:ascii="Calibri" w:hAnsi="Calibri" w:cs="Arial"/>
                <w:color w:val="000000"/>
                <w:sz w:val="22"/>
                <w:szCs w:val="22"/>
              </w:rPr>
            </w:pPr>
            <w:r w:rsidRPr="002F0734">
              <w:rPr>
                <w:rFonts w:ascii="Calibri" w:hAnsi="Calibri" w:cs="Arial"/>
                <w:color w:val="000000"/>
                <w:sz w:val="22"/>
                <w:szCs w:val="22"/>
              </w:rPr>
              <w:t>151</w:t>
            </w:r>
          </w:p>
        </w:tc>
        <w:tc>
          <w:tcPr>
            <w:tcW w:w="1620" w:type="dxa"/>
            <w:tcBorders>
              <w:top w:val="nil"/>
              <w:left w:val="nil"/>
              <w:bottom w:val="single" w:sz="4" w:space="0" w:color="auto"/>
              <w:right w:val="single" w:sz="4" w:space="0" w:color="auto"/>
            </w:tcBorders>
            <w:shd w:val="clear" w:color="auto" w:fill="auto"/>
            <w:noWrap/>
            <w:vAlign w:val="bottom"/>
            <w:hideMark/>
          </w:tcPr>
          <w:p w:rsidR="00BD22B8" w:rsidRPr="002F0734" w:rsidRDefault="00BD22B8" w:rsidP="00FE5629">
            <w:pPr>
              <w:jc w:val="right"/>
              <w:rPr>
                <w:rFonts w:ascii="Calibri" w:hAnsi="Calibri" w:cs="Arial"/>
                <w:color w:val="000000"/>
                <w:sz w:val="22"/>
                <w:szCs w:val="22"/>
              </w:rPr>
            </w:pPr>
            <w:r w:rsidRPr="002F0734">
              <w:rPr>
                <w:rFonts w:ascii="Calibri" w:hAnsi="Calibri" w:cs="Arial"/>
                <w:color w:val="000000"/>
                <w:sz w:val="22"/>
                <w:szCs w:val="22"/>
              </w:rPr>
              <w:t>2 166 946,05</w:t>
            </w:r>
          </w:p>
        </w:tc>
      </w:tr>
      <w:tr w:rsidR="00BD22B8" w:rsidRPr="002F0734" w:rsidTr="00FE5629">
        <w:trPr>
          <w:trHeight w:val="300"/>
          <w:jc w:val="center"/>
        </w:trPr>
        <w:tc>
          <w:tcPr>
            <w:tcW w:w="4972" w:type="dxa"/>
            <w:tcBorders>
              <w:top w:val="nil"/>
              <w:left w:val="single" w:sz="4" w:space="0" w:color="auto"/>
              <w:bottom w:val="single" w:sz="4" w:space="0" w:color="auto"/>
              <w:right w:val="single" w:sz="4" w:space="0" w:color="auto"/>
            </w:tcBorders>
            <w:shd w:val="clear" w:color="auto" w:fill="auto"/>
            <w:vAlign w:val="bottom"/>
            <w:hideMark/>
          </w:tcPr>
          <w:p w:rsidR="00BD22B8" w:rsidRPr="002F0734" w:rsidRDefault="00BD22B8" w:rsidP="00FE5629">
            <w:pPr>
              <w:rPr>
                <w:rFonts w:ascii="Calibri" w:hAnsi="Calibri" w:cs="Arial"/>
                <w:color w:val="000000"/>
                <w:sz w:val="22"/>
                <w:szCs w:val="22"/>
              </w:rPr>
            </w:pPr>
            <w:r w:rsidRPr="002F0734">
              <w:rPr>
                <w:rFonts w:ascii="Calibri" w:hAnsi="Calibri" w:cs="Arial"/>
                <w:color w:val="000000"/>
                <w:sz w:val="22"/>
                <w:szCs w:val="22"/>
              </w:rPr>
              <w:t>Znížený/min. vplyv na biodiverzitu</w:t>
            </w:r>
          </w:p>
        </w:tc>
        <w:tc>
          <w:tcPr>
            <w:tcW w:w="1448" w:type="dxa"/>
            <w:tcBorders>
              <w:top w:val="nil"/>
              <w:left w:val="nil"/>
              <w:bottom w:val="single" w:sz="4" w:space="0" w:color="auto"/>
              <w:right w:val="single" w:sz="4" w:space="0" w:color="auto"/>
            </w:tcBorders>
            <w:shd w:val="clear" w:color="auto" w:fill="auto"/>
            <w:noWrap/>
            <w:vAlign w:val="bottom"/>
            <w:hideMark/>
          </w:tcPr>
          <w:p w:rsidR="00BD22B8" w:rsidRPr="002F0734" w:rsidRDefault="00BD22B8" w:rsidP="00FE5629">
            <w:pPr>
              <w:jc w:val="right"/>
              <w:rPr>
                <w:rFonts w:ascii="Calibri" w:hAnsi="Calibri" w:cs="Arial"/>
                <w:color w:val="000000"/>
                <w:sz w:val="22"/>
                <w:szCs w:val="22"/>
              </w:rPr>
            </w:pPr>
            <w:r w:rsidRPr="002F0734">
              <w:rPr>
                <w:rFonts w:ascii="Calibri" w:hAnsi="Calibri" w:cs="Arial"/>
                <w:color w:val="000000"/>
                <w:sz w:val="22"/>
                <w:szCs w:val="22"/>
              </w:rPr>
              <w:t>5</w:t>
            </w:r>
          </w:p>
        </w:tc>
        <w:tc>
          <w:tcPr>
            <w:tcW w:w="1620" w:type="dxa"/>
            <w:tcBorders>
              <w:top w:val="nil"/>
              <w:left w:val="nil"/>
              <w:bottom w:val="single" w:sz="4" w:space="0" w:color="auto"/>
              <w:right w:val="single" w:sz="4" w:space="0" w:color="auto"/>
            </w:tcBorders>
            <w:shd w:val="clear" w:color="auto" w:fill="auto"/>
            <w:noWrap/>
            <w:vAlign w:val="bottom"/>
            <w:hideMark/>
          </w:tcPr>
          <w:p w:rsidR="00BD22B8" w:rsidRPr="002F0734" w:rsidRDefault="00BD22B8" w:rsidP="00FE5629">
            <w:pPr>
              <w:jc w:val="right"/>
              <w:rPr>
                <w:rFonts w:ascii="Calibri" w:hAnsi="Calibri" w:cs="Arial"/>
                <w:color w:val="000000"/>
                <w:sz w:val="22"/>
                <w:szCs w:val="22"/>
              </w:rPr>
            </w:pPr>
            <w:r w:rsidRPr="002F0734">
              <w:rPr>
                <w:rFonts w:ascii="Calibri" w:hAnsi="Calibri" w:cs="Arial"/>
                <w:color w:val="000000"/>
                <w:sz w:val="22"/>
                <w:szCs w:val="22"/>
              </w:rPr>
              <w:t>350 262,00</w:t>
            </w:r>
          </w:p>
        </w:tc>
      </w:tr>
      <w:tr w:rsidR="00BD22B8" w:rsidRPr="002F0734" w:rsidTr="00FE5629">
        <w:trPr>
          <w:trHeight w:val="300"/>
          <w:jc w:val="center"/>
        </w:trPr>
        <w:tc>
          <w:tcPr>
            <w:tcW w:w="4972" w:type="dxa"/>
            <w:tcBorders>
              <w:top w:val="nil"/>
              <w:left w:val="single" w:sz="4" w:space="0" w:color="auto"/>
              <w:bottom w:val="single" w:sz="4" w:space="0" w:color="auto"/>
              <w:right w:val="single" w:sz="4" w:space="0" w:color="auto"/>
            </w:tcBorders>
            <w:shd w:val="clear" w:color="auto" w:fill="auto"/>
            <w:vAlign w:val="bottom"/>
            <w:hideMark/>
          </w:tcPr>
          <w:p w:rsidR="00BD22B8" w:rsidRPr="002F0734" w:rsidRDefault="00BD22B8" w:rsidP="00FE5629">
            <w:pPr>
              <w:rPr>
                <w:rFonts w:ascii="Calibri" w:hAnsi="Calibri" w:cs="Arial"/>
                <w:b/>
                <w:bCs/>
                <w:color w:val="000000"/>
                <w:sz w:val="22"/>
                <w:szCs w:val="22"/>
              </w:rPr>
            </w:pPr>
            <w:r w:rsidRPr="002F0734">
              <w:rPr>
                <w:rFonts w:ascii="Calibri" w:hAnsi="Calibri" w:cs="Arial"/>
                <w:b/>
                <w:bCs/>
                <w:color w:val="000000"/>
                <w:sz w:val="22"/>
                <w:szCs w:val="22"/>
              </w:rPr>
              <w:t>Spolu</w:t>
            </w:r>
          </w:p>
        </w:tc>
        <w:tc>
          <w:tcPr>
            <w:tcW w:w="1448" w:type="dxa"/>
            <w:tcBorders>
              <w:top w:val="nil"/>
              <w:left w:val="nil"/>
              <w:bottom w:val="single" w:sz="4" w:space="0" w:color="auto"/>
              <w:right w:val="single" w:sz="4" w:space="0" w:color="auto"/>
            </w:tcBorders>
            <w:shd w:val="clear" w:color="auto" w:fill="auto"/>
            <w:noWrap/>
            <w:vAlign w:val="bottom"/>
            <w:hideMark/>
          </w:tcPr>
          <w:p w:rsidR="00BD22B8" w:rsidRPr="002F0734" w:rsidRDefault="00BD22B8" w:rsidP="00FE5629">
            <w:pPr>
              <w:jc w:val="right"/>
              <w:rPr>
                <w:rFonts w:ascii="Calibri" w:hAnsi="Calibri"/>
                <w:b/>
                <w:bCs/>
                <w:color w:val="000000"/>
                <w:sz w:val="22"/>
                <w:szCs w:val="22"/>
              </w:rPr>
            </w:pPr>
            <w:r>
              <w:rPr>
                <w:rFonts w:ascii="Calibri" w:hAnsi="Calibri"/>
                <w:b/>
                <w:bCs/>
                <w:color w:val="000000"/>
                <w:sz w:val="22"/>
                <w:szCs w:val="22"/>
              </w:rPr>
              <w:t>3 837</w:t>
            </w:r>
          </w:p>
        </w:tc>
        <w:tc>
          <w:tcPr>
            <w:tcW w:w="1620" w:type="dxa"/>
            <w:tcBorders>
              <w:top w:val="nil"/>
              <w:left w:val="nil"/>
              <w:bottom w:val="single" w:sz="4" w:space="0" w:color="auto"/>
              <w:right w:val="single" w:sz="4" w:space="0" w:color="auto"/>
            </w:tcBorders>
            <w:shd w:val="clear" w:color="auto" w:fill="auto"/>
            <w:noWrap/>
            <w:vAlign w:val="bottom"/>
            <w:hideMark/>
          </w:tcPr>
          <w:p w:rsidR="00BD22B8" w:rsidRPr="002F0734" w:rsidRDefault="00BD22B8" w:rsidP="00FE5629">
            <w:pPr>
              <w:jc w:val="right"/>
              <w:rPr>
                <w:rFonts w:ascii="Calibri" w:hAnsi="Calibri"/>
                <w:b/>
                <w:bCs/>
                <w:color w:val="000000"/>
                <w:sz w:val="22"/>
                <w:szCs w:val="22"/>
              </w:rPr>
            </w:pPr>
            <w:r>
              <w:rPr>
                <w:rFonts w:ascii="Calibri" w:hAnsi="Calibri"/>
                <w:b/>
                <w:bCs/>
                <w:color w:val="000000"/>
                <w:sz w:val="22"/>
                <w:szCs w:val="22"/>
              </w:rPr>
              <w:t>127 278 723,60</w:t>
            </w:r>
          </w:p>
        </w:tc>
      </w:tr>
    </w:tbl>
    <w:p w:rsidR="00BD22B8" w:rsidRDefault="00BD22B8" w:rsidP="00BD22B8">
      <w:pPr>
        <w:jc w:val="both"/>
        <w:rPr>
          <w:rFonts w:ascii="Calibri" w:hAnsi="Calibri"/>
          <w:sz w:val="22"/>
          <w:szCs w:val="22"/>
        </w:rPr>
      </w:pPr>
    </w:p>
    <w:p w:rsidR="00A47BBB" w:rsidRDefault="00A47BBB" w:rsidP="00BD22B8">
      <w:pPr>
        <w:jc w:val="both"/>
        <w:rPr>
          <w:rFonts w:ascii="Calibri" w:hAnsi="Calibri"/>
          <w:sz w:val="22"/>
          <w:szCs w:val="22"/>
        </w:rPr>
      </w:pPr>
      <w:r w:rsidRPr="00984C3C">
        <w:t xml:space="preserve">Graf </w:t>
      </w:r>
      <w:r w:rsidR="00BD22B8" w:rsidRPr="00984C3C">
        <w:t>7 zobrazuje percentuálne podiely jednotlivých environmentálnych charakteristík, ktoré boli uplatnené v rámci GPP vo väzbe na indikátor 1.</w:t>
      </w:r>
    </w:p>
    <w:p w:rsidR="00BD22B8" w:rsidRPr="006A6C03" w:rsidRDefault="00C06902" w:rsidP="00BD22B8">
      <w:pPr>
        <w:rPr>
          <w:rFonts w:ascii="Calibri" w:hAnsi="Calibri"/>
          <w:bCs/>
          <w:sz w:val="18"/>
          <w:szCs w:val="18"/>
        </w:rPr>
      </w:pPr>
      <w:r>
        <w:rPr>
          <w:rFonts w:ascii="Calibri" w:hAnsi="Calibri"/>
          <w:bCs/>
          <w:sz w:val="22"/>
          <w:szCs w:val="22"/>
        </w:rPr>
        <w:object w:dxaOrig="9954" w:dyaOrig="6270">
          <v:shape id="_x0000_i1031" type="#_x0000_t75" style="width:498pt;height:313.5pt" o:ole="">
            <v:imagedata r:id="rId21" o:title=""/>
          </v:shape>
          <o:OLEObject Type="Embed" ProgID="Excel.Sheet.12" ShapeID="_x0000_i1031" DrawAspect="Content" ObjectID="_1432618864" r:id="rId22"/>
        </w:object>
      </w:r>
      <w:r w:rsidR="00BD22B8" w:rsidRPr="006A6C03">
        <w:rPr>
          <w:rFonts w:ascii="Calibri" w:hAnsi="Calibri"/>
          <w:bCs/>
          <w:sz w:val="18"/>
          <w:szCs w:val="18"/>
        </w:rPr>
        <w:t>Graf 7 Percentuálny podiel využitých environmentálnych charakteristík vo väzbe na indikátor 1</w:t>
      </w:r>
    </w:p>
    <w:p w:rsidR="00BD22B8" w:rsidRPr="00984C3C" w:rsidRDefault="00A47BBB" w:rsidP="00BD22B8">
      <w:pPr>
        <w:jc w:val="both"/>
      </w:pPr>
      <w:r w:rsidRPr="00984C3C">
        <w:lastRenderedPageBreak/>
        <w:t xml:space="preserve">Graf </w:t>
      </w:r>
      <w:r w:rsidR="00BD22B8" w:rsidRPr="00984C3C">
        <w:t xml:space="preserve"> 8 zobrazuje percentuálne podiely jednotlivých environmentálnych charakteristík,</w:t>
      </w:r>
      <w:r w:rsidRPr="00984C3C">
        <w:t xml:space="preserve"> uplatnených </w:t>
      </w:r>
      <w:r w:rsidR="00BD22B8" w:rsidRPr="00984C3C">
        <w:t xml:space="preserve"> </w:t>
      </w:r>
      <w:r w:rsidRPr="00984C3C">
        <w:t xml:space="preserve">vo </w:t>
      </w:r>
      <w:r w:rsidR="00BD22B8" w:rsidRPr="00984C3C">
        <w:t>väzbe na indikátor 2.</w:t>
      </w:r>
    </w:p>
    <w:p w:rsidR="00BD22B8" w:rsidRPr="00065F93" w:rsidRDefault="00BD22B8" w:rsidP="00BD22B8">
      <w:pPr>
        <w:rPr>
          <w:rFonts w:ascii="Calibri" w:hAnsi="Calibri"/>
          <w:bCs/>
          <w:sz w:val="22"/>
          <w:szCs w:val="22"/>
        </w:rPr>
      </w:pPr>
    </w:p>
    <w:p w:rsidR="00BD22B8" w:rsidRPr="00EE07D3" w:rsidRDefault="00BD22B8" w:rsidP="00BD22B8">
      <w:pPr>
        <w:rPr>
          <w:rFonts w:ascii="Calibri" w:hAnsi="Calibri"/>
          <w:bCs/>
          <w:sz w:val="18"/>
          <w:szCs w:val="18"/>
        </w:rPr>
      </w:pPr>
      <w:r>
        <w:rPr>
          <w:rFonts w:ascii="Calibri" w:hAnsi="Calibri"/>
          <w:sz w:val="22"/>
          <w:szCs w:val="22"/>
        </w:rPr>
        <w:object w:dxaOrig="10074" w:dyaOrig="6330">
          <v:shape id="_x0000_i1032" type="#_x0000_t75" style="width:7in;height:316.5pt" o:ole="">
            <v:imagedata r:id="rId23" o:title=""/>
          </v:shape>
          <o:OLEObject Type="Embed" ProgID="Excel.Sheet.12" ShapeID="_x0000_i1032" DrawAspect="Content" ObjectID="_1432618865" r:id="rId24"/>
        </w:object>
      </w:r>
      <w:r w:rsidRPr="00EE07D3">
        <w:rPr>
          <w:rFonts w:ascii="Calibri" w:hAnsi="Calibri"/>
          <w:bCs/>
          <w:sz w:val="18"/>
          <w:szCs w:val="18"/>
        </w:rPr>
        <w:t>Graf 8 Percentuálny podiel využitých environmentálnych charakteristík vo väzbe na indikátor 2</w:t>
      </w:r>
    </w:p>
    <w:p w:rsidR="00BD22B8" w:rsidRPr="002F0734" w:rsidRDefault="00BD22B8" w:rsidP="00BD22B8">
      <w:pPr>
        <w:jc w:val="center"/>
        <w:rPr>
          <w:rFonts w:ascii="Calibri" w:hAnsi="Calibri"/>
          <w:sz w:val="22"/>
          <w:szCs w:val="22"/>
        </w:rPr>
      </w:pPr>
    </w:p>
    <w:p w:rsidR="00BD22B8" w:rsidRPr="00984C3C" w:rsidRDefault="00BD22B8" w:rsidP="00BD22B8">
      <w:pPr>
        <w:pStyle w:val="Nadpis1"/>
        <w:spacing w:before="0" w:after="0"/>
        <w:rPr>
          <w:rFonts w:ascii="Times New Roman" w:hAnsi="Times New Roman" w:cs="Times New Roman"/>
          <w:sz w:val="24"/>
          <w:szCs w:val="24"/>
        </w:rPr>
      </w:pPr>
      <w:bookmarkStart w:id="10" w:name="_Toc355000156"/>
      <w:r w:rsidRPr="00984C3C">
        <w:rPr>
          <w:rFonts w:ascii="Times New Roman" w:hAnsi="Times New Roman" w:cs="Times New Roman"/>
          <w:sz w:val="24"/>
          <w:szCs w:val="24"/>
        </w:rPr>
        <w:t>Využívanie enviro</w:t>
      </w:r>
      <w:r w:rsidR="00A47BBB" w:rsidRPr="00984C3C">
        <w:rPr>
          <w:rFonts w:ascii="Times New Roman" w:hAnsi="Times New Roman" w:cs="Times New Roman"/>
          <w:sz w:val="24"/>
          <w:szCs w:val="24"/>
        </w:rPr>
        <w:t xml:space="preserve">nmentálnych kritérií </w:t>
      </w:r>
      <w:r w:rsidRPr="00984C3C">
        <w:rPr>
          <w:rFonts w:ascii="Times New Roman" w:hAnsi="Times New Roman" w:cs="Times New Roman"/>
          <w:sz w:val="24"/>
          <w:szCs w:val="24"/>
        </w:rPr>
        <w:t xml:space="preserve"> environmentálneho oz</w:t>
      </w:r>
      <w:r w:rsidR="00A47BBB" w:rsidRPr="00984C3C">
        <w:rPr>
          <w:rFonts w:ascii="Times New Roman" w:hAnsi="Times New Roman" w:cs="Times New Roman"/>
          <w:sz w:val="24"/>
          <w:szCs w:val="24"/>
        </w:rPr>
        <w:t>načova</w:t>
      </w:r>
      <w:r w:rsidRPr="00984C3C">
        <w:rPr>
          <w:rFonts w:ascii="Times New Roman" w:hAnsi="Times New Roman" w:cs="Times New Roman"/>
          <w:sz w:val="24"/>
          <w:szCs w:val="24"/>
        </w:rPr>
        <w:t>nia</w:t>
      </w:r>
      <w:bookmarkEnd w:id="10"/>
      <w:r w:rsidR="00A47BBB" w:rsidRPr="00984C3C">
        <w:rPr>
          <w:rFonts w:ascii="Times New Roman" w:hAnsi="Times New Roman" w:cs="Times New Roman"/>
          <w:sz w:val="24"/>
          <w:szCs w:val="24"/>
        </w:rPr>
        <w:t xml:space="preserve"> vo verejnom obstarávaní</w:t>
      </w:r>
    </w:p>
    <w:p w:rsidR="00BD22B8" w:rsidRPr="00984C3C" w:rsidRDefault="00BD22B8" w:rsidP="00BD22B8"/>
    <w:p w:rsidR="00BD22B8" w:rsidRPr="00984C3C" w:rsidRDefault="00BD22B8" w:rsidP="00BD22B8">
      <w:pPr>
        <w:jc w:val="both"/>
        <w:rPr>
          <w:bCs/>
        </w:rPr>
      </w:pPr>
      <w:r w:rsidRPr="00984C3C">
        <w:rPr>
          <w:bCs/>
        </w:rPr>
        <w:t xml:space="preserve">V zmysle § 34 ods. 2 písm. b) zákona o verejnom obstarávaní môže verejný obstarávateľ a obstarávateľ </w:t>
      </w:r>
      <w:r w:rsidRPr="00984C3C">
        <w:t>v súťažných podkladoch vypracovať opis predmetu zákazky na základe výkonnostných a funkčných požiadaviek, ktoré môžu zahŕňať environmentálne charakteristiky. Tieto charakteristiky môžu vychádzať zo špecifikácií</w:t>
      </w:r>
      <w:r w:rsidR="00A47BBB" w:rsidRPr="00984C3C">
        <w:t>,</w:t>
      </w:r>
      <w:r w:rsidRPr="00984C3C">
        <w:t xml:space="preserve"> definovaných v európskej, viacnárodnej, národnej alebo inej environmentálnej značke (§ 34 ods. 7). </w:t>
      </w:r>
      <w:r w:rsidRPr="00984C3C">
        <w:rPr>
          <w:bCs/>
        </w:rPr>
        <w:t>V zmysle § 34 ods. 8 môže verejný obstarávateľ a obstarávateľ v súťažných podkladoch uviesť, že produkty označené environmentálnou značkou sa považujú za produkty, ktoré spĺňajú technické požiadavky</w:t>
      </w:r>
      <w:r w:rsidR="00A47BBB" w:rsidRPr="00984C3C">
        <w:rPr>
          <w:bCs/>
        </w:rPr>
        <w:t xml:space="preserve">, </w:t>
      </w:r>
      <w:r w:rsidRPr="00984C3C">
        <w:rPr>
          <w:bCs/>
        </w:rPr>
        <w:t xml:space="preserve"> určené v súťažných podkladoch. Verejný obstarávateľ a obstarávateľ </w:t>
      </w:r>
      <w:r w:rsidR="00A47BBB" w:rsidRPr="00984C3C">
        <w:rPr>
          <w:bCs/>
        </w:rPr>
        <w:t xml:space="preserve"> ale </w:t>
      </w:r>
      <w:r w:rsidRPr="00984C3C">
        <w:rPr>
          <w:bCs/>
        </w:rPr>
        <w:t>musí akceptovať aj iný vhodný dôkaz. V zmysle § 35 ods. 3 môže verejný obstarávateľ a obstarávateľ za jedno z kritérií na vyhodnotenie ponúk určiť kritérium</w:t>
      </w:r>
      <w:r w:rsidR="00A47BBB" w:rsidRPr="00984C3C">
        <w:rPr>
          <w:bCs/>
        </w:rPr>
        <w:t>,</w:t>
      </w:r>
      <w:r w:rsidRPr="00984C3C">
        <w:rPr>
          <w:bCs/>
        </w:rPr>
        <w:t xml:space="preserve"> zamerané na hodnotenie environmentálnych charakteristík predmetu zákazky.</w:t>
      </w:r>
    </w:p>
    <w:p w:rsidR="00BD22B8" w:rsidRPr="00984C3C" w:rsidRDefault="00BD22B8" w:rsidP="00BD22B8">
      <w:pPr>
        <w:ind w:firstLine="540"/>
        <w:jc w:val="both"/>
      </w:pPr>
    </w:p>
    <w:p w:rsidR="00BD22B8" w:rsidRPr="00984C3C" w:rsidRDefault="00BD22B8" w:rsidP="00BD22B8">
      <w:pPr>
        <w:jc w:val="both"/>
      </w:pPr>
      <w:r w:rsidRPr="00984C3C">
        <w:t xml:space="preserve">V rámci monitorovania GPP v SR sa sleduje využívanie environmentálnych kritérií  pre európsku schému environmentálneho označovania (Environmentálna značka EÚ), osobitných podmienok na udelenie národnej </w:t>
      </w:r>
      <w:r w:rsidR="005A003C" w:rsidRPr="00984C3C">
        <w:t xml:space="preserve">environmentálnej značky </w:t>
      </w:r>
      <w:r w:rsidRPr="00984C3C">
        <w:t xml:space="preserve"> (Environmentálne vhodný </w:t>
      </w:r>
      <w:r w:rsidRPr="00984C3C">
        <w:lastRenderedPageBreak/>
        <w:t>produkt), prípadne využívanie environmentálnych kritérií z ďalších národných systémov environmentálneho označovania (napr. Severská labuť, Modrý Anjel, Ekologicky šetrný výrobek a pod.).</w:t>
      </w:r>
    </w:p>
    <w:p w:rsidR="00BD22B8" w:rsidRPr="00984C3C" w:rsidRDefault="00BD22B8" w:rsidP="00BD22B8">
      <w:pPr>
        <w:jc w:val="both"/>
      </w:pPr>
    </w:p>
    <w:p w:rsidR="00BD22B8" w:rsidRPr="00984C3C" w:rsidRDefault="00BD22B8" w:rsidP="00BD22B8">
      <w:pPr>
        <w:jc w:val="both"/>
      </w:pPr>
      <w:r w:rsidRPr="00984C3C">
        <w:t>Kritériá v rámci európskej schémy environmentálneho označovania boli v roku 2012</w:t>
      </w:r>
      <w:r w:rsidR="005A003C" w:rsidRPr="00984C3C">
        <w:t xml:space="preserve"> požadované </w:t>
      </w:r>
      <w:r w:rsidRPr="00984C3C">
        <w:t xml:space="preserve"> v 69 zákazkách v celkovej hodnote 702 532,48 EUR. Najčastejšie obstarávanými skupinami produktov s požadovaním týchto kritérií boli Kopírovací papier, Osobné počítače a Notebooky, Drevený nábytok, Čistiace prostriedky a Tissue papier. Osobitné podmienky na udelenie národnej značky Environmentálne vhodný</w:t>
      </w:r>
      <w:r w:rsidR="005A003C" w:rsidRPr="00984C3C">
        <w:t xml:space="preserve"> produkt boli požadované </w:t>
      </w:r>
      <w:r w:rsidRPr="00984C3C">
        <w:t xml:space="preserve"> v 8 zákazkách v celkovej hodnote 22 213,00 EUR. Najčastejšie obstarávanými skupinami produktov v rámci národnej schémy environmentálneho označovania boli Dosky na báze dreva a Prostriedky na zimnú údržbu. V rámci zeleného verejného obstarávania boli využité aj iné národné systémy pre environmentálne označovanie. Označenie Modrý anjel bolo využité pri obstarávaní Kopírovacieho papiera v 1 zákazke v hodnote 279,78 EUR, označenie Škandinávska labuť bolo využité  pri obstarávaní Notebookov v 1 zákazke v hodnote 2 058,00 EUR a Kopírovacieho papiera v 1 zákazke v hodnote 11 998,00 EUR.</w:t>
      </w:r>
    </w:p>
    <w:p w:rsidR="00BD22B8" w:rsidRPr="00984C3C" w:rsidRDefault="00BD22B8" w:rsidP="00BD22B8"/>
    <w:p w:rsidR="00BD22B8" w:rsidRPr="00984C3C" w:rsidRDefault="00BD22B8" w:rsidP="00BD22B8">
      <w:pPr>
        <w:pStyle w:val="Nadpis1"/>
        <w:spacing w:before="0" w:after="0"/>
        <w:jc w:val="both"/>
        <w:rPr>
          <w:rFonts w:ascii="Times New Roman" w:hAnsi="Times New Roman" w:cs="Times New Roman"/>
          <w:sz w:val="24"/>
          <w:szCs w:val="24"/>
        </w:rPr>
      </w:pPr>
      <w:bookmarkStart w:id="11" w:name="_Toc326050102"/>
      <w:bookmarkStart w:id="12" w:name="_Toc355000157"/>
      <w:r w:rsidRPr="00984C3C">
        <w:rPr>
          <w:rFonts w:ascii="Times New Roman" w:hAnsi="Times New Roman" w:cs="Times New Roman"/>
          <w:sz w:val="24"/>
          <w:szCs w:val="24"/>
        </w:rPr>
        <w:t>Využívanie environmentálnych charakteristík pre 10 prioritných skupín produktov</w:t>
      </w:r>
      <w:bookmarkEnd w:id="11"/>
      <w:bookmarkEnd w:id="12"/>
    </w:p>
    <w:p w:rsidR="00BD22B8" w:rsidRPr="00984C3C" w:rsidRDefault="00BD22B8" w:rsidP="00BD22B8"/>
    <w:p w:rsidR="00BD22B8" w:rsidRPr="00984C3C" w:rsidRDefault="00BD22B8" w:rsidP="00BD22B8">
      <w:pPr>
        <w:jc w:val="both"/>
      </w:pPr>
      <w:r w:rsidRPr="00984C3C">
        <w:t>Európska komisia postupne aktualizuje a vytvára nové GPP charakteristiky, ktoré sú navrhnuté tak, aby sa dali priamo vložiť do súťažných podkladov. Tieto environmentálne charakteristiky sú založené na údajovej základni, ktorá využíva dostupné vedecké informácie a dáta, prístup LCA (posudzovanie životného cyklu), existujúcich kritériách environmentálneho označovania a</w:t>
      </w:r>
      <w:r w:rsidR="005A003C" w:rsidRPr="00984C3C">
        <w:t xml:space="preserve"> na</w:t>
      </w:r>
      <w:r w:rsidRPr="00984C3C">
        <w:t xml:space="preserve"> informáciách od zainteresovaných strán z priemyslu, spoločnosti a členských štátov. Environmentálne charakteristiky pre GPP boli vytvorené za účelom jednotnej a transparentnej realizácie GPP v celej EÚ a jednotného monitorovania dosiahnutej úrovne GPP v členských krajinách.</w:t>
      </w:r>
    </w:p>
    <w:p w:rsidR="00BD22B8" w:rsidRPr="00984C3C" w:rsidRDefault="00BD22B8" w:rsidP="00BD22B8"/>
    <w:p w:rsidR="00BD22B8" w:rsidRPr="00984C3C" w:rsidRDefault="00BD22B8" w:rsidP="00BD22B8">
      <w:pPr>
        <w:jc w:val="both"/>
      </w:pPr>
      <w:r w:rsidRPr="00984C3C">
        <w:t>Prioritné skupiny produktov pre realizáciu GPP boli vybrané na základe multikriteriálnej analýzy, ktorá zahŕňa najmä priestor pre zlepšenie životného prostredia, verejné výdavky, potenciálny vplyv na dodávateľov, možnosti nastavenia príkladu pre súkromných spotrebiteľov či podniky, politickú citlivosť, existenciu relevantných a ľahko použiteľných kritérií, dostupnosť</w:t>
      </w:r>
      <w:r w:rsidR="005A003C" w:rsidRPr="00984C3C">
        <w:t xml:space="preserve"> na trhu a ekonomickú efektívnosť</w:t>
      </w:r>
      <w:r w:rsidRPr="00984C3C">
        <w:t xml:space="preserve">. </w:t>
      </w:r>
    </w:p>
    <w:p w:rsidR="00BD22B8" w:rsidRPr="00984C3C" w:rsidRDefault="00BD22B8" w:rsidP="00BD22B8">
      <w:pPr>
        <w:jc w:val="both"/>
      </w:pPr>
    </w:p>
    <w:p w:rsidR="00BD22B8" w:rsidRPr="00984C3C" w:rsidRDefault="005A003C" w:rsidP="00BD22B8">
      <w:pPr>
        <w:jc w:val="both"/>
      </w:pPr>
      <w:r w:rsidRPr="00984C3C">
        <w:t xml:space="preserve">Tabuľka </w:t>
      </w:r>
      <w:r w:rsidR="00BD22B8" w:rsidRPr="00984C3C">
        <w:t>5 porovnáva počet a hodnotu realizovaných zákaziek bez vyžitia environmentálnych charakteristík s počtom a hodnotou zelených zákaziek, pre prioritné skupiny produktov</w:t>
      </w:r>
      <w:r w:rsidRPr="00984C3C">
        <w:t>, stanovené</w:t>
      </w:r>
      <w:r w:rsidR="00BD22B8" w:rsidRPr="00984C3C">
        <w:t xml:space="preserve"> Európskou komisiou. Najčastejšie obstarávanou skupinou produktov v rámci prioritných skupín je Stavebníctvo, ktoré dosiahlo aj najväčší podiel v rámci zelených zákaziek, </w:t>
      </w:r>
      <w:r w:rsidRPr="00984C3C">
        <w:t xml:space="preserve">a to </w:t>
      </w:r>
      <w:r w:rsidR="00BD22B8" w:rsidRPr="00984C3C">
        <w:t xml:space="preserve">aj </w:t>
      </w:r>
      <w:r w:rsidRPr="00984C3C">
        <w:t xml:space="preserve">čo </w:t>
      </w:r>
      <w:r w:rsidR="00BD22B8" w:rsidRPr="00984C3C">
        <w:t xml:space="preserve">do počtu aj </w:t>
      </w:r>
      <w:r w:rsidRPr="00984C3C">
        <w:t xml:space="preserve">čo </w:t>
      </w:r>
      <w:r w:rsidR="00BD22B8" w:rsidRPr="00984C3C">
        <w:t>do hodnoty</w:t>
      </w:r>
      <w:r w:rsidRPr="00984C3C">
        <w:t xml:space="preserve"> zákaziek</w:t>
      </w:r>
      <w:r w:rsidR="00BD22B8" w:rsidRPr="00984C3C">
        <w:t xml:space="preserve">. </w:t>
      </w:r>
      <w:r w:rsidRPr="00984C3C">
        <w:t xml:space="preserve">Tabuľka </w:t>
      </w:r>
      <w:r w:rsidR="00BD22B8" w:rsidRPr="00984C3C">
        <w:t xml:space="preserve"> 5 tiež zobrazuje hodnoty indikátora 1 a indikátora 2 pre jednotlivé prioritné skupiny produktov.</w:t>
      </w:r>
    </w:p>
    <w:p w:rsidR="005A003C" w:rsidRDefault="005A003C" w:rsidP="00BD22B8">
      <w:pPr>
        <w:jc w:val="both"/>
        <w:rPr>
          <w:rFonts w:ascii="Calibri" w:hAnsi="Calibri"/>
          <w:sz w:val="22"/>
          <w:szCs w:val="22"/>
        </w:rPr>
      </w:pPr>
    </w:p>
    <w:p w:rsidR="005A003C" w:rsidRDefault="005A003C" w:rsidP="00BD22B8">
      <w:pPr>
        <w:jc w:val="both"/>
        <w:rPr>
          <w:rFonts w:ascii="Calibri" w:hAnsi="Calibri"/>
          <w:sz w:val="22"/>
          <w:szCs w:val="22"/>
        </w:rPr>
      </w:pPr>
    </w:p>
    <w:p w:rsidR="005A003C" w:rsidRDefault="005A003C" w:rsidP="00BD22B8">
      <w:pPr>
        <w:jc w:val="both"/>
        <w:rPr>
          <w:rFonts w:ascii="Calibri" w:hAnsi="Calibri"/>
          <w:sz w:val="22"/>
          <w:szCs w:val="22"/>
        </w:rPr>
      </w:pPr>
    </w:p>
    <w:p w:rsidR="005A003C" w:rsidRDefault="005A003C" w:rsidP="00BD22B8">
      <w:pPr>
        <w:jc w:val="both"/>
        <w:rPr>
          <w:rFonts w:ascii="Calibri" w:hAnsi="Calibri"/>
          <w:sz w:val="22"/>
          <w:szCs w:val="22"/>
        </w:rPr>
      </w:pPr>
    </w:p>
    <w:p w:rsidR="005A003C" w:rsidRDefault="005A003C" w:rsidP="00BD22B8">
      <w:pPr>
        <w:jc w:val="both"/>
        <w:rPr>
          <w:rFonts w:ascii="Calibri" w:hAnsi="Calibri"/>
          <w:sz w:val="22"/>
          <w:szCs w:val="22"/>
        </w:rPr>
      </w:pPr>
    </w:p>
    <w:p w:rsidR="005A003C" w:rsidRDefault="005A003C" w:rsidP="00BD22B8">
      <w:pPr>
        <w:jc w:val="both"/>
        <w:rPr>
          <w:rFonts w:ascii="Calibri" w:hAnsi="Calibri"/>
          <w:sz w:val="22"/>
          <w:szCs w:val="22"/>
        </w:rPr>
      </w:pPr>
    </w:p>
    <w:p w:rsidR="00BD22B8" w:rsidRDefault="005A003C" w:rsidP="00BD22B8">
      <w:pPr>
        <w:ind w:firstLine="142"/>
        <w:jc w:val="both"/>
        <w:rPr>
          <w:rFonts w:ascii="Calibri" w:hAnsi="Calibri"/>
          <w:sz w:val="18"/>
          <w:szCs w:val="18"/>
        </w:rPr>
      </w:pPr>
      <w:r>
        <w:rPr>
          <w:rFonts w:ascii="Calibri" w:hAnsi="Calibri"/>
          <w:sz w:val="18"/>
          <w:szCs w:val="18"/>
        </w:rPr>
        <w:lastRenderedPageBreak/>
        <w:t>Tabuľka</w:t>
      </w:r>
      <w:r w:rsidR="00BD22B8" w:rsidRPr="003642E4">
        <w:rPr>
          <w:rFonts w:ascii="Calibri" w:hAnsi="Calibri"/>
          <w:sz w:val="18"/>
          <w:szCs w:val="18"/>
        </w:rPr>
        <w:t xml:space="preserve"> 5</w:t>
      </w:r>
      <w:r>
        <w:rPr>
          <w:rFonts w:ascii="Calibri" w:hAnsi="Calibri"/>
          <w:sz w:val="18"/>
          <w:szCs w:val="18"/>
        </w:rPr>
        <w:t xml:space="preserve">: </w:t>
      </w:r>
      <w:r w:rsidR="00BD22B8" w:rsidRPr="003642E4">
        <w:rPr>
          <w:rFonts w:ascii="Calibri" w:hAnsi="Calibri"/>
          <w:sz w:val="18"/>
          <w:szCs w:val="18"/>
        </w:rPr>
        <w:t xml:space="preserve"> Porovnanie počtu a hodnoty zákaziek</w:t>
      </w:r>
      <w:r>
        <w:rPr>
          <w:rFonts w:ascii="Calibri" w:hAnsi="Calibri"/>
          <w:sz w:val="18"/>
          <w:szCs w:val="18"/>
        </w:rPr>
        <w:t xml:space="preserve"> v </w:t>
      </w:r>
      <w:r w:rsidR="00BD22B8" w:rsidRPr="003642E4">
        <w:rPr>
          <w:rFonts w:ascii="Calibri" w:hAnsi="Calibri"/>
          <w:sz w:val="18"/>
          <w:szCs w:val="18"/>
        </w:rPr>
        <w:t xml:space="preserve"> prioritných skup</w:t>
      </w:r>
      <w:r>
        <w:rPr>
          <w:rFonts w:ascii="Calibri" w:hAnsi="Calibri"/>
          <w:sz w:val="18"/>
          <w:szCs w:val="18"/>
        </w:rPr>
        <w:t>i</w:t>
      </w:r>
      <w:r w:rsidR="00BD22B8" w:rsidRPr="003642E4">
        <w:rPr>
          <w:rFonts w:ascii="Calibri" w:hAnsi="Calibri"/>
          <w:sz w:val="18"/>
          <w:szCs w:val="18"/>
        </w:rPr>
        <w:t>n</w:t>
      </w:r>
      <w:r>
        <w:rPr>
          <w:rFonts w:ascii="Calibri" w:hAnsi="Calibri"/>
          <w:sz w:val="18"/>
          <w:szCs w:val="18"/>
        </w:rPr>
        <w:t>ách</w:t>
      </w:r>
      <w:r w:rsidR="00BD22B8" w:rsidRPr="003642E4">
        <w:rPr>
          <w:rFonts w:ascii="Calibri" w:hAnsi="Calibri"/>
          <w:sz w:val="18"/>
          <w:szCs w:val="18"/>
        </w:rPr>
        <w:t xml:space="preserve"> produktov</w:t>
      </w:r>
    </w:p>
    <w:p w:rsidR="005A003C" w:rsidRDefault="005A003C" w:rsidP="00BD22B8">
      <w:pPr>
        <w:ind w:firstLine="142"/>
        <w:jc w:val="both"/>
        <w:rPr>
          <w:rFonts w:ascii="Calibri" w:hAnsi="Calibri"/>
          <w:sz w:val="18"/>
          <w:szCs w:val="18"/>
        </w:rPr>
      </w:pPr>
    </w:p>
    <w:tbl>
      <w:tblPr>
        <w:tblW w:w="9928" w:type="dxa"/>
        <w:tblInd w:w="-356" w:type="dxa"/>
        <w:tblLayout w:type="fixed"/>
        <w:tblCellMar>
          <w:left w:w="70" w:type="dxa"/>
          <w:right w:w="70" w:type="dxa"/>
        </w:tblCellMar>
        <w:tblLook w:val="04A0" w:firstRow="1" w:lastRow="0" w:firstColumn="1" w:lastColumn="0" w:noHBand="0" w:noVBand="1"/>
      </w:tblPr>
      <w:tblGrid>
        <w:gridCol w:w="2699"/>
        <w:gridCol w:w="992"/>
        <w:gridCol w:w="1620"/>
        <w:gridCol w:w="931"/>
        <w:gridCol w:w="1620"/>
        <w:gridCol w:w="1074"/>
        <w:gridCol w:w="992"/>
      </w:tblGrid>
      <w:tr w:rsidR="00BD22B8" w:rsidRPr="00AB305B" w:rsidTr="00FE5629">
        <w:trPr>
          <w:trHeight w:val="855"/>
        </w:trPr>
        <w:tc>
          <w:tcPr>
            <w:tcW w:w="2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22B8" w:rsidRPr="00AB305B" w:rsidRDefault="00BD22B8" w:rsidP="00FE5629">
            <w:pPr>
              <w:jc w:val="center"/>
              <w:rPr>
                <w:rFonts w:ascii="Calibri" w:hAnsi="Calibri"/>
                <w:b/>
                <w:bCs/>
                <w:color w:val="000000"/>
                <w:sz w:val="22"/>
                <w:szCs w:val="22"/>
              </w:rPr>
            </w:pPr>
            <w:r w:rsidRPr="00AB305B">
              <w:rPr>
                <w:rFonts w:ascii="Calibri" w:hAnsi="Calibri"/>
                <w:b/>
                <w:bCs/>
                <w:color w:val="000000"/>
                <w:sz w:val="22"/>
                <w:szCs w:val="22"/>
              </w:rPr>
              <w:t>Skupina produktov</w:t>
            </w:r>
          </w:p>
        </w:tc>
        <w:tc>
          <w:tcPr>
            <w:tcW w:w="2612" w:type="dxa"/>
            <w:gridSpan w:val="2"/>
            <w:tcBorders>
              <w:top w:val="single" w:sz="4" w:space="0" w:color="auto"/>
              <w:left w:val="nil"/>
              <w:bottom w:val="single" w:sz="4" w:space="0" w:color="auto"/>
              <w:right w:val="single" w:sz="4" w:space="0" w:color="auto"/>
            </w:tcBorders>
            <w:shd w:val="clear" w:color="auto" w:fill="auto"/>
            <w:vAlign w:val="center"/>
            <w:hideMark/>
          </w:tcPr>
          <w:p w:rsidR="00BD22B8" w:rsidRPr="00AB305B" w:rsidRDefault="00BD22B8" w:rsidP="00FE5629">
            <w:pPr>
              <w:jc w:val="center"/>
              <w:rPr>
                <w:rFonts w:ascii="Calibri" w:hAnsi="Calibri"/>
                <w:b/>
                <w:bCs/>
                <w:color w:val="000000"/>
                <w:sz w:val="22"/>
                <w:szCs w:val="22"/>
              </w:rPr>
            </w:pPr>
            <w:r w:rsidRPr="00AB305B">
              <w:rPr>
                <w:rFonts w:ascii="Calibri" w:hAnsi="Calibri"/>
                <w:b/>
                <w:bCs/>
                <w:color w:val="000000"/>
                <w:sz w:val="22"/>
                <w:szCs w:val="22"/>
              </w:rPr>
              <w:t>Bez využitia environmentálnych kritérií</w:t>
            </w:r>
          </w:p>
        </w:tc>
        <w:tc>
          <w:tcPr>
            <w:tcW w:w="2551" w:type="dxa"/>
            <w:gridSpan w:val="2"/>
            <w:tcBorders>
              <w:top w:val="single" w:sz="4" w:space="0" w:color="auto"/>
              <w:left w:val="nil"/>
              <w:bottom w:val="single" w:sz="4" w:space="0" w:color="auto"/>
              <w:right w:val="single" w:sz="4" w:space="0" w:color="auto"/>
            </w:tcBorders>
            <w:shd w:val="clear" w:color="auto" w:fill="auto"/>
            <w:vAlign w:val="bottom"/>
            <w:hideMark/>
          </w:tcPr>
          <w:p w:rsidR="00BD22B8" w:rsidRPr="00AB305B" w:rsidRDefault="00BD22B8" w:rsidP="00FE5629">
            <w:pPr>
              <w:jc w:val="center"/>
              <w:rPr>
                <w:rFonts w:ascii="Calibri" w:hAnsi="Calibri"/>
                <w:b/>
                <w:bCs/>
                <w:color w:val="000000"/>
                <w:sz w:val="22"/>
                <w:szCs w:val="22"/>
              </w:rPr>
            </w:pPr>
            <w:r w:rsidRPr="00AB305B">
              <w:rPr>
                <w:rFonts w:ascii="Calibri" w:hAnsi="Calibri"/>
                <w:b/>
                <w:bCs/>
                <w:color w:val="000000"/>
                <w:sz w:val="22"/>
                <w:szCs w:val="22"/>
              </w:rPr>
              <w:t>S využitím environmentálnych kritérií</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2B8" w:rsidRPr="00AB305B" w:rsidRDefault="00BD22B8" w:rsidP="00FE5629">
            <w:pPr>
              <w:jc w:val="center"/>
              <w:rPr>
                <w:rFonts w:ascii="Calibri" w:hAnsi="Calibri"/>
                <w:b/>
                <w:bCs/>
                <w:color w:val="000000"/>
                <w:sz w:val="22"/>
                <w:szCs w:val="22"/>
              </w:rPr>
            </w:pPr>
            <w:r w:rsidRPr="00AB305B">
              <w:rPr>
                <w:rFonts w:ascii="Calibri" w:hAnsi="Calibri"/>
                <w:b/>
                <w:bCs/>
                <w:color w:val="000000"/>
                <w:sz w:val="22"/>
                <w:szCs w:val="22"/>
              </w:rPr>
              <w:t>Indikátor 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2B8" w:rsidRPr="00AB305B" w:rsidRDefault="00BD22B8" w:rsidP="00FE5629">
            <w:pPr>
              <w:jc w:val="center"/>
              <w:rPr>
                <w:rFonts w:ascii="Calibri" w:hAnsi="Calibri"/>
                <w:b/>
                <w:bCs/>
                <w:color w:val="000000"/>
                <w:sz w:val="22"/>
                <w:szCs w:val="22"/>
              </w:rPr>
            </w:pPr>
            <w:r w:rsidRPr="00AB305B">
              <w:rPr>
                <w:rFonts w:ascii="Calibri" w:hAnsi="Calibri"/>
                <w:b/>
                <w:bCs/>
                <w:color w:val="000000"/>
                <w:sz w:val="22"/>
                <w:szCs w:val="22"/>
              </w:rPr>
              <w:t>Indikátor 2</w:t>
            </w:r>
          </w:p>
        </w:tc>
      </w:tr>
      <w:tr w:rsidR="00BD22B8" w:rsidRPr="00AB305B" w:rsidTr="00FE5629">
        <w:trPr>
          <w:trHeight w:val="900"/>
        </w:trPr>
        <w:tc>
          <w:tcPr>
            <w:tcW w:w="2699" w:type="dxa"/>
            <w:vMerge/>
            <w:tcBorders>
              <w:top w:val="single" w:sz="4" w:space="0" w:color="auto"/>
              <w:left w:val="single" w:sz="4" w:space="0" w:color="auto"/>
              <w:bottom w:val="single" w:sz="4" w:space="0" w:color="auto"/>
              <w:right w:val="single" w:sz="4" w:space="0" w:color="auto"/>
            </w:tcBorders>
            <w:vAlign w:val="center"/>
            <w:hideMark/>
          </w:tcPr>
          <w:p w:rsidR="00BD22B8" w:rsidRPr="00AB305B" w:rsidRDefault="00BD22B8" w:rsidP="00FE5629">
            <w:pPr>
              <w:rPr>
                <w:rFonts w:ascii="Calibri" w:hAnsi="Calibri"/>
                <w:b/>
                <w:bCs/>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BD22B8" w:rsidRPr="00AB305B" w:rsidRDefault="00BD22B8" w:rsidP="00FE5629">
            <w:pPr>
              <w:jc w:val="center"/>
              <w:rPr>
                <w:rFonts w:ascii="Calibri" w:hAnsi="Calibri"/>
                <w:b/>
                <w:bCs/>
                <w:color w:val="000000"/>
                <w:sz w:val="22"/>
                <w:szCs w:val="22"/>
              </w:rPr>
            </w:pPr>
            <w:r w:rsidRPr="00AB305B">
              <w:rPr>
                <w:rFonts w:ascii="Calibri" w:hAnsi="Calibri"/>
                <w:b/>
                <w:bCs/>
                <w:color w:val="000000"/>
                <w:sz w:val="22"/>
                <w:szCs w:val="22"/>
              </w:rPr>
              <w:t>Počet zákaziek</w:t>
            </w:r>
          </w:p>
        </w:tc>
        <w:tc>
          <w:tcPr>
            <w:tcW w:w="1620" w:type="dxa"/>
            <w:tcBorders>
              <w:top w:val="nil"/>
              <w:left w:val="nil"/>
              <w:bottom w:val="single" w:sz="4" w:space="0" w:color="auto"/>
              <w:right w:val="single" w:sz="4" w:space="0" w:color="auto"/>
            </w:tcBorders>
            <w:shd w:val="clear" w:color="auto" w:fill="auto"/>
            <w:vAlign w:val="center"/>
            <w:hideMark/>
          </w:tcPr>
          <w:p w:rsidR="00BD22B8" w:rsidRPr="00AB305B" w:rsidRDefault="00BD22B8" w:rsidP="00FE5629">
            <w:pPr>
              <w:jc w:val="center"/>
              <w:rPr>
                <w:rFonts w:ascii="Calibri" w:hAnsi="Calibri"/>
                <w:b/>
                <w:bCs/>
                <w:color w:val="000000"/>
                <w:sz w:val="22"/>
                <w:szCs w:val="22"/>
              </w:rPr>
            </w:pPr>
            <w:r w:rsidRPr="00AB305B">
              <w:rPr>
                <w:rFonts w:ascii="Calibri" w:hAnsi="Calibri"/>
                <w:b/>
                <w:bCs/>
                <w:color w:val="000000"/>
                <w:sz w:val="22"/>
                <w:szCs w:val="22"/>
              </w:rPr>
              <w:t>Hodnota zákaziek v EUR s DPH</w:t>
            </w:r>
          </w:p>
        </w:tc>
        <w:tc>
          <w:tcPr>
            <w:tcW w:w="931" w:type="dxa"/>
            <w:tcBorders>
              <w:top w:val="nil"/>
              <w:left w:val="nil"/>
              <w:bottom w:val="single" w:sz="4" w:space="0" w:color="auto"/>
              <w:right w:val="single" w:sz="4" w:space="0" w:color="auto"/>
            </w:tcBorders>
            <w:shd w:val="clear" w:color="auto" w:fill="auto"/>
            <w:vAlign w:val="center"/>
            <w:hideMark/>
          </w:tcPr>
          <w:p w:rsidR="00BD22B8" w:rsidRPr="00AB305B" w:rsidRDefault="00BD22B8" w:rsidP="00FE5629">
            <w:pPr>
              <w:jc w:val="center"/>
              <w:rPr>
                <w:rFonts w:ascii="Calibri" w:hAnsi="Calibri"/>
                <w:b/>
                <w:bCs/>
                <w:color w:val="000000"/>
                <w:sz w:val="22"/>
                <w:szCs w:val="22"/>
              </w:rPr>
            </w:pPr>
            <w:r w:rsidRPr="00AB305B">
              <w:rPr>
                <w:rFonts w:ascii="Calibri" w:hAnsi="Calibri"/>
                <w:b/>
                <w:bCs/>
                <w:color w:val="000000"/>
                <w:sz w:val="22"/>
                <w:szCs w:val="22"/>
              </w:rPr>
              <w:t>Počet zákaziek</w:t>
            </w:r>
          </w:p>
        </w:tc>
        <w:tc>
          <w:tcPr>
            <w:tcW w:w="1620" w:type="dxa"/>
            <w:tcBorders>
              <w:top w:val="nil"/>
              <w:left w:val="nil"/>
              <w:bottom w:val="single" w:sz="4" w:space="0" w:color="auto"/>
              <w:right w:val="single" w:sz="4" w:space="0" w:color="auto"/>
            </w:tcBorders>
            <w:shd w:val="clear" w:color="auto" w:fill="auto"/>
            <w:vAlign w:val="center"/>
            <w:hideMark/>
          </w:tcPr>
          <w:p w:rsidR="00BD22B8" w:rsidRPr="00AB305B" w:rsidRDefault="00BD22B8" w:rsidP="00FE5629">
            <w:pPr>
              <w:jc w:val="center"/>
              <w:rPr>
                <w:rFonts w:ascii="Calibri" w:hAnsi="Calibri"/>
                <w:b/>
                <w:bCs/>
                <w:color w:val="000000"/>
                <w:sz w:val="22"/>
                <w:szCs w:val="22"/>
              </w:rPr>
            </w:pPr>
            <w:r w:rsidRPr="00AB305B">
              <w:rPr>
                <w:rFonts w:ascii="Calibri" w:hAnsi="Calibri"/>
                <w:b/>
                <w:bCs/>
                <w:color w:val="000000"/>
                <w:sz w:val="22"/>
                <w:szCs w:val="22"/>
              </w:rPr>
              <w:t>Hodnota zákaziek v EUR s DPH</w:t>
            </w: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BD22B8" w:rsidRPr="00AB305B" w:rsidRDefault="00BD22B8" w:rsidP="00FE5629">
            <w:pPr>
              <w:rPr>
                <w:rFonts w:ascii="Calibri" w:hAnsi="Calibri"/>
                <w:b/>
                <w:bCs/>
                <w:color w:val="000000"/>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D22B8" w:rsidRPr="00AB305B" w:rsidRDefault="00BD22B8" w:rsidP="00FE5629">
            <w:pPr>
              <w:rPr>
                <w:rFonts w:ascii="Calibri" w:hAnsi="Calibri"/>
                <w:b/>
                <w:bCs/>
                <w:color w:val="000000"/>
                <w:sz w:val="22"/>
                <w:szCs w:val="22"/>
              </w:rPr>
            </w:pPr>
          </w:p>
        </w:tc>
      </w:tr>
      <w:tr w:rsidR="00BD22B8" w:rsidRPr="00AB305B" w:rsidTr="00FE5629">
        <w:trPr>
          <w:trHeight w:val="300"/>
        </w:trPr>
        <w:tc>
          <w:tcPr>
            <w:tcW w:w="2699" w:type="dxa"/>
            <w:tcBorders>
              <w:top w:val="nil"/>
              <w:left w:val="single" w:sz="4" w:space="0" w:color="auto"/>
              <w:bottom w:val="single" w:sz="4" w:space="0" w:color="auto"/>
              <w:right w:val="single" w:sz="4" w:space="0" w:color="auto"/>
            </w:tcBorders>
            <w:shd w:val="clear" w:color="auto" w:fill="auto"/>
            <w:hideMark/>
          </w:tcPr>
          <w:p w:rsidR="00BD22B8" w:rsidRPr="00AB305B" w:rsidRDefault="00BD22B8" w:rsidP="00FE5629">
            <w:pPr>
              <w:rPr>
                <w:rFonts w:ascii="Calibri" w:hAnsi="Calibri"/>
                <w:color w:val="000000"/>
                <w:sz w:val="22"/>
                <w:szCs w:val="22"/>
              </w:rPr>
            </w:pPr>
            <w:r w:rsidRPr="00AB305B">
              <w:rPr>
                <w:rFonts w:ascii="Calibri" w:hAnsi="Calibri"/>
                <w:color w:val="000000"/>
                <w:sz w:val="22"/>
                <w:szCs w:val="22"/>
              </w:rPr>
              <w:t>Kopírovací a grafický papier</w:t>
            </w:r>
          </w:p>
        </w:tc>
        <w:tc>
          <w:tcPr>
            <w:tcW w:w="992" w:type="dxa"/>
            <w:tcBorders>
              <w:top w:val="nil"/>
              <w:left w:val="nil"/>
              <w:bottom w:val="single" w:sz="4" w:space="0" w:color="auto"/>
              <w:right w:val="single" w:sz="4" w:space="0" w:color="auto"/>
            </w:tcBorders>
            <w:shd w:val="clear" w:color="auto" w:fill="auto"/>
            <w:vAlign w:val="bottom"/>
            <w:hideMark/>
          </w:tcPr>
          <w:p w:rsidR="00BD22B8" w:rsidRPr="00AB305B" w:rsidRDefault="00BD22B8" w:rsidP="00FE5629">
            <w:pPr>
              <w:jc w:val="right"/>
              <w:rPr>
                <w:color w:val="000000"/>
                <w:sz w:val="22"/>
                <w:szCs w:val="22"/>
              </w:rPr>
            </w:pPr>
            <w:r w:rsidRPr="00AB305B">
              <w:rPr>
                <w:color w:val="000000"/>
                <w:sz w:val="22"/>
                <w:szCs w:val="22"/>
              </w:rPr>
              <w:t>1 738</w:t>
            </w:r>
          </w:p>
        </w:tc>
        <w:tc>
          <w:tcPr>
            <w:tcW w:w="1620" w:type="dxa"/>
            <w:tcBorders>
              <w:top w:val="nil"/>
              <w:left w:val="nil"/>
              <w:bottom w:val="single" w:sz="4" w:space="0" w:color="auto"/>
              <w:right w:val="single" w:sz="4" w:space="0" w:color="auto"/>
            </w:tcBorders>
            <w:shd w:val="clear" w:color="auto" w:fill="auto"/>
            <w:vAlign w:val="bottom"/>
            <w:hideMark/>
          </w:tcPr>
          <w:p w:rsidR="00BD22B8" w:rsidRPr="00AB305B" w:rsidRDefault="00BD22B8" w:rsidP="00FE5629">
            <w:pPr>
              <w:jc w:val="right"/>
              <w:rPr>
                <w:color w:val="000000"/>
                <w:sz w:val="22"/>
                <w:szCs w:val="22"/>
              </w:rPr>
            </w:pPr>
            <w:r w:rsidRPr="00AB305B">
              <w:rPr>
                <w:color w:val="000000"/>
                <w:sz w:val="22"/>
                <w:szCs w:val="22"/>
              </w:rPr>
              <w:t>1 379 768,12</w:t>
            </w:r>
          </w:p>
        </w:tc>
        <w:tc>
          <w:tcPr>
            <w:tcW w:w="931" w:type="dxa"/>
            <w:tcBorders>
              <w:top w:val="nil"/>
              <w:left w:val="nil"/>
              <w:bottom w:val="single" w:sz="4" w:space="0" w:color="auto"/>
              <w:right w:val="single" w:sz="4" w:space="0" w:color="auto"/>
            </w:tcBorders>
            <w:shd w:val="clear" w:color="auto" w:fill="auto"/>
            <w:vAlign w:val="bottom"/>
            <w:hideMark/>
          </w:tcPr>
          <w:p w:rsidR="00BD22B8" w:rsidRPr="00AB305B" w:rsidRDefault="00BD22B8" w:rsidP="00FE5629">
            <w:pPr>
              <w:jc w:val="right"/>
              <w:rPr>
                <w:color w:val="000000"/>
                <w:sz w:val="22"/>
                <w:szCs w:val="22"/>
              </w:rPr>
            </w:pPr>
            <w:r w:rsidRPr="00AB305B">
              <w:rPr>
                <w:color w:val="000000"/>
                <w:sz w:val="22"/>
                <w:szCs w:val="22"/>
              </w:rPr>
              <w:t>89</w:t>
            </w:r>
          </w:p>
        </w:tc>
        <w:tc>
          <w:tcPr>
            <w:tcW w:w="1620" w:type="dxa"/>
            <w:tcBorders>
              <w:top w:val="nil"/>
              <w:left w:val="nil"/>
              <w:bottom w:val="single" w:sz="4" w:space="0" w:color="auto"/>
              <w:right w:val="single" w:sz="4" w:space="0" w:color="auto"/>
            </w:tcBorders>
            <w:shd w:val="clear" w:color="auto" w:fill="auto"/>
            <w:vAlign w:val="bottom"/>
            <w:hideMark/>
          </w:tcPr>
          <w:p w:rsidR="00BD22B8" w:rsidRPr="00AB305B" w:rsidRDefault="00BD22B8" w:rsidP="00FE5629">
            <w:pPr>
              <w:jc w:val="right"/>
              <w:rPr>
                <w:color w:val="000000"/>
                <w:sz w:val="22"/>
                <w:szCs w:val="22"/>
              </w:rPr>
            </w:pPr>
            <w:r w:rsidRPr="00AB305B">
              <w:rPr>
                <w:color w:val="000000"/>
                <w:sz w:val="22"/>
                <w:szCs w:val="22"/>
              </w:rPr>
              <w:t>153 100,98</w:t>
            </w:r>
          </w:p>
        </w:tc>
        <w:tc>
          <w:tcPr>
            <w:tcW w:w="1074" w:type="dxa"/>
            <w:tcBorders>
              <w:top w:val="nil"/>
              <w:left w:val="nil"/>
              <w:bottom w:val="single" w:sz="4" w:space="0" w:color="auto"/>
              <w:right w:val="single" w:sz="4" w:space="0" w:color="auto"/>
            </w:tcBorders>
            <w:shd w:val="clear" w:color="auto" w:fill="auto"/>
            <w:noWrap/>
            <w:vAlign w:val="bottom"/>
            <w:hideMark/>
          </w:tcPr>
          <w:p w:rsidR="00BD22B8" w:rsidRPr="00AB305B" w:rsidRDefault="00BD22B8" w:rsidP="00FE5629">
            <w:pPr>
              <w:jc w:val="right"/>
              <w:rPr>
                <w:rFonts w:ascii="Calibri" w:hAnsi="Calibri"/>
                <w:color w:val="000000"/>
                <w:sz w:val="22"/>
                <w:szCs w:val="22"/>
              </w:rPr>
            </w:pPr>
            <w:r w:rsidRPr="00AB305B">
              <w:rPr>
                <w:rFonts w:ascii="Calibri" w:hAnsi="Calibri"/>
                <w:color w:val="000000"/>
                <w:sz w:val="22"/>
                <w:szCs w:val="22"/>
              </w:rPr>
              <w:t>2,8</w:t>
            </w:r>
          </w:p>
        </w:tc>
        <w:tc>
          <w:tcPr>
            <w:tcW w:w="992" w:type="dxa"/>
            <w:tcBorders>
              <w:top w:val="nil"/>
              <w:left w:val="nil"/>
              <w:bottom w:val="single" w:sz="4" w:space="0" w:color="auto"/>
              <w:right w:val="single" w:sz="4" w:space="0" w:color="auto"/>
            </w:tcBorders>
            <w:shd w:val="clear" w:color="auto" w:fill="auto"/>
            <w:noWrap/>
            <w:vAlign w:val="bottom"/>
            <w:hideMark/>
          </w:tcPr>
          <w:p w:rsidR="00BD22B8" w:rsidRPr="00AB305B" w:rsidRDefault="00BD22B8" w:rsidP="00FE5629">
            <w:pPr>
              <w:jc w:val="right"/>
              <w:rPr>
                <w:rFonts w:ascii="Calibri" w:hAnsi="Calibri"/>
                <w:color w:val="000000"/>
                <w:sz w:val="22"/>
                <w:szCs w:val="22"/>
              </w:rPr>
            </w:pPr>
            <w:r w:rsidRPr="00AB305B">
              <w:rPr>
                <w:rFonts w:ascii="Calibri" w:hAnsi="Calibri"/>
                <w:color w:val="000000"/>
                <w:sz w:val="22"/>
                <w:szCs w:val="22"/>
              </w:rPr>
              <w:t>0,8</w:t>
            </w:r>
          </w:p>
        </w:tc>
      </w:tr>
      <w:tr w:rsidR="00BD22B8" w:rsidRPr="00AB305B" w:rsidTr="00FE5629">
        <w:trPr>
          <w:trHeight w:val="300"/>
        </w:trPr>
        <w:tc>
          <w:tcPr>
            <w:tcW w:w="2699" w:type="dxa"/>
            <w:tcBorders>
              <w:top w:val="nil"/>
              <w:left w:val="single" w:sz="4" w:space="0" w:color="auto"/>
              <w:bottom w:val="single" w:sz="4" w:space="0" w:color="auto"/>
              <w:right w:val="single" w:sz="4" w:space="0" w:color="auto"/>
            </w:tcBorders>
            <w:shd w:val="clear" w:color="auto" w:fill="auto"/>
            <w:hideMark/>
          </w:tcPr>
          <w:p w:rsidR="00BD22B8" w:rsidRPr="00AB305B" w:rsidRDefault="00BD22B8" w:rsidP="00FE5629">
            <w:pPr>
              <w:rPr>
                <w:rFonts w:ascii="Calibri" w:hAnsi="Calibri"/>
                <w:color w:val="000000"/>
                <w:sz w:val="22"/>
                <w:szCs w:val="22"/>
              </w:rPr>
            </w:pPr>
            <w:r w:rsidRPr="00AB305B">
              <w:rPr>
                <w:rFonts w:ascii="Calibri" w:hAnsi="Calibri"/>
                <w:color w:val="000000"/>
                <w:sz w:val="22"/>
                <w:szCs w:val="22"/>
              </w:rPr>
              <w:t>Čistiace prostriedky a služby</w:t>
            </w:r>
          </w:p>
        </w:tc>
        <w:tc>
          <w:tcPr>
            <w:tcW w:w="992" w:type="dxa"/>
            <w:tcBorders>
              <w:top w:val="nil"/>
              <w:left w:val="nil"/>
              <w:bottom w:val="single" w:sz="4" w:space="0" w:color="auto"/>
              <w:right w:val="single" w:sz="4" w:space="0" w:color="auto"/>
            </w:tcBorders>
            <w:shd w:val="clear" w:color="auto" w:fill="auto"/>
            <w:vAlign w:val="bottom"/>
            <w:hideMark/>
          </w:tcPr>
          <w:p w:rsidR="00BD22B8" w:rsidRPr="00AB305B" w:rsidRDefault="00BD22B8" w:rsidP="00FE5629">
            <w:pPr>
              <w:jc w:val="right"/>
              <w:rPr>
                <w:color w:val="000000"/>
                <w:sz w:val="22"/>
                <w:szCs w:val="22"/>
              </w:rPr>
            </w:pPr>
            <w:r w:rsidRPr="00AB305B">
              <w:rPr>
                <w:color w:val="000000"/>
                <w:sz w:val="22"/>
                <w:szCs w:val="22"/>
              </w:rPr>
              <w:t>2 967</w:t>
            </w:r>
          </w:p>
        </w:tc>
        <w:tc>
          <w:tcPr>
            <w:tcW w:w="1620" w:type="dxa"/>
            <w:tcBorders>
              <w:top w:val="nil"/>
              <w:left w:val="nil"/>
              <w:bottom w:val="single" w:sz="4" w:space="0" w:color="auto"/>
              <w:right w:val="single" w:sz="4" w:space="0" w:color="auto"/>
            </w:tcBorders>
            <w:shd w:val="clear" w:color="auto" w:fill="auto"/>
            <w:vAlign w:val="bottom"/>
            <w:hideMark/>
          </w:tcPr>
          <w:p w:rsidR="00BD22B8" w:rsidRPr="00AB305B" w:rsidRDefault="00BD22B8" w:rsidP="00FE5629">
            <w:pPr>
              <w:jc w:val="right"/>
              <w:rPr>
                <w:color w:val="000000"/>
                <w:sz w:val="22"/>
                <w:szCs w:val="22"/>
              </w:rPr>
            </w:pPr>
            <w:r w:rsidRPr="00AB305B">
              <w:rPr>
                <w:color w:val="000000"/>
                <w:sz w:val="22"/>
                <w:szCs w:val="22"/>
              </w:rPr>
              <w:t>4 226 153,12</w:t>
            </w:r>
          </w:p>
        </w:tc>
        <w:tc>
          <w:tcPr>
            <w:tcW w:w="931" w:type="dxa"/>
            <w:tcBorders>
              <w:top w:val="nil"/>
              <w:left w:val="nil"/>
              <w:bottom w:val="single" w:sz="4" w:space="0" w:color="auto"/>
              <w:right w:val="single" w:sz="4" w:space="0" w:color="auto"/>
            </w:tcBorders>
            <w:shd w:val="clear" w:color="auto" w:fill="auto"/>
            <w:vAlign w:val="bottom"/>
            <w:hideMark/>
          </w:tcPr>
          <w:p w:rsidR="00BD22B8" w:rsidRPr="00AB305B" w:rsidRDefault="00BD22B8" w:rsidP="00FE5629">
            <w:pPr>
              <w:jc w:val="right"/>
              <w:rPr>
                <w:color w:val="000000"/>
                <w:sz w:val="22"/>
                <w:szCs w:val="22"/>
              </w:rPr>
            </w:pPr>
            <w:r w:rsidRPr="00AB305B">
              <w:rPr>
                <w:color w:val="000000"/>
                <w:sz w:val="22"/>
                <w:szCs w:val="22"/>
              </w:rPr>
              <w:t>56</w:t>
            </w:r>
          </w:p>
        </w:tc>
        <w:tc>
          <w:tcPr>
            <w:tcW w:w="1620" w:type="dxa"/>
            <w:tcBorders>
              <w:top w:val="nil"/>
              <w:left w:val="nil"/>
              <w:bottom w:val="single" w:sz="4" w:space="0" w:color="auto"/>
              <w:right w:val="single" w:sz="4" w:space="0" w:color="auto"/>
            </w:tcBorders>
            <w:shd w:val="clear" w:color="auto" w:fill="auto"/>
            <w:vAlign w:val="bottom"/>
            <w:hideMark/>
          </w:tcPr>
          <w:p w:rsidR="00BD22B8" w:rsidRPr="00AB305B" w:rsidRDefault="00BD22B8" w:rsidP="00FE5629">
            <w:pPr>
              <w:jc w:val="right"/>
              <w:rPr>
                <w:color w:val="000000"/>
                <w:sz w:val="22"/>
                <w:szCs w:val="22"/>
              </w:rPr>
            </w:pPr>
            <w:r w:rsidRPr="00AB305B">
              <w:rPr>
                <w:color w:val="000000"/>
                <w:sz w:val="22"/>
                <w:szCs w:val="22"/>
              </w:rPr>
              <w:t>432 682,48</w:t>
            </w:r>
          </w:p>
        </w:tc>
        <w:tc>
          <w:tcPr>
            <w:tcW w:w="1074" w:type="dxa"/>
            <w:tcBorders>
              <w:top w:val="nil"/>
              <w:left w:val="nil"/>
              <w:bottom w:val="single" w:sz="4" w:space="0" w:color="auto"/>
              <w:right w:val="single" w:sz="4" w:space="0" w:color="auto"/>
            </w:tcBorders>
            <w:shd w:val="clear" w:color="auto" w:fill="auto"/>
            <w:noWrap/>
            <w:vAlign w:val="bottom"/>
            <w:hideMark/>
          </w:tcPr>
          <w:p w:rsidR="00BD22B8" w:rsidRPr="00AB305B" w:rsidRDefault="00BD22B8" w:rsidP="00FE5629">
            <w:pPr>
              <w:jc w:val="right"/>
              <w:rPr>
                <w:rFonts w:ascii="Calibri" w:hAnsi="Calibri"/>
                <w:color w:val="000000"/>
                <w:sz w:val="22"/>
                <w:szCs w:val="22"/>
              </w:rPr>
            </w:pPr>
            <w:r w:rsidRPr="00AB305B">
              <w:rPr>
                <w:rFonts w:ascii="Calibri" w:hAnsi="Calibri"/>
                <w:color w:val="000000"/>
                <w:sz w:val="22"/>
                <w:szCs w:val="22"/>
              </w:rPr>
              <w:t>4,7</w:t>
            </w:r>
          </w:p>
        </w:tc>
        <w:tc>
          <w:tcPr>
            <w:tcW w:w="992" w:type="dxa"/>
            <w:tcBorders>
              <w:top w:val="nil"/>
              <w:left w:val="nil"/>
              <w:bottom w:val="single" w:sz="4" w:space="0" w:color="auto"/>
              <w:right w:val="single" w:sz="4" w:space="0" w:color="auto"/>
            </w:tcBorders>
            <w:shd w:val="clear" w:color="auto" w:fill="auto"/>
            <w:noWrap/>
            <w:vAlign w:val="bottom"/>
            <w:hideMark/>
          </w:tcPr>
          <w:p w:rsidR="00BD22B8" w:rsidRPr="00AB305B" w:rsidRDefault="00BD22B8" w:rsidP="00FE5629">
            <w:pPr>
              <w:jc w:val="right"/>
              <w:rPr>
                <w:rFonts w:ascii="Calibri" w:hAnsi="Calibri"/>
                <w:color w:val="000000"/>
                <w:sz w:val="22"/>
                <w:szCs w:val="22"/>
              </w:rPr>
            </w:pPr>
            <w:r w:rsidRPr="00AB305B">
              <w:rPr>
                <w:rFonts w:ascii="Calibri" w:hAnsi="Calibri"/>
                <w:color w:val="000000"/>
                <w:sz w:val="22"/>
                <w:szCs w:val="22"/>
              </w:rPr>
              <w:t>2,5</w:t>
            </w:r>
          </w:p>
        </w:tc>
      </w:tr>
      <w:tr w:rsidR="00BD22B8" w:rsidRPr="00AB305B" w:rsidTr="00FE5629">
        <w:trPr>
          <w:trHeight w:val="300"/>
        </w:trPr>
        <w:tc>
          <w:tcPr>
            <w:tcW w:w="2699" w:type="dxa"/>
            <w:tcBorders>
              <w:top w:val="nil"/>
              <w:left w:val="single" w:sz="4" w:space="0" w:color="auto"/>
              <w:bottom w:val="single" w:sz="4" w:space="0" w:color="auto"/>
              <w:right w:val="single" w:sz="4" w:space="0" w:color="auto"/>
            </w:tcBorders>
            <w:shd w:val="clear" w:color="auto" w:fill="auto"/>
            <w:hideMark/>
          </w:tcPr>
          <w:p w:rsidR="00BD22B8" w:rsidRPr="00AB305B" w:rsidRDefault="00BD22B8" w:rsidP="00FE5629">
            <w:pPr>
              <w:rPr>
                <w:rFonts w:ascii="Calibri" w:hAnsi="Calibri"/>
                <w:color w:val="000000"/>
                <w:sz w:val="22"/>
                <w:szCs w:val="22"/>
              </w:rPr>
            </w:pPr>
            <w:r w:rsidRPr="00AB305B">
              <w:rPr>
                <w:rFonts w:ascii="Calibri" w:hAnsi="Calibri"/>
                <w:color w:val="000000"/>
                <w:sz w:val="22"/>
                <w:szCs w:val="22"/>
              </w:rPr>
              <w:t>Kancelárske IT zariadenia</w:t>
            </w:r>
          </w:p>
        </w:tc>
        <w:tc>
          <w:tcPr>
            <w:tcW w:w="992" w:type="dxa"/>
            <w:tcBorders>
              <w:top w:val="nil"/>
              <w:left w:val="nil"/>
              <w:bottom w:val="single" w:sz="4" w:space="0" w:color="auto"/>
              <w:right w:val="single" w:sz="4" w:space="0" w:color="auto"/>
            </w:tcBorders>
            <w:shd w:val="clear" w:color="auto" w:fill="auto"/>
            <w:vAlign w:val="bottom"/>
            <w:hideMark/>
          </w:tcPr>
          <w:p w:rsidR="00BD22B8" w:rsidRPr="00AB305B" w:rsidRDefault="00BD22B8" w:rsidP="00FE5629">
            <w:pPr>
              <w:jc w:val="right"/>
              <w:rPr>
                <w:color w:val="000000"/>
                <w:sz w:val="22"/>
                <w:szCs w:val="22"/>
              </w:rPr>
            </w:pPr>
            <w:r w:rsidRPr="00AB305B">
              <w:rPr>
                <w:color w:val="000000"/>
                <w:sz w:val="22"/>
                <w:szCs w:val="22"/>
              </w:rPr>
              <w:t>479</w:t>
            </w:r>
          </w:p>
        </w:tc>
        <w:tc>
          <w:tcPr>
            <w:tcW w:w="1620" w:type="dxa"/>
            <w:tcBorders>
              <w:top w:val="nil"/>
              <w:left w:val="nil"/>
              <w:bottom w:val="single" w:sz="4" w:space="0" w:color="auto"/>
              <w:right w:val="single" w:sz="4" w:space="0" w:color="auto"/>
            </w:tcBorders>
            <w:shd w:val="clear" w:color="auto" w:fill="auto"/>
            <w:vAlign w:val="bottom"/>
            <w:hideMark/>
          </w:tcPr>
          <w:p w:rsidR="00BD22B8" w:rsidRPr="00AB305B" w:rsidRDefault="00BD22B8" w:rsidP="00FE5629">
            <w:pPr>
              <w:jc w:val="right"/>
              <w:rPr>
                <w:color w:val="000000"/>
                <w:sz w:val="22"/>
                <w:szCs w:val="22"/>
              </w:rPr>
            </w:pPr>
            <w:r w:rsidRPr="00AB305B">
              <w:rPr>
                <w:color w:val="000000"/>
                <w:sz w:val="22"/>
                <w:szCs w:val="22"/>
              </w:rPr>
              <w:t>2 909 640,85</w:t>
            </w:r>
          </w:p>
        </w:tc>
        <w:tc>
          <w:tcPr>
            <w:tcW w:w="931" w:type="dxa"/>
            <w:tcBorders>
              <w:top w:val="nil"/>
              <w:left w:val="nil"/>
              <w:bottom w:val="single" w:sz="4" w:space="0" w:color="auto"/>
              <w:right w:val="single" w:sz="4" w:space="0" w:color="auto"/>
            </w:tcBorders>
            <w:shd w:val="clear" w:color="auto" w:fill="auto"/>
            <w:vAlign w:val="bottom"/>
            <w:hideMark/>
          </w:tcPr>
          <w:p w:rsidR="00BD22B8" w:rsidRPr="00AB305B" w:rsidRDefault="00BD22B8" w:rsidP="00FE5629">
            <w:pPr>
              <w:jc w:val="right"/>
              <w:rPr>
                <w:color w:val="000000"/>
                <w:sz w:val="22"/>
                <w:szCs w:val="22"/>
              </w:rPr>
            </w:pPr>
            <w:r w:rsidRPr="00AB305B">
              <w:rPr>
                <w:color w:val="000000"/>
                <w:sz w:val="22"/>
                <w:szCs w:val="22"/>
              </w:rPr>
              <w:t>138</w:t>
            </w:r>
          </w:p>
        </w:tc>
        <w:tc>
          <w:tcPr>
            <w:tcW w:w="1620" w:type="dxa"/>
            <w:tcBorders>
              <w:top w:val="nil"/>
              <w:left w:val="nil"/>
              <w:bottom w:val="single" w:sz="4" w:space="0" w:color="auto"/>
              <w:right w:val="single" w:sz="4" w:space="0" w:color="auto"/>
            </w:tcBorders>
            <w:shd w:val="clear" w:color="auto" w:fill="auto"/>
            <w:vAlign w:val="bottom"/>
            <w:hideMark/>
          </w:tcPr>
          <w:p w:rsidR="00BD22B8" w:rsidRPr="00AB305B" w:rsidRDefault="00BD22B8" w:rsidP="00FE5629">
            <w:pPr>
              <w:jc w:val="right"/>
              <w:rPr>
                <w:color w:val="000000"/>
                <w:sz w:val="22"/>
                <w:szCs w:val="22"/>
              </w:rPr>
            </w:pPr>
            <w:r w:rsidRPr="00AB305B">
              <w:rPr>
                <w:color w:val="000000"/>
                <w:sz w:val="22"/>
                <w:szCs w:val="22"/>
              </w:rPr>
              <w:t>1 506 403,98</w:t>
            </w:r>
          </w:p>
        </w:tc>
        <w:tc>
          <w:tcPr>
            <w:tcW w:w="1074" w:type="dxa"/>
            <w:tcBorders>
              <w:top w:val="nil"/>
              <w:left w:val="nil"/>
              <w:bottom w:val="single" w:sz="4" w:space="0" w:color="auto"/>
              <w:right w:val="single" w:sz="4" w:space="0" w:color="auto"/>
            </w:tcBorders>
            <w:shd w:val="clear" w:color="auto" w:fill="auto"/>
            <w:noWrap/>
            <w:vAlign w:val="bottom"/>
            <w:hideMark/>
          </w:tcPr>
          <w:p w:rsidR="00BD22B8" w:rsidRPr="00AB305B" w:rsidRDefault="00BD22B8" w:rsidP="00FE5629">
            <w:pPr>
              <w:jc w:val="right"/>
              <w:rPr>
                <w:rFonts w:ascii="Calibri" w:hAnsi="Calibri"/>
                <w:color w:val="000000"/>
                <w:sz w:val="22"/>
                <w:szCs w:val="22"/>
              </w:rPr>
            </w:pPr>
            <w:r w:rsidRPr="00AB305B">
              <w:rPr>
                <w:rFonts w:ascii="Calibri" w:hAnsi="Calibri"/>
                <w:color w:val="000000"/>
                <w:sz w:val="22"/>
                <w:szCs w:val="22"/>
              </w:rPr>
              <w:t>0,8</w:t>
            </w:r>
          </w:p>
        </w:tc>
        <w:tc>
          <w:tcPr>
            <w:tcW w:w="992" w:type="dxa"/>
            <w:tcBorders>
              <w:top w:val="nil"/>
              <w:left w:val="nil"/>
              <w:bottom w:val="single" w:sz="4" w:space="0" w:color="auto"/>
              <w:right w:val="single" w:sz="4" w:space="0" w:color="auto"/>
            </w:tcBorders>
            <w:shd w:val="clear" w:color="auto" w:fill="auto"/>
            <w:noWrap/>
            <w:vAlign w:val="bottom"/>
            <w:hideMark/>
          </w:tcPr>
          <w:p w:rsidR="00BD22B8" w:rsidRPr="00AB305B" w:rsidRDefault="00BD22B8" w:rsidP="00FE5629">
            <w:pPr>
              <w:jc w:val="right"/>
              <w:rPr>
                <w:rFonts w:ascii="Calibri" w:hAnsi="Calibri"/>
                <w:color w:val="000000"/>
                <w:sz w:val="22"/>
                <w:szCs w:val="22"/>
              </w:rPr>
            </w:pPr>
            <w:r w:rsidRPr="00AB305B">
              <w:rPr>
                <w:rFonts w:ascii="Calibri" w:hAnsi="Calibri"/>
                <w:color w:val="000000"/>
                <w:sz w:val="22"/>
                <w:szCs w:val="22"/>
              </w:rPr>
              <w:t>1,7</w:t>
            </w:r>
          </w:p>
        </w:tc>
      </w:tr>
      <w:tr w:rsidR="00BD22B8" w:rsidRPr="00AB305B" w:rsidTr="00FE5629">
        <w:trPr>
          <w:trHeight w:val="300"/>
        </w:trPr>
        <w:tc>
          <w:tcPr>
            <w:tcW w:w="2699" w:type="dxa"/>
            <w:tcBorders>
              <w:top w:val="nil"/>
              <w:left w:val="single" w:sz="4" w:space="0" w:color="auto"/>
              <w:bottom w:val="single" w:sz="4" w:space="0" w:color="auto"/>
              <w:right w:val="single" w:sz="4" w:space="0" w:color="auto"/>
            </w:tcBorders>
            <w:shd w:val="clear" w:color="auto" w:fill="auto"/>
            <w:hideMark/>
          </w:tcPr>
          <w:p w:rsidR="00BD22B8" w:rsidRPr="00AB305B" w:rsidRDefault="00BD22B8" w:rsidP="00FE5629">
            <w:pPr>
              <w:rPr>
                <w:rFonts w:ascii="Calibri" w:hAnsi="Calibri"/>
                <w:color w:val="000000"/>
                <w:sz w:val="22"/>
                <w:szCs w:val="22"/>
              </w:rPr>
            </w:pPr>
            <w:r w:rsidRPr="00AB305B">
              <w:rPr>
                <w:rFonts w:ascii="Calibri" w:hAnsi="Calibri"/>
                <w:color w:val="000000"/>
                <w:sz w:val="22"/>
                <w:szCs w:val="22"/>
              </w:rPr>
              <w:t>Stavebníctvo</w:t>
            </w:r>
          </w:p>
        </w:tc>
        <w:tc>
          <w:tcPr>
            <w:tcW w:w="992" w:type="dxa"/>
            <w:tcBorders>
              <w:top w:val="nil"/>
              <w:left w:val="nil"/>
              <w:bottom w:val="single" w:sz="4" w:space="0" w:color="auto"/>
              <w:right w:val="single" w:sz="4" w:space="0" w:color="auto"/>
            </w:tcBorders>
            <w:shd w:val="clear" w:color="auto" w:fill="auto"/>
            <w:vAlign w:val="bottom"/>
            <w:hideMark/>
          </w:tcPr>
          <w:p w:rsidR="00BD22B8" w:rsidRPr="00AB305B" w:rsidRDefault="00BD22B8" w:rsidP="00FE5629">
            <w:pPr>
              <w:jc w:val="right"/>
              <w:rPr>
                <w:color w:val="000000"/>
                <w:sz w:val="22"/>
                <w:szCs w:val="22"/>
              </w:rPr>
            </w:pPr>
            <w:r w:rsidRPr="00AB305B">
              <w:rPr>
                <w:color w:val="000000"/>
                <w:sz w:val="22"/>
                <w:szCs w:val="22"/>
              </w:rPr>
              <w:t>47 558</w:t>
            </w:r>
          </w:p>
        </w:tc>
        <w:tc>
          <w:tcPr>
            <w:tcW w:w="1620" w:type="dxa"/>
            <w:tcBorders>
              <w:top w:val="nil"/>
              <w:left w:val="nil"/>
              <w:bottom w:val="single" w:sz="4" w:space="0" w:color="auto"/>
              <w:right w:val="single" w:sz="4" w:space="0" w:color="auto"/>
            </w:tcBorders>
            <w:shd w:val="clear" w:color="auto" w:fill="auto"/>
            <w:vAlign w:val="bottom"/>
            <w:hideMark/>
          </w:tcPr>
          <w:p w:rsidR="00BD22B8" w:rsidRPr="00AB305B" w:rsidRDefault="00BD22B8" w:rsidP="00FE5629">
            <w:pPr>
              <w:jc w:val="right"/>
              <w:rPr>
                <w:color w:val="000000"/>
                <w:sz w:val="22"/>
                <w:szCs w:val="22"/>
              </w:rPr>
            </w:pPr>
            <w:r w:rsidRPr="00AB305B">
              <w:rPr>
                <w:color w:val="000000"/>
                <w:sz w:val="22"/>
                <w:szCs w:val="22"/>
              </w:rPr>
              <w:t>101 883 288,56</w:t>
            </w:r>
          </w:p>
        </w:tc>
        <w:tc>
          <w:tcPr>
            <w:tcW w:w="931" w:type="dxa"/>
            <w:tcBorders>
              <w:top w:val="nil"/>
              <w:left w:val="nil"/>
              <w:bottom w:val="single" w:sz="4" w:space="0" w:color="auto"/>
              <w:right w:val="single" w:sz="4" w:space="0" w:color="auto"/>
            </w:tcBorders>
            <w:shd w:val="clear" w:color="auto" w:fill="auto"/>
            <w:vAlign w:val="bottom"/>
            <w:hideMark/>
          </w:tcPr>
          <w:p w:rsidR="00BD22B8" w:rsidRPr="00AB305B" w:rsidRDefault="00BD22B8" w:rsidP="00FE5629">
            <w:pPr>
              <w:jc w:val="right"/>
              <w:rPr>
                <w:color w:val="000000"/>
                <w:sz w:val="22"/>
                <w:szCs w:val="22"/>
              </w:rPr>
            </w:pPr>
            <w:r w:rsidRPr="00AB305B">
              <w:rPr>
                <w:color w:val="000000"/>
                <w:sz w:val="22"/>
                <w:szCs w:val="22"/>
              </w:rPr>
              <w:t>863</w:t>
            </w:r>
          </w:p>
        </w:tc>
        <w:tc>
          <w:tcPr>
            <w:tcW w:w="1620" w:type="dxa"/>
            <w:tcBorders>
              <w:top w:val="nil"/>
              <w:left w:val="nil"/>
              <w:bottom w:val="single" w:sz="4" w:space="0" w:color="auto"/>
              <w:right w:val="single" w:sz="4" w:space="0" w:color="auto"/>
            </w:tcBorders>
            <w:shd w:val="clear" w:color="auto" w:fill="auto"/>
            <w:vAlign w:val="bottom"/>
            <w:hideMark/>
          </w:tcPr>
          <w:p w:rsidR="00BD22B8" w:rsidRPr="00AB305B" w:rsidRDefault="00BD22B8" w:rsidP="00FE5629">
            <w:pPr>
              <w:jc w:val="right"/>
              <w:rPr>
                <w:color w:val="000000"/>
                <w:sz w:val="22"/>
                <w:szCs w:val="22"/>
              </w:rPr>
            </w:pPr>
            <w:r w:rsidRPr="00AB305B">
              <w:rPr>
                <w:color w:val="000000"/>
                <w:sz w:val="22"/>
                <w:szCs w:val="22"/>
              </w:rPr>
              <w:t>104 167 842,62</w:t>
            </w:r>
          </w:p>
        </w:tc>
        <w:tc>
          <w:tcPr>
            <w:tcW w:w="1074" w:type="dxa"/>
            <w:tcBorders>
              <w:top w:val="nil"/>
              <w:left w:val="nil"/>
              <w:bottom w:val="single" w:sz="4" w:space="0" w:color="auto"/>
              <w:right w:val="single" w:sz="4" w:space="0" w:color="auto"/>
            </w:tcBorders>
            <w:shd w:val="clear" w:color="auto" w:fill="auto"/>
            <w:noWrap/>
            <w:vAlign w:val="bottom"/>
            <w:hideMark/>
          </w:tcPr>
          <w:p w:rsidR="00BD22B8" w:rsidRPr="00AB305B" w:rsidRDefault="00BD22B8" w:rsidP="00FE5629">
            <w:pPr>
              <w:jc w:val="right"/>
              <w:rPr>
                <w:rFonts w:ascii="Calibri" w:hAnsi="Calibri"/>
                <w:color w:val="000000"/>
                <w:sz w:val="22"/>
                <w:szCs w:val="22"/>
              </w:rPr>
            </w:pPr>
            <w:r w:rsidRPr="00AB305B">
              <w:rPr>
                <w:rFonts w:ascii="Calibri" w:hAnsi="Calibri"/>
                <w:color w:val="000000"/>
                <w:sz w:val="22"/>
                <w:szCs w:val="22"/>
              </w:rPr>
              <w:t>75,5</w:t>
            </w:r>
          </w:p>
        </w:tc>
        <w:tc>
          <w:tcPr>
            <w:tcW w:w="992" w:type="dxa"/>
            <w:tcBorders>
              <w:top w:val="nil"/>
              <w:left w:val="nil"/>
              <w:bottom w:val="single" w:sz="4" w:space="0" w:color="auto"/>
              <w:right w:val="single" w:sz="4" w:space="0" w:color="auto"/>
            </w:tcBorders>
            <w:shd w:val="clear" w:color="auto" w:fill="auto"/>
            <w:noWrap/>
            <w:vAlign w:val="bottom"/>
            <w:hideMark/>
          </w:tcPr>
          <w:p w:rsidR="00BD22B8" w:rsidRPr="00AB305B" w:rsidRDefault="00BD22B8" w:rsidP="00FE5629">
            <w:pPr>
              <w:jc w:val="right"/>
              <w:rPr>
                <w:rFonts w:ascii="Calibri" w:hAnsi="Calibri"/>
                <w:color w:val="000000"/>
                <w:sz w:val="22"/>
                <w:szCs w:val="22"/>
              </w:rPr>
            </w:pPr>
            <w:r w:rsidRPr="00AB305B">
              <w:rPr>
                <w:rFonts w:ascii="Calibri" w:hAnsi="Calibri"/>
                <w:color w:val="000000"/>
                <w:sz w:val="22"/>
                <w:szCs w:val="22"/>
              </w:rPr>
              <w:t>59,6</w:t>
            </w:r>
          </w:p>
        </w:tc>
      </w:tr>
      <w:tr w:rsidR="00BD22B8" w:rsidRPr="00AB305B" w:rsidTr="00FE5629">
        <w:trPr>
          <w:trHeight w:val="300"/>
        </w:trPr>
        <w:tc>
          <w:tcPr>
            <w:tcW w:w="2699" w:type="dxa"/>
            <w:tcBorders>
              <w:top w:val="nil"/>
              <w:left w:val="single" w:sz="4" w:space="0" w:color="auto"/>
              <w:bottom w:val="single" w:sz="4" w:space="0" w:color="auto"/>
              <w:right w:val="single" w:sz="4" w:space="0" w:color="auto"/>
            </w:tcBorders>
            <w:shd w:val="clear" w:color="auto" w:fill="auto"/>
            <w:hideMark/>
          </w:tcPr>
          <w:p w:rsidR="00BD22B8" w:rsidRPr="00AB305B" w:rsidRDefault="00BD22B8" w:rsidP="00FE5629">
            <w:pPr>
              <w:rPr>
                <w:rFonts w:ascii="Calibri" w:hAnsi="Calibri"/>
                <w:color w:val="000000"/>
                <w:sz w:val="22"/>
                <w:szCs w:val="22"/>
              </w:rPr>
            </w:pPr>
            <w:r w:rsidRPr="00AB305B">
              <w:rPr>
                <w:rFonts w:ascii="Calibri" w:hAnsi="Calibri"/>
                <w:color w:val="000000"/>
                <w:sz w:val="22"/>
                <w:szCs w:val="22"/>
              </w:rPr>
              <w:t>Doprava</w:t>
            </w:r>
          </w:p>
        </w:tc>
        <w:tc>
          <w:tcPr>
            <w:tcW w:w="992" w:type="dxa"/>
            <w:tcBorders>
              <w:top w:val="nil"/>
              <w:left w:val="nil"/>
              <w:bottom w:val="single" w:sz="4" w:space="0" w:color="auto"/>
              <w:right w:val="single" w:sz="4" w:space="0" w:color="auto"/>
            </w:tcBorders>
            <w:shd w:val="clear" w:color="auto" w:fill="auto"/>
            <w:vAlign w:val="bottom"/>
            <w:hideMark/>
          </w:tcPr>
          <w:p w:rsidR="00BD22B8" w:rsidRPr="00AB305B" w:rsidRDefault="00BD22B8" w:rsidP="00FE5629">
            <w:pPr>
              <w:jc w:val="right"/>
              <w:rPr>
                <w:color w:val="000000"/>
                <w:sz w:val="22"/>
                <w:szCs w:val="22"/>
              </w:rPr>
            </w:pPr>
            <w:r w:rsidRPr="00AB305B">
              <w:rPr>
                <w:color w:val="000000"/>
                <w:sz w:val="22"/>
                <w:szCs w:val="22"/>
              </w:rPr>
              <w:t>1 009</w:t>
            </w:r>
          </w:p>
        </w:tc>
        <w:tc>
          <w:tcPr>
            <w:tcW w:w="1620" w:type="dxa"/>
            <w:tcBorders>
              <w:top w:val="nil"/>
              <w:left w:val="nil"/>
              <w:bottom w:val="single" w:sz="4" w:space="0" w:color="auto"/>
              <w:right w:val="single" w:sz="4" w:space="0" w:color="auto"/>
            </w:tcBorders>
            <w:shd w:val="clear" w:color="auto" w:fill="auto"/>
            <w:vAlign w:val="bottom"/>
            <w:hideMark/>
          </w:tcPr>
          <w:p w:rsidR="00BD22B8" w:rsidRPr="00AB305B" w:rsidRDefault="00BD22B8" w:rsidP="00FE5629">
            <w:pPr>
              <w:jc w:val="right"/>
              <w:rPr>
                <w:color w:val="000000"/>
                <w:sz w:val="22"/>
                <w:szCs w:val="22"/>
              </w:rPr>
            </w:pPr>
            <w:r w:rsidRPr="00AB305B">
              <w:rPr>
                <w:color w:val="000000"/>
                <w:sz w:val="22"/>
                <w:szCs w:val="22"/>
              </w:rPr>
              <w:t>9 984 620,56</w:t>
            </w:r>
          </w:p>
        </w:tc>
        <w:tc>
          <w:tcPr>
            <w:tcW w:w="931" w:type="dxa"/>
            <w:tcBorders>
              <w:top w:val="nil"/>
              <w:left w:val="nil"/>
              <w:bottom w:val="single" w:sz="4" w:space="0" w:color="auto"/>
              <w:right w:val="single" w:sz="4" w:space="0" w:color="auto"/>
            </w:tcBorders>
            <w:shd w:val="clear" w:color="auto" w:fill="auto"/>
            <w:vAlign w:val="bottom"/>
            <w:hideMark/>
          </w:tcPr>
          <w:p w:rsidR="00BD22B8" w:rsidRPr="00AB305B" w:rsidRDefault="00BD22B8" w:rsidP="00FE5629">
            <w:pPr>
              <w:jc w:val="right"/>
              <w:rPr>
                <w:color w:val="000000"/>
                <w:sz w:val="22"/>
                <w:szCs w:val="22"/>
              </w:rPr>
            </w:pPr>
            <w:r w:rsidRPr="00AB305B">
              <w:rPr>
                <w:color w:val="000000"/>
                <w:sz w:val="22"/>
                <w:szCs w:val="22"/>
              </w:rPr>
              <w:t>254</w:t>
            </w:r>
          </w:p>
        </w:tc>
        <w:tc>
          <w:tcPr>
            <w:tcW w:w="1620" w:type="dxa"/>
            <w:tcBorders>
              <w:top w:val="nil"/>
              <w:left w:val="nil"/>
              <w:bottom w:val="single" w:sz="4" w:space="0" w:color="auto"/>
              <w:right w:val="single" w:sz="4" w:space="0" w:color="auto"/>
            </w:tcBorders>
            <w:shd w:val="clear" w:color="auto" w:fill="auto"/>
            <w:vAlign w:val="bottom"/>
            <w:hideMark/>
          </w:tcPr>
          <w:p w:rsidR="00BD22B8" w:rsidRPr="00AB305B" w:rsidRDefault="00BD22B8" w:rsidP="00FE5629">
            <w:pPr>
              <w:jc w:val="right"/>
              <w:rPr>
                <w:color w:val="000000"/>
                <w:sz w:val="22"/>
                <w:szCs w:val="22"/>
              </w:rPr>
            </w:pPr>
            <w:r w:rsidRPr="00AB305B">
              <w:rPr>
                <w:color w:val="000000"/>
                <w:sz w:val="22"/>
                <w:szCs w:val="22"/>
              </w:rPr>
              <w:t>1 771 263,75</w:t>
            </w:r>
          </w:p>
        </w:tc>
        <w:tc>
          <w:tcPr>
            <w:tcW w:w="1074" w:type="dxa"/>
            <w:tcBorders>
              <w:top w:val="nil"/>
              <w:left w:val="nil"/>
              <w:bottom w:val="single" w:sz="4" w:space="0" w:color="auto"/>
              <w:right w:val="single" w:sz="4" w:space="0" w:color="auto"/>
            </w:tcBorders>
            <w:shd w:val="clear" w:color="auto" w:fill="auto"/>
            <w:noWrap/>
            <w:vAlign w:val="bottom"/>
            <w:hideMark/>
          </w:tcPr>
          <w:p w:rsidR="00BD22B8" w:rsidRPr="00AB305B" w:rsidRDefault="00BD22B8" w:rsidP="00FE5629">
            <w:pPr>
              <w:jc w:val="right"/>
              <w:rPr>
                <w:rFonts w:ascii="Calibri" w:hAnsi="Calibri"/>
                <w:color w:val="000000"/>
                <w:sz w:val="22"/>
                <w:szCs w:val="22"/>
              </w:rPr>
            </w:pPr>
            <w:r w:rsidRPr="00AB305B">
              <w:rPr>
                <w:rFonts w:ascii="Calibri" w:hAnsi="Calibri"/>
                <w:color w:val="000000"/>
                <w:sz w:val="22"/>
                <w:szCs w:val="22"/>
              </w:rPr>
              <w:t>1,6</w:t>
            </w:r>
          </w:p>
        </w:tc>
        <w:tc>
          <w:tcPr>
            <w:tcW w:w="992" w:type="dxa"/>
            <w:tcBorders>
              <w:top w:val="nil"/>
              <w:left w:val="nil"/>
              <w:bottom w:val="single" w:sz="4" w:space="0" w:color="auto"/>
              <w:right w:val="single" w:sz="4" w:space="0" w:color="auto"/>
            </w:tcBorders>
            <w:shd w:val="clear" w:color="auto" w:fill="auto"/>
            <w:noWrap/>
            <w:vAlign w:val="bottom"/>
            <w:hideMark/>
          </w:tcPr>
          <w:p w:rsidR="00BD22B8" w:rsidRPr="00AB305B" w:rsidRDefault="00BD22B8" w:rsidP="00FE5629">
            <w:pPr>
              <w:jc w:val="right"/>
              <w:rPr>
                <w:rFonts w:ascii="Calibri" w:hAnsi="Calibri"/>
                <w:color w:val="000000"/>
                <w:sz w:val="22"/>
                <w:szCs w:val="22"/>
              </w:rPr>
            </w:pPr>
            <w:r w:rsidRPr="00AB305B">
              <w:rPr>
                <w:rFonts w:ascii="Calibri" w:hAnsi="Calibri"/>
                <w:color w:val="000000"/>
                <w:sz w:val="22"/>
                <w:szCs w:val="22"/>
              </w:rPr>
              <w:t>5,8</w:t>
            </w:r>
          </w:p>
        </w:tc>
      </w:tr>
      <w:tr w:rsidR="00BD22B8" w:rsidRPr="00AB305B" w:rsidTr="00FE5629">
        <w:trPr>
          <w:trHeight w:val="300"/>
        </w:trPr>
        <w:tc>
          <w:tcPr>
            <w:tcW w:w="2699" w:type="dxa"/>
            <w:tcBorders>
              <w:top w:val="nil"/>
              <w:left w:val="single" w:sz="4" w:space="0" w:color="auto"/>
              <w:bottom w:val="single" w:sz="4" w:space="0" w:color="auto"/>
              <w:right w:val="single" w:sz="4" w:space="0" w:color="auto"/>
            </w:tcBorders>
            <w:shd w:val="clear" w:color="auto" w:fill="auto"/>
            <w:hideMark/>
          </w:tcPr>
          <w:p w:rsidR="00BD22B8" w:rsidRPr="00AB305B" w:rsidRDefault="00BD22B8" w:rsidP="00FE5629">
            <w:pPr>
              <w:rPr>
                <w:rFonts w:ascii="Calibri" w:hAnsi="Calibri"/>
                <w:color w:val="000000"/>
                <w:sz w:val="22"/>
                <w:szCs w:val="22"/>
              </w:rPr>
            </w:pPr>
            <w:r w:rsidRPr="00AB305B">
              <w:rPr>
                <w:rFonts w:ascii="Calibri" w:hAnsi="Calibri"/>
                <w:color w:val="000000"/>
                <w:sz w:val="22"/>
                <w:szCs w:val="22"/>
              </w:rPr>
              <w:t>Nábytok</w:t>
            </w:r>
          </w:p>
        </w:tc>
        <w:tc>
          <w:tcPr>
            <w:tcW w:w="992" w:type="dxa"/>
            <w:tcBorders>
              <w:top w:val="nil"/>
              <w:left w:val="nil"/>
              <w:bottom w:val="single" w:sz="4" w:space="0" w:color="auto"/>
              <w:right w:val="single" w:sz="4" w:space="0" w:color="auto"/>
            </w:tcBorders>
            <w:shd w:val="clear" w:color="auto" w:fill="auto"/>
            <w:vAlign w:val="bottom"/>
            <w:hideMark/>
          </w:tcPr>
          <w:p w:rsidR="00BD22B8" w:rsidRPr="00AB305B" w:rsidRDefault="00BD22B8" w:rsidP="00FE5629">
            <w:pPr>
              <w:jc w:val="right"/>
              <w:rPr>
                <w:color w:val="000000"/>
                <w:sz w:val="22"/>
                <w:szCs w:val="22"/>
              </w:rPr>
            </w:pPr>
            <w:r w:rsidRPr="00AB305B">
              <w:rPr>
                <w:color w:val="000000"/>
                <w:sz w:val="22"/>
                <w:szCs w:val="22"/>
              </w:rPr>
              <w:t>530</w:t>
            </w:r>
          </w:p>
        </w:tc>
        <w:tc>
          <w:tcPr>
            <w:tcW w:w="1620" w:type="dxa"/>
            <w:tcBorders>
              <w:top w:val="nil"/>
              <w:left w:val="nil"/>
              <w:bottom w:val="single" w:sz="4" w:space="0" w:color="auto"/>
              <w:right w:val="single" w:sz="4" w:space="0" w:color="auto"/>
            </w:tcBorders>
            <w:shd w:val="clear" w:color="auto" w:fill="auto"/>
            <w:vAlign w:val="bottom"/>
            <w:hideMark/>
          </w:tcPr>
          <w:p w:rsidR="00BD22B8" w:rsidRPr="00AB305B" w:rsidRDefault="00BD22B8" w:rsidP="00FE5629">
            <w:pPr>
              <w:jc w:val="right"/>
              <w:rPr>
                <w:color w:val="000000"/>
                <w:sz w:val="22"/>
                <w:szCs w:val="22"/>
              </w:rPr>
            </w:pPr>
            <w:r w:rsidRPr="00AB305B">
              <w:rPr>
                <w:color w:val="000000"/>
                <w:sz w:val="22"/>
                <w:szCs w:val="22"/>
              </w:rPr>
              <w:t>2 369 247,83</w:t>
            </w:r>
          </w:p>
        </w:tc>
        <w:tc>
          <w:tcPr>
            <w:tcW w:w="931" w:type="dxa"/>
            <w:tcBorders>
              <w:top w:val="nil"/>
              <w:left w:val="nil"/>
              <w:bottom w:val="single" w:sz="4" w:space="0" w:color="auto"/>
              <w:right w:val="single" w:sz="4" w:space="0" w:color="auto"/>
            </w:tcBorders>
            <w:shd w:val="clear" w:color="auto" w:fill="auto"/>
            <w:vAlign w:val="bottom"/>
            <w:hideMark/>
          </w:tcPr>
          <w:p w:rsidR="00BD22B8" w:rsidRPr="00AB305B" w:rsidRDefault="00BD22B8" w:rsidP="00FE5629">
            <w:pPr>
              <w:jc w:val="right"/>
              <w:rPr>
                <w:color w:val="000000"/>
                <w:sz w:val="22"/>
                <w:szCs w:val="22"/>
              </w:rPr>
            </w:pPr>
            <w:r w:rsidRPr="00AB305B">
              <w:rPr>
                <w:color w:val="000000"/>
                <w:sz w:val="22"/>
                <w:szCs w:val="22"/>
              </w:rPr>
              <w:t>15</w:t>
            </w:r>
          </w:p>
        </w:tc>
        <w:tc>
          <w:tcPr>
            <w:tcW w:w="1620" w:type="dxa"/>
            <w:tcBorders>
              <w:top w:val="nil"/>
              <w:left w:val="nil"/>
              <w:bottom w:val="single" w:sz="4" w:space="0" w:color="auto"/>
              <w:right w:val="single" w:sz="4" w:space="0" w:color="auto"/>
            </w:tcBorders>
            <w:shd w:val="clear" w:color="auto" w:fill="auto"/>
            <w:vAlign w:val="bottom"/>
            <w:hideMark/>
          </w:tcPr>
          <w:p w:rsidR="00BD22B8" w:rsidRPr="00AB305B" w:rsidRDefault="00BD22B8" w:rsidP="00FE5629">
            <w:pPr>
              <w:jc w:val="right"/>
              <w:rPr>
                <w:color w:val="000000"/>
                <w:sz w:val="22"/>
                <w:szCs w:val="22"/>
              </w:rPr>
            </w:pPr>
            <w:r w:rsidRPr="00AB305B">
              <w:rPr>
                <w:color w:val="000000"/>
                <w:sz w:val="22"/>
                <w:szCs w:val="22"/>
              </w:rPr>
              <w:t>666 540,64</w:t>
            </w:r>
          </w:p>
        </w:tc>
        <w:tc>
          <w:tcPr>
            <w:tcW w:w="1074" w:type="dxa"/>
            <w:tcBorders>
              <w:top w:val="nil"/>
              <w:left w:val="nil"/>
              <w:bottom w:val="single" w:sz="4" w:space="0" w:color="auto"/>
              <w:right w:val="single" w:sz="4" w:space="0" w:color="auto"/>
            </w:tcBorders>
            <w:shd w:val="clear" w:color="auto" w:fill="auto"/>
            <w:noWrap/>
            <w:vAlign w:val="bottom"/>
            <w:hideMark/>
          </w:tcPr>
          <w:p w:rsidR="00BD22B8" w:rsidRPr="00AB305B" w:rsidRDefault="00BD22B8" w:rsidP="00FE5629">
            <w:pPr>
              <w:jc w:val="right"/>
              <w:rPr>
                <w:rFonts w:ascii="Calibri" w:hAnsi="Calibri"/>
                <w:color w:val="000000"/>
                <w:sz w:val="22"/>
                <w:szCs w:val="22"/>
              </w:rPr>
            </w:pPr>
            <w:r w:rsidRPr="00AB305B">
              <w:rPr>
                <w:rFonts w:ascii="Calibri" w:hAnsi="Calibri"/>
                <w:color w:val="000000"/>
                <w:sz w:val="22"/>
                <w:szCs w:val="22"/>
              </w:rPr>
              <w:t>0,8</w:t>
            </w:r>
          </w:p>
        </w:tc>
        <w:tc>
          <w:tcPr>
            <w:tcW w:w="992" w:type="dxa"/>
            <w:tcBorders>
              <w:top w:val="nil"/>
              <w:left w:val="nil"/>
              <w:bottom w:val="single" w:sz="4" w:space="0" w:color="auto"/>
              <w:right w:val="single" w:sz="4" w:space="0" w:color="auto"/>
            </w:tcBorders>
            <w:shd w:val="clear" w:color="auto" w:fill="auto"/>
            <w:noWrap/>
            <w:vAlign w:val="bottom"/>
            <w:hideMark/>
          </w:tcPr>
          <w:p w:rsidR="00BD22B8" w:rsidRPr="00AB305B" w:rsidRDefault="00BD22B8" w:rsidP="00FE5629">
            <w:pPr>
              <w:jc w:val="right"/>
              <w:rPr>
                <w:rFonts w:ascii="Calibri" w:hAnsi="Calibri"/>
                <w:color w:val="000000"/>
                <w:sz w:val="22"/>
                <w:szCs w:val="22"/>
              </w:rPr>
            </w:pPr>
            <w:r w:rsidRPr="00AB305B">
              <w:rPr>
                <w:rFonts w:ascii="Calibri" w:hAnsi="Calibri"/>
                <w:color w:val="000000"/>
                <w:sz w:val="22"/>
                <w:szCs w:val="22"/>
              </w:rPr>
              <w:t>1,4</w:t>
            </w:r>
          </w:p>
        </w:tc>
      </w:tr>
      <w:tr w:rsidR="00BD22B8" w:rsidRPr="00AB305B" w:rsidTr="00FE5629">
        <w:trPr>
          <w:trHeight w:val="300"/>
        </w:trPr>
        <w:tc>
          <w:tcPr>
            <w:tcW w:w="2699" w:type="dxa"/>
            <w:tcBorders>
              <w:top w:val="nil"/>
              <w:left w:val="single" w:sz="4" w:space="0" w:color="auto"/>
              <w:bottom w:val="single" w:sz="4" w:space="0" w:color="auto"/>
              <w:right w:val="single" w:sz="4" w:space="0" w:color="auto"/>
            </w:tcBorders>
            <w:shd w:val="clear" w:color="auto" w:fill="auto"/>
            <w:hideMark/>
          </w:tcPr>
          <w:p w:rsidR="00BD22B8" w:rsidRPr="00AB305B" w:rsidRDefault="00BD22B8" w:rsidP="00FE5629">
            <w:pPr>
              <w:rPr>
                <w:rFonts w:ascii="Calibri" w:hAnsi="Calibri"/>
                <w:color w:val="000000"/>
                <w:sz w:val="22"/>
                <w:szCs w:val="22"/>
              </w:rPr>
            </w:pPr>
            <w:r w:rsidRPr="00AB305B">
              <w:rPr>
                <w:rFonts w:ascii="Calibri" w:hAnsi="Calibri"/>
                <w:color w:val="000000"/>
                <w:sz w:val="22"/>
                <w:szCs w:val="22"/>
              </w:rPr>
              <w:t>Elektrická energia</w:t>
            </w:r>
          </w:p>
        </w:tc>
        <w:tc>
          <w:tcPr>
            <w:tcW w:w="992" w:type="dxa"/>
            <w:tcBorders>
              <w:top w:val="nil"/>
              <w:left w:val="nil"/>
              <w:bottom w:val="single" w:sz="4" w:space="0" w:color="auto"/>
              <w:right w:val="single" w:sz="4" w:space="0" w:color="auto"/>
            </w:tcBorders>
            <w:shd w:val="clear" w:color="auto" w:fill="auto"/>
            <w:vAlign w:val="bottom"/>
            <w:hideMark/>
          </w:tcPr>
          <w:p w:rsidR="00BD22B8" w:rsidRPr="00AB305B" w:rsidRDefault="00BD22B8" w:rsidP="00FE5629">
            <w:pPr>
              <w:jc w:val="right"/>
              <w:rPr>
                <w:color w:val="000000"/>
                <w:sz w:val="22"/>
                <w:szCs w:val="22"/>
              </w:rPr>
            </w:pPr>
            <w:r w:rsidRPr="00AB305B">
              <w:rPr>
                <w:color w:val="000000"/>
                <w:sz w:val="22"/>
                <w:szCs w:val="22"/>
              </w:rPr>
              <w:t>511</w:t>
            </w:r>
          </w:p>
        </w:tc>
        <w:tc>
          <w:tcPr>
            <w:tcW w:w="1620" w:type="dxa"/>
            <w:tcBorders>
              <w:top w:val="nil"/>
              <w:left w:val="nil"/>
              <w:bottom w:val="single" w:sz="4" w:space="0" w:color="auto"/>
              <w:right w:val="single" w:sz="4" w:space="0" w:color="auto"/>
            </w:tcBorders>
            <w:shd w:val="clear" w:color="auto" w:fill="auto"/>
            <w:vAlign w:val="bottom"/>
            <w:hideMark/>
          </w:tcPr>
          <w:p w:rsidR="00BD22B8" w:rsidRPr="00AB305B" w:rsidRDefault="00BD22B8" w:rsidP="00FE5629">
            <w:pPr>
              <w:jc w:val="right"/>
              <w:rPr>
                <w:color w:val="000000"/>
                <w:sz w:val="22"/>
                <w:szCs w:val="22"/>
              </w:rPr>
            </w:pPr>
            <w:r w:rsidRPr="00AB305B">
              <w:rPr>
                <w:color w:val="000000"/>
                <w:sz w:val="22"/>
                <w:szCs w:val="22"/>
              </w:rPr>
              <w:t>27 788 598,24</w:t>
            </w:r>
          </w:p>
        </w:tc>
        <w:tc>
          <w:tcPr>
            <w:tcW w:w="931" w:type="dxa"/>
            <w:tcBorders>
              <w:top w:val="nil"/>
              <w:left w:val="nil"/>
              <w:bottom w:val="single" w:sz="4" w:space="0" w:color="auto"/>
              <w:right w:val="single" w:sz="4" w:space="0" w:color="auto"/>
            </w:tcBorders>
            <w:shd w:val="clear" w:color="auto" w:fill="auto"/>
            <w:vAlign w:val="bottom"/>
            <w:hideMark/>
          </w:tcPr>
          <w:p w:rsidR="00BD22B8" w:rsidRPr="00AB305B" w:rsidRDefault="00BD22B8" w:rsidP="00FE5629">
            <w:pPr>
              <w:jc w:val="right"/>
              <w:rPr>
                <w:color w:val="000000"/>
                <w:sz w:val="22"/>
                <w:szCs w:val="22"/>
              </w:rPr>
            </w:pPr>
            <w:r w:rsidRPr="00AB305B">
              <w:rPr>
                <w:color w:val="000000"/>
                <w:sz w:val="22"/>
                <w:szCs w:val="22"/>
              </w:rPr>
              <w:t>1</w:t>
            </w:r>
          </w:p>
        </w:tc>
        <w:tc>
          <w:tcPr>
            <w:tcW w:w="1620" w:type="dxa"/>
            <w:tcBorders>
              <w:top w:val="nil"/>
              <w:left w:val="nil"/>
              <w:bottom w:val="single" w:sz="4" w:space="0" w:color="auto"/>
              <w:right w:val="single" w:sz="4" w:space="0" w:color="auto"/>
            </w:tcBorders>
            <w:shd w:val="clear" w:color="auto" w:fill="auto"/>
            <w:vAlign w:val="bottom"/>
            <w:hideMark/>
          </w:tcPr>
          <w:p w:rsidR="00BD22B8" w:rsidRPr="00AB305B" w:rsidRDefault="00BD22B8" w:rsidP="00FE5629">
            <w:pPr>
              <w:jc w:val="right"/>
              <w:rPr>
                <w:color w:val="000000"/>
                <w:sz w:val="22"/>
                <w:szCs w:val="22"/>
              </w:rPr>
            </w:pPr>
            <w:r w:rsidRPr="00AB305B">
              <w:rPr>
                <w:color w:val="000000"/>
                <w:sz w:val="22"/>
                <w:szCs w:val="22"/>
              </w:rPr>
              <w:t>27 950,00</w:t>
            </w:r>
          </w:p>
        </w:tc>
        <w:tc>
          <w:tcPr>
            <w:tcW w:w="1074" w:type="dxa"/>
            <w:tcBorders>
              <w:top w:val="nil"/>
              <w:left w:val="nil"/>
              <w:bottom w:val="single" w:sz="4" w:space="0" w:color="auto"/>
              <w:right w:val="single" w:sz="4" w:space="0" w:color="auto"/>
            </w:tcBorders>
            <w:shd w:val="clear" w:color="auto" w:fill="auto"/>
            <w:noWrap/>
            <w:vAlign w:val="bottom"/>
            <w:hideMark/>
          </w:tcPr>
          <w:p w:rsidR="00BD22B8" w:rsidRPr="00AB305B" w:rsidRDefault="00BD22B8" w:rsidP="00FE5629">
            <w:pPr>
              <w:jc w:val="right"/>
              <w:rPr>
                <w:rFonts w:ascii="Calibri" w:hAnsi="Calibri"/>
                <w:color w:val="000000"/>
                <w:sz w:val="22"/>
                <w:szCs w:val="22"/>
              </w:rPr>
            </w:pPr>
            <w:r w:rsidRPr="00AB305B">
              <w:rPr>
                <w:rFonts w:ascii="Calibri" w:hAnsi="Calibri"/>
                <w:color w:val="000000"/>
                <w:sz w:val="22"/>
                <w:szCs w:val="22"/>
              </w:rPr>
              <w:t>0,8</w:t>
            </w:r>
          </w:p>
        </w:tc>
        <w:tc>
          <w:tcPr>
            <w:tcW w:w="992" w:type="dxa"/>
            <w:tcBorders>
              <w:top w:val="nil"/>
              <w:left w:val="nil"/>
              <w:bottom w:val="single" w:sz="4" w:space="0" w:color="auto"/>
              <w:right w:val="single" w:sz="4" w:space="0" w:color="auto"/>
            </w:tcBorders>
            <w:shd w:val="clear" w:color="auto" w:fill="auto"/>
            <w:noWrap/>
            <w:vAlign w:val="bottom"/>
            <w:hideMark/>
          </w:tcPr>
          <w:p w:rsidR="00BD22B8" w:rsidRPr="00AB305B" w:rsidRDefault="00BD22B8" w:rsidP="00FE5629">
            <w:pPr>
              <w:jc w:val="right"/>
              <w:rPr>
                <w:rFonts w:ascii="Calibri" w:hAnsi="Calibri"/>
                <w:color w:val="000000"/>
                <w:sz w:val="22"/>
                <w:szCs w:val="22"/>
              </w:rPr>
            </w:pPr>
            <w:r w:rsidRPr="00AB305B">
              <w:rPr>
                <w:rFonts w:ascii="Calibri" w:hAnsi="Calibri"/>
                <w:color w:val="000000"/>
                <w:sz w:val="22"/>
                <w:szCs w:val="22"/>
              </w:rPr>
              <w:t>16,3</w:t>
            </w:r>
          </w:p>
        </w:tc>
      </w:tr>
      <w:tr w:rsidR="00BD22B8" w:rsidRPr="00AB305B" w:rsidTr="00FE5629">
        <w:trPr>
          <w:trHeight w:val="300"/>
        </w:trPr>
        <w:tc>
          <w:tcPr>
            <w:tcW w:w="2699" w:type="dxa"/>
            <w:tcBorders>
              <w:top w:val="nil"/>
              <w:left w:val="single" w:sz="4" w:space="0" w:color="auto"/>
              <w:bottom w:val="single" w:sz="4" w:space="0" w:color="auto"/>
              <w:right w:val="single" w:sz="4" w:space="0" w:color="auto"/>
            </w:tcBorders>
            <w:shd w:val="clear" w:color="auto" w:fill="auto"/>
            <w:hideMark/>
          </w:tcPr>
          <w:p w:rsidR="00BD22B8" w:rsidRPr="00AB305B" w:rsidRDefault="00BD22B8" w:rsidP="00FE5629">
            <w:pPr>
              <w:rPr>
                <w:rFonts w:ascii="Calibri" w:hAnsi="Calibri"/>
                <w:color w:val="000000"/>
                <w:sz w:val="22"/>
                <w:szCs w:val="22"/>
              </w:rPr>
            </w:pPr>
            <w:r w:rsidRPr="00AB305B">
              <w:rPr>
                <w:rFonts w:ascii="Calibri" w:hAnsi="Calibri"/>
                <w:color w:val="000000"/>
                <w:sz w:val="22"/>
                <w:szCs w:val="22"/>
              </w:rPr>
              <w:t>Stravovacie služby a zásobovanie potravinami</w:t>
            </w:r>
          </w:p>
        </w:tc>
        <w:tc>
          <w:tcPr>
            <w:tcW w:w="992" w:type="dxa"/>
            <w:tcBorders>
              <w:top w:val="nil"/>
              <w:left w:val="nil"/>
              <w:bottom w:val="single" w:sz="4" w:space="0" w:color="auto"/>
              <w:right w:val="single" w:sz="4" w:space="0" w:color="auto"/>
            </w:tcBorders>
            <w:shd w:val="clear" w:color="auto" w:fill="auto"/>
            <w:vAlign w:val="bottom"/>
            <w:hideMark/>
          </w:tcPr>
          <w:p w:rsidR="00BD22B8" w:rsidRPr="00AB305B" w:rsidRDefault="00BD22B8" w:rsidP="00FE5629">
            <w:pPr>
              <w:jc w:val="right"/>
              <w:rPr>
                <w:color w:val="000000"/>
                <w:sz w:val="22"/>
                <w:szCs w:val="22"/>
              </w:rPr>
            </w:pPr>
            <w:r w:rsidRPr="00AB305B">
              <w:rPr>
                <w:color w:val="000000"/>
                <w:sz w:val="22"/>
                <w:szCs w:val="22"/>
              </w:rPr>
              <w:t>6 455</w:t>
            </w:r>
          </w:p>
        </w:tc>
        <w:tc>
          <w:tcPr>
            <w:tcW w:w="1620" w:type="dxa"/>
            <w:tcBorders>
              <w:top w:val="nil"/>
              <w:left w:val="nil"/>
              <w:bottom w:val="single" w:sz="4" w:space="0" w:color="auto"/>
              <w:right w:val="single" w:sz="4" w:space="0" w:color="auto"/>
            </w:tcBorders>
            <w:shd w:val="clear" w:color="auto" w:fill="auto"/>
            <w:vAlign w:val="bottom"/>
            <w:hideMark/>
          </w:tcPr>
          <w:p w:rsidR="00BD22B8" w:rsidRPr="00AB305B" w:rsidRDefault="00BD22B8" w:rsidP="00FE5629">
            <w:pPr>
              <w:jc w:val="right"/>
              <w:rPr>
                <w:color w:val="000000"/>
                <w:sz w:val="22"/>
                <w:szCs w:val="22"/>
              </w:rPr>
            </w:pPr>
            <w:r w:rsidRPr="00AB305B">
              <w:rPr>
                <w:color w:val="000000"/>
                <w:sz w:val="22"/>
                <w:szCs w:val="22"/>
              </w:rPr>
              <w:t>18 061 960,55</w:t>
            </w:r>
          </w:p>
        </w:tc>
        <w:tc>
          <w:tcPr>
            <w:tcW w:w="931" w:type="dxa"/>
            <w:tcBorders>
              <w:top w:val="nil"/>
              <w:left w:val="nil"/>
              <w:bottom w:val="single" w:sz="4" w:space="0" w:color="auto"/>
              <w:right w:val="single" w:sz="4" w:space="0" w:color="auto"/>
            </w:tcBorders>
            <w:shd w:val="clear" w:color="auto" w:fill="auto"/>
            <w:vAlign w:val="bottom"/>
            <w:hideMark/>
          </w:tcPr>
          <w:p w:rsidR="00BD22B8" w:rsidRPr="00AB305B" w:rsidRDefault="00BD22B8" w:rsidP="00FE5629">
            <w:pPr>
              <w:jc w:val="right"/>
              <w:rPr>
                <w:color w:val="000000"/>
                <w:sz w:val="22"/>
                <w:szCs w:val="22"/>
              </w:rPr>
            </w:pPr>
            <w:r w:rsidRPr="00AB305B">
              <w:rPr>
                <w:color w:val="000000"/>
                <w:sz w:val="22"/>
                <w:szCs w:val="22"/>
              </w:rPr>
              <w:t>185</w:t>
            </w:r>
          </w:p>
        </w:tc>
        <w:tc>
          <w:tcPr>
            <w:tcW w:w="1620" w:type="dxa"/>
            <w:tcBorders>
              <w:top w:val="nil"/>
              <w:left w:val="nil"/>
              <w:bottom w:val="single" w:sz="4" w:space="0" w:color="auto"/>
              <w:right w:val="single" w:sz="4" w:space="0" w:color="auto"/>
            </w:tcBorders>
            <w:shd w:val="clear" w:color="auto" w:fill="auto"/>
            <w:vAlign w:val="bottom"/>
            <w:hideMark/>
          </w:tcPr>
          <w:p w:rsidR="00BD22B8" w:rsidRPr="00AB305B" w:rsidRDefault="00BD22B8" w:rsidP="00FE5629">
            <w:pPr>
              <w:jc w:val="right"/>
              <w:rPr>
                <w:color w:val="000000"/>
                <w:sz w:val="22"/>
                <w:szCs w:val="22"/>
              </w:rPr>
            </w:pPr>
            <w:r w:rsidRPr="00AB305B">
              <w:rPr>
                <w:color w:val="000000"/>
                <w:sz w:val="22"/>
                <w:szCs w:val="22"/>
              </w:rPr>
              <w:t>259 180,17</w:t>
            </w:r>
          </w:p>
        </w:tc>
        <w:tc>
          <w:tcPr>
            <w:tcW w:w="1074" w:type="dxa"/>
            <w:tcBorders>
              <w:top w:val="nil"/>
              <w:left w:val="nil"/>
              <w:bottom w:val="single" w:sz="4" w:space="0" w:color="auto"/>
              <w:right w:val="single" w:sz="4" w:space="0" w:color="auto"/>
            </w:tcBorders>
            <w:shd w:val="clear" w:color="auto" w:fill="auto"/>
            <w:noWrap/>
            <w:vAlign w:val="bottom"/>
            <w:hideMark/>
          </w:tcPr>
          <w:p w:rsidR="00BD22B8" w:rsidRPr="00AB305B" w:rsidRDefault="00BD22B8" w:rsidP="00FE5629">
            <w:pPr>
              <w:jc w:val="right"/>
              <w:rPr>
                <w:rFonts w:ascii="Calibri" w:hAnsi="Calibri"/>
                <w:color w:val="000000"/>
                <w:sz w:val="22"/>
                <w:szCs w:val="22"/>
              </w:rPr>
            </w:pPr>
            <w:r w:rsidRPr="00AB305B">
              <w:rPr>
                <w:rFonts w:ascii="Calibri" w:hAnsi="Calibri"/>
                <w:color w:val="000000"/>
                <w:sz w:val="22"/>
                <w:szCs w:val="22"/>
              </w:rPr>
              <w:t>10,2</w:t>
            </w:r>
          </w:p>
        </w:tc>
        <w:tc>
          <w:tcPr>
            <w:tcW w:w="992" w:type="dxa"/>
            <w:tcBorders>
              <w:top w:val="nil"/>
              <w:left w:val="nil"/>
              <w:bottom w:val="single" w:sz="4" w:space="0" w:color="auto"/>
              <w:right w:val="single" w:sz="4" w:space="0" w:color="auto"/>
            </w:tcBorders>
            <w:shd w:val="clear" w:color="auto" w:fill="auto"/>
            <w:noWrap/>
            <w:vAlign w:val="bottom"/>
            <w:hideMark/>
          </w:tcPr>
          <w:p w:rsidR="00BD22B8" w:rsidRPr="00AB305B" w:rsidRDefault="00BD22B8" w:rsidP="00FE5629">
            <w:pPr>
              <w:jc w:val="right"/>
              <w:rPr>
                <w:rFonts w:ascii="Calibri" w:hAnsi="Calibri"/>
                <w:color w:val="000000"/>
                <w:sz w:val="22"/>
                <w:szCs w:val="22"/>
              </w:rPr>
            </w:pPr>
            <w:r w:rsidRPr="00AB305B">
              <w:rPr>
                <w:rFonts w:ascii="Calibri" w:hAnsi="Calibri"/>
                <w:color w:val="000000"/>
                <w:sz w:val="22"/>
                <w:szCs w:val="22"/>
              </w:rPr>
              <w:t>10,6</w:t>
            </w:r>
          </w:p>
        </w:tc>
      </w:tr>
      <w:tr w:rsidR="00BD22B8" w:rsidRPr="00AB305B" w:rsidTr="00FE5629">
        <w:trPr>
          <w:trHeight w:val="300"/>
        </w:trPr>
        <w:tc>
          <w:tcPr>
            <w:tcW w:w="2699" w:type="dxa"/>
            <w:tcBorders>
              <w:top w:val="nil"/>
              <w:left w:val="single" w:sz="4" w:space="0" w:color="auto"/>
              <w:bottom w:val="single" w:sz="4" w:space="0" w:color="auto"/>
              <w:right w:val="single" w:sz="4" w:space="0" w:color="auto"/>
            </w:tcBorders>
            <w:shd w:val="clear" w:color="auto" w:fill="auto"/>
            <w:hideMark/>
          </w:tcPr>
          <w:p w:rsidR="00BD22B8" w:rsidRPr="00AB305B" w:rsidRDefault="00BD22B8" w:rsidP="00FE5629">
            <w:pPr>
              <w:rPr>
                <w:rFonts w:ascii="Calibri" w:hAnsi="Calibri"/>
                <w:color w:val="000000"/>
                <w:sz w:val="22"/>
                <w:szCs w:val="22"/>
              </w:rPr>
            </w:pPr>
            <w:r w:rsidRPr="00AB305B">
              <w:rPr>
                <w:rFonts w:ascii="Calibri" w:hAnsi="Calibri"/>
                <w:color w:val="000000"/>
                <w:sz w:val="22"/>
                <w:szCs w:val="22"/>
              </w:rPr>
              <w:t>Textílie</w:t>
            </w:r>
          </w:p>
        </w:tc>
        <w:tc>
          <w:tcPr>
            <w:tcW w:w="992" w:type="dxa"/>
            <w:tcBorders>
              <w:top w:val="nil"/>
              <w:left w:val="nil"/>
              <w:bottom w:val="single" w:sz="4" w:space="0" w:color="auto"/>
              <w:right w:val="single" w:sz="4" w:space="0" w:color="auto"/>
            </w:tcBorders>
            <w:shd w:val="clear" w:color="auto" w:fill="auto"/>
            <w:vAlign w:val="bottom"/>
            <w:hideMark/>
          </w:tcPr>
          <w:p w:rsidR="00BD22B8" w:rsidRPr="00AB305B" w:rsidRDefault="00BD22B8" w:rsidP="00FE5629">
            <w:pPr>
              <w:jc w:val="right"/>
              <w:rPr>
                <w:color w:val="000000"/>
                <w:sz w:val="22"/>
                <w:szCs w:val="22"/>
              </w:rPr>
            </w:pPr>
            <w:r w:rsidRPr="00AB305B">
              <w:rPr>
                <w:color w:val="000000"/>
                <w:sz w:val="22"/>
                <w:szCs w:val="22"/>
              </w:rPr>
              <w:t>1 521</w:t>
            </w:r>
          </w:p>
        </w:tc>
        <w:tc>
          <w:tcPr>
            <w:tcW w:w="1620" w:type="dxa"/>
            <w:tcBorders>
              <w:top w:val="nil"/>
              <w:left w:val="nil"/>
              <w:bottom w:val="single" w:sz="4" w:space="0" w:color="auto"/>
              <w:right w:val="single" w:sz="4" w:space="0" w:color="auto"/>
            </w:tcBorders>
            <w:shd w:val="clear" w:color="auto" w:fill="auto"/>
            <w:vAlign w:val="bottom"/>
            <w:hideMark/>
          </w:tcPr>
          <w:p w:rsidR="00BD22B8" w:rsidRPr="00AB305B" w:rsidRDefault="00BD22B8" w:rsidP="00FE5629">
            <w:pPr>
              <w:jc w:val="right"/>
              <w:rPr>
                <w:color w:val="000000"/>
                <w:sz w:val="22"/>
                <w:szCs w:val="22"/>
              </w:rPr>
            </w:pPr>
            <w:r w:rsidRPr="00AB305B">
              <w:rPr>
                <w:color w:val="000000"/>
                <w:sz w:val="22"/>
                <w:szCs w:val="22"/>
              </w:rPr>
              <w:t>1 353 389,68</w:t>
            </w:r>
          </w:p>
        </w:tc>
        <w:tc>
          <w:tcPr>
            <w:tcW w:w="931" w:type="dxa"/>
            <w:tcBorders>
              <w:top w:val="nil"/>
              <w:left w:val="nil"/>
              <w:bottom w:val="single" w:sz="4" w:space="0" w:color="auto"/>
              <w:right w:val="single" w:sz="4" w:space="0" w:color="auto"/>
            </w:tcBorders>
            <w:shd w:val="clear" w:color="auto" w:fill="auto"/>
            <w:vAlign w:val="bottom"/>
            <w:hideMark/>
          </w:tcPr>
          <w:p w:rsidR="00BD22B8" w:rsidRPr="00AB305B" w:rsidRDefault="00BD22B8" w:rsidP="00FE5629">
            <w:pPr>
              <w:jc w:val="right"/>
              <w:rPr>
                <w:color w:val="000000"/>
                <w:sz w:val="22"/>
                <w:szCs w:val="22"/>
              </w:rPr>
            </w:pPr>
            <w:r w:rsidRPr="00AB305B">
              <w:rPr>
                <w:color w:val="000000"/>
                <w:sz w:val="22"/>
                <w:szCs w:val="22"/>
              </w:rPr>
              <w:t>2</w:t>
            </w:r>
          </w:p>
        </w:tc>
        <w:tc>
          <w:tcPr>
            <w:tcW w:w="1620" w:type="dxa"/>
            <w:tcBorders>
              <w:top w:val="nil"/>
              <w:left w:val="nil"/>
              <w:bottom w:val="single" w:sz="4" w:space="0" w:color="auto"/>
              <w:right w:val="single" w:sz="4" w:space="0" w:color="auto"/>
            </w:tcBorders>
            <w:shd w:val="clear" w:color="auto" w:fill="auto"/>
            <w:vAlign w:val="bottom"/>
            <w:hideMark/>
          </w:tcPr>
          <w:p w:rsidR="00BD22B8" w:rsidRPr="00AB305B" w:rsidRDefault="00BD22B8" w:rsidP="00FE5629">
            <w:pPr>
              <w:jc w:val="right"/>
              <w:rPr>
                <w:color w:val="000000"/>
                <w:sz w:val="22"/>
                <w:szCs w:val="22"/>
              </w:rPr>
            </w:pPr>
            <w:r w:rsidRPr="00AB305B">
              <w:rPr>
                <w:color w:val="000000"/>
                <w:sz w:val="22"/>
                <w:szCs w:val="22"/>
              </w:rPr>
              <w:t>3 148,58</w:t>
            </w:r>
          </w:p>
        </w:tc>
        <w:tc>
          <w:tcPr>
            <w:tcW w:w="1074" w:type="dxa"/>
            <w:tcBorders>
              <w:top w:val="nil"/>
              <w:left w:val="nil"/>
              <w:bottom w:val="single" w:sz="4" w:space="0" w:color="auto"/>
              <w:right w:val="single" w:sz="4" w:space="0" w:color="auto"/>
            </w:tcBorders>
            <w:shd w:val="clear" w:color="auto" w:fill="auto"/>
            <w:noWrap/>
            <w:vAlign w:val="bottom"/>
            <w:hideMark/>
          </w:tcPr>
          <w:p w:rsidR="00BD22B8" w:rsidRPr="00AB305B" w:rsidRDefault="00BD22B8" w:rsidP="00FE5629">
            <w:pPr>
              <w:jc w:val="right"/>
              <w:rPr>
                <w:rFonts w:ascii="Calibri" w:hAnsi="Calibri"/>
                <w:color w:val="000000"/>
                <w:sz w:val="22"/>
                <w:szCs w:val="22"/>
              </w:rPr>
            </w:pPr>
            <w:r w:rsidRPr="00AB305B">
              <w:rPr>
                <w:rFonts w:ascii="Calibri" w:hAnsi="Calibri"/>
                <w:color w:val="000000"/>
                <w:sz w:val="22"/>
                <w:szCs w:val="22"/>
              </w:rPr>
              <w:t>2,4</w:t>
            </w:r>
          </w:p>
        </w:tc>
        <w:tc>
          <w:tcPr>
            <w:tcW w:w="992" w:type="dxa"/>
            <w:tcBorders>
              <w:top w:val="nil"/>
              <w:left w:val="nil"/>
              <w:bottom w:val="single" w:sz="4" w:space="0" w:color="auto"/>
              <w:right w:val="single" w:sz="4" w:space="0" w:color="auto"/>
            </w:tcBorders>
            <w:shd w:val="clear" w:color="auto" w:fill="auto"/>
            <w:noWrap/>
            <w:vAlign w:val="bottom"/>
            <w:hideMark/>
          </w:tcPr>
          <w:p w:rsidR="00BD22B8" w:rsidRPr="00AB305B" w:rsidRDefault="00BD22B8" w:rsidP="00FE5629">
            <w:pPr>
              <w:jc w:val="right"/>
              <w:rPr>
                <w:rFonts w:ascii="Calibri" w:hAnsi="Calibri"/>
                <w:color w:val="000000"/>
                <w:sz w:val="22"/>
                <w:szCs w:val="22"/>
              </w:rPr>
            </w:pPr>
            <w:r w:rsidRPr="00AB305B">
              <w:rPr>
                <w:rFonts w:ascii="Calibri" w:hAnsi="Calibri"/>
                <w:color w:val="000000"/>
                <w:sz w:val="22"/>
                <w:szCs w:val="22"/>
              </w:rPr>
              <w:t>0,8</w:t>
            </w:r>
          </w:p>
        </w:tc>
      </w:tr>
      <w:tr w:rsidR="00BD22B8" w:rsidRPr="00AB305B" w:rsidTr="00FE5629">
        <w:trPr>
          <w:trHeight w:val="300"/>
        </w:trPr>
        <w:tc>
          <w:tcPr>
            <w:tcW w:w="2699" w:type="dxa"/>
            <w:tcBorders>
              <w:top w:val="nil"/>
              <w:left w:val="single" w:sz="4" w:space="0" w:color="auto"/>
              <w:bottom w:val="single" w:sz="4" w:space="0" w:color="auto"/>
              <w:right w:val="single" w:sz="4" w:space="0" w:color="auto"/>
            </w:tcBorders>
            <w:shd w:val="clear" w:color="auto" w:fill="auto"/>
            <w:hideMark/>
          </w:tcPr>
          <w:p w:rsidR="00BD22B8" w:rsidRPr="00AB305B" w:rsidRDefault="00BD22B8" w:rsidP="00FE5629">
            <w:pPr>
              <w:rPr>
                <w:rFonts w:ascii="Calibri" w:hAnsi="Calibri"/>
                <w:color w:val="000000"/>
                <w:sz w:val="22"/>
                <w:szCs w:val="22"/>
              </w:rPr>
            </w:pPr>
            <w:r w:rsidRPr="00AB305B">
              <w:rPr>
                <w:rFonts w:ascii="Calibri" w:hAnsi="Calibri"/>
                <w:color w:val="000000"/>
                <w:sz w:val="22"/>
                <w:szCs w:val="22"/>
              </w:rPr>
              <w:t>Záhradnícke produkty a služby</w:t>
            </w:r>
          </w:p>
        </w:tc>
        <w:tc>
          <w:tcPr>
            <w:tcW w:w="992" w:type="dxa"/>
            <w:tcBorders>
              <w:top w:val="nil"/>
              <w:left w:val="nil"/>
              <w:bottom w:val="single" w:sz="4" w:space="0" w:color="auto"/>
              <w:right w:val="single" w:sz="4" w:space="0" w:color="auto"/>
            </w:tcBorders>
            <w:shd w:val="clear" w:color="auto" w:fill="auto"/>
            <w:vAlign w:val="bottom"/>
            <w:hideMark/>
          </w:tcPr>
          <w:p w:rsidR="00BD22B8" w:rsidRPr="00AB305B" w:rsidRDefault="00BD22B8" w:rsidP="00FE5629">
            <w:pPr>
              <w:jc w:val="right"/>
              <w:rPr>
                <w:color w:val="000000"/>
                <w:sz w:val="22"/>
                <w:szCs w:val="22"/>
              </w:rPr>
            </w:pPr>
            <w:r w:rsidRPr="00AB305B">
              <w:rPr>
                <w:color w:val="000000"/>
                <w:sz w:val="22"/>
                <w:szCs w:val="22"/>
              </w:rPr>
              <w:t>209</w:t>
            </w:r>
          </w:p>
        </w:tc>
        <w:tc>
          <w:tcPr>
            <w:tcW w:w="1620" w:type="dxa"/>
            <w:tcBorders>
              <w:top w:val="nil"/>
              <w:left w:val="nil"/>
              <w:bottom w:val="single" w:sz="4" w:space="0" w:color="auto"/>
              <w:right w:val="single" w:sz="4" w:space="0" w:color="auto"/>
            </w:tcBorders>
            <w:shd w:val="clear" w:color="auto" w:fill="auto"/>
            <w:vAlign w:val="bottom"/>
            <w:hideMark/>
          </w:tcPr>
          <w:p w:rsidR="00BD22B8" w:rsidRPr="00AB305B" w:rsidRDefault="00BD22B8" w:rsidP="00FE5629">
            <w:pPr>
              <w:jc w:val="right"/>
              <w:rPr>
                <w:color w:val="000000"/>
                <w:sz w:val="22"/>
                <w:szCs w:val="22"/>
              </w:rPr>
            </w:pPr>
            <w:r w:rsidRPr="00AB305B">
              <w:rPr>
                <w:color w:val="000000"/>
                <w:sz w:val="22"/>
                <w:szCs w:val="22"/>
              </w:rPr>
              <w:t>872 729,35</w:t>
            </w:r>
          </w:p>
        </w:tc>
        <w:tc>
          <w:tcPr>
            <w:tcW w:w="931" w:type="dxa"/>
            <w:tcBorders>
              <w:top w:val="nil"/>
              <w:left w:val="nil"/>
              <w:bottom w:val="single" w:sz="4" w:space="0" w:color="auto"/>
              <w:right w:val="single" w:sz="4" w:space="0" w:color="auto"/>
            </w:tcBorders>
            <w:shd w:val="clear" w:color="auto" w:fill="auto"/>
            <w:vAlign w:val="bottom"/>
            <w:hideMark/>
          </w:tcPr>
          <w:p w:rsidR="00BD22B8" w:rsidRPr="00AB305B" w:rsidRDefault="00BD22B8" w:rsidP="00FE5629">
            <w:pPr>
              <w:jc w:val="right"/>
              <w:rPr>
                <w:color w:val="000000"/>
                <w:sz w:val="22"/>
                <w:szCs w:val="22"/>
              </w:rPr>
            </w:pPr>
            <w:r w:rsidRPr="00AB305B">
              <w:rPr>
                <w:color w:val="000000"/>
                <w:sz w:val="22"/>
                <w:szCs w:val="22"/>
              </w:rPr>
              <w:t>0</w:t>
            </w:r>
          </w:p>
        </w:tc>
        <w:tc>
          <w:tcPr>
            <w:tcW w:w="1620" w:type="dxa"/>
            <w:tcBorders>
              <w:top w:val="nil"/>
              <w:left w:val="nil"/>
              <w:bottom w:val="single" w:sz="4" w:space="0" w:color="auto"/>
              <w:right w:val="single" w:sz="4" w:space="0" w:color="auto"/>
            </w:tcBorders>
            <w:shd w:val="clear" w:color="auto" w:fill="auto"/>
            <w:vAlign w:val="bottom"/>
            <w:hideMark/>
          </w:tcPr>
          <w:p w:rsidR="00BD22B8" w:rsidRPr="00AB305B" w:rsidRDefault="00BD22B8" w:rsidP="00FE5629">
            <w:pPr>
              <w:jc w:val="right"/>
              <w:rPr>
                <w:color w:val="000000"/>
                <w:sz w:val="22"/>
                <w:szCs w:val="22"/>
              </w:rPr>
            </w:pPr>
            <w:r w:rsidRPr="00AB305B">
              <w:rPr>
                <w:color w:val="000000"/>
                <w:sz w:val="22"/>
                <w:szCs w:val="22"/>
              </w:rPr>
              <w:t>0,00</w:t>
            </w:r>
          </w:p>
        </w:tc>
        <w:tc>
          <w:tcPr>
            <w:tcW w:w="1074" w:type="dxa"/>
            <w:tcBorders>
              <w:top w:val="nil"/>
              <w:left w:val="nil"/>
              <w:bottom w:val="single" w:sz="4" w:space="0" w:color="auto"/>
              <w:right w:val="single" w:sz="4" w:space="0" w:color="auto"/>
            </w:tcBorders>
            <w:shd w:val="clear" w:color="auto" w:fill="auto"/>
            <w:noWrap/>
            <w:vAlign w:val="bottom"/>
            <w:hideMark/>
          </w:tcPr>
          <w:p w:rsidR="00BD22B8" w:rsidRPr="00AB305B" w:rsidRDefault="00BD22B8" w:rsidP="00FE5629">
            <w:pPr>
              <w:jc w:val="right"/>
              <w:rPr>
                <w:rFonts w:ascii="Calibri" w:hAnsi="Calibri"/>
                <w:color w:val="000000"/>
                <w:sz w:val="22"/>
                <w:szCs w:val="22"/>
              </w:rPr>
            </w:pPr>
            <w:r w:rsidRPr="00AB305B">
              <w:rPr>
                <w:rFonts w:ascii="Calibri" w:hAnsi="Calibri"/>
                <w:color w:val="000000"/>
                <w:sz w:val="22"/>
                <w:szCs w:val="22"/>
              </w:rPr>
              <w:t>0,3</w:t>
            </w:r>
          </w:p>
        </w:tc>
        <w:tc>
          <w:tcPr>
            <w:tcW w:w="992" w:type="dxa"/>
            <w:tcBorders>
              <w:top w:val="nil"/>
              <w:left w:val="nil"/>
              <w:bottom w:val="single" w:sz="4" w:space="0" w:color="auto"/>
              <w:right w:val="single" w:sz="4" w:space="0" w:color="auto"/>
            </w:tcBorders>
            <w:shd w:val="clear" w:color="auto" w:fill="auto"/>
            <w:noWrap/>
            <w:vAlign w:val="bottom"/>
            <w:hideMark/>
          </w:tcPr>
          <w:p w:rsidR="00BD22B8" w:rsidRPr="00AB305B" w:rsidRDefault="00BD22B8" w:rsidP="00FE5629">
            <w:pPr>
              <w:jc w:val="right"/>
              <w:rPr>
                <w:rFonts w:ascii="Calibri" w:hAnsi="Calibri"/>
                <w:color w:val="000000"/>
                <w:sz w:val="22"/>
                <w:szCs w:val="22"/>
              </w:rPr>
            </w:pPr>
            <w:r w:rsidRPr="00AB305B">
              <w:rPr>
                <w:rFonts w:ascii="Calibri" w:hAnsi="Calibri"/>
                <w:color w:val="000000"/>
                <w:sz w:val="22"/>
                <w:szCs w:val="22"/>
              </w:rPr>
              <w:t>0,5</w:t>
            </w:r>
          </w:p>
        </w:tc>
      </w:tr>
      <w:tr w:rsidR="00BD22B8" w:rsidRPr="00AB305B" w:rsidTr="00FE5629">
        <w:trPr>
          <w:trHeight w:val="300"/>
        </w:trPr>
        <w:tc>
          <w:tcPr>
            <w:tcW w:w="2699" w:type="dxa"/>
            <w:tcBorders>
              <w:top w:val="nil"/>
              <w:left w:val="single" w:sz="4" w:space="0" w:color="auto"/>
              <w:bottom w:val="single" w:sz="4" w:space="0" w:color="auto"/>
              <w:right w:val="single" w:sz="4" w:space="0" w:color="auto"/>
            </w:tcBorders>
            <w:shd w:val="clear" w:color="auto" w:fill="auto"/>
            <w:hideMark/>
          </w:tcPr>
          <w:p w:rsidR="00BD22B8" w:rsidRPr="00AB305B" w:rsidRDefault="00BD22B8" w:rsidP="00FE5629">
            <w:pPr>
              <w:rPr>
                <w:rFonts w:ascii="Calibri" w:hAnsi="Calibri"/>
                <w:b/>
                <w:bCs/>
                <w:color w:val="000000"/>
                <w:sz w:val="22"/>
                <w:szCs w:val="22"/>
              </w:rPr>
            </w:pPr>
            <w:r w:rsidRPr="00AB305B">
              <w:rPr>
                <w:rFonts w:ascii="Calibri" w:hAnsi="Calibri"/>
                <w:b/>
                <w:bCs/>
                <w:color w:val="000000"/>
                <w:sz w:val="22"/>
                <w:szCs w:val="22"/>
              </w:rPr>
              <w:t>Spolu</w:t>
            </w:r>
          </w:p>
        </w:tc>
        <w:tc>
          <w:tcPr>
            <w:tcW w:w="992" w:type="dxa"/>
            <w:tcBorders>
              <w:top w:val="nil"/>
              <w:left w:val="nil"/>
              <w:bottom w:val="single" w:sz="4" w:space="0" w:color="auto"/>
              <w:right w:val="single" w:sz="4" w:space="0" w:color="auto"/>
            </w:tcBorders>
            <w:shd w:val="clear" w:color="auto" w:fill="auto"/>
            <w:noWrap/>
            <w:vAlign w:val="bottom"/>
            <w:hideMark/>
          </w:tcPr>
          <w:p w:rsidR="00BD22B8" w:rsidRPr="00AB305B" w:rsidRDefault="00BD22B8" w:rsidP="00FE5629">
            <w:pPr>
              <w:jc w:val="right"/>
              <w:rPr>
                <w:rFonts w:ascii="Calibri" w:hAnsi="Calibri"/>
                <w:b/>
                <w:bCs/>
                <w:color w:val="000000"/>
                <w:sz w:val="22"/>
                <w:szCs w:val="22"/>
              </w:rPr>
            </w:pPr>
            <w:r w:rsidRPr="00AB305B">
              <w:rPr>
                <w:rFonts w:ascii="Calibri" w:hAnsi="Calibri"/>
                <w:b/>
                <w:bCs/>
                <w:color w:val="000000"/>
                <w:sz w:val="22"/>
                <w:szCs w:val="22"/>
              </w:rPr>
              <w:t>62 977</w:t>
            </w:r>
          </w:p>
        </w:tc>
        <w:tc>
          <w:tcPr>
            <w:tcW w:w="1620" w:type="dxa"/>
            <w:tcBorders>
              <w:top w:val="nil"/>
              <w:left w:val="nil"/>
              <w:bottom w:val="single" w:sz="4" w:space="0" w:color="auto"/>
              <w:right w:val="single" w:sz="4" w:space="0" w:color="auto"/>
            </w:tcBorders>
            <w:shd w:val="clear" w:color="auto" w:fill="auto"/>
            <w:noWrap/>
            <w:vAlign w:val="bottom"/>
            <w:hideMark/>
          </w:tcPr>
          <w:p w:rsidR="00BD22B8" w:rsidRPr="00AB305B" w:rsidRDefault="00BD22B8" w:rsidP="00FE5629">
            <w:pPr>
              <w:jc w:val="right"/>
              <w:rPr>
                <w:rFonts w:ascii="Calibri" w:hAnsi="Calibri"/>
                <w:b/>
                <w:bCs/>
                <w:color w:val="000000"/>
                <w:sz w:val="22"/>
                <w:szCs w:val="22"/>
              </w:rPr>
            </w:pPr>
            <w:r w:rsidRPr="00AB305B">
              <w:rPr>
                <w:rFonts w:ascii="Calibri" w:hAnsi="Calibri"/>
                <w:b/>
                <w:bCs/>
                <w:color w:val="000000"/>
                <w:sz w:val="22"/>
                <w:szCs w:val="22"/>
              </w:rPr>
              <w:t>170 829 396,86</w:t>
            </w:r>
          </w:p>
        </w:tc>
        <w:tc>
          <w:tcPr>
            <w:tcW w:w="931" w:type="dxa"/>
            <w:tcBorders>
              <w:top w:val="nil"/>
              <w:left w:val="nil"/>
              <w:bottom w:val="single" w:sz="4" w:space="0" w:color="auto"/>
              <w:right w:val="single" w:sz="4" w:space="0" w:color="auto"/>
            </w:tcBorders>
            <w:shd w:val="clear" w:color="auto" w:fill="auto"/>
            <w:noWrap/>
            <w:vAlign w:val="bottom"/>
            <w:hideMark/>
          </w:tcPr>
          <w:p w:rsidR="00BD22B8" w:rsidRPr="00AB305B" w:rsidRDefault="00BD22B8" w:rsidP="00FE5629">
            <w:pPr>
              <w:jc w:val="right"/>
              <w:rPr>
                <w:rFonts w:ascii="Calibri" w:hAnsi="Calibri"/>
                <w:b/>
                <w:bCs/>
                <w:color w:val="000000"/>
                <w:sz w:val="22"/>
                <w:szCs w:val="22"/>
              </w:rPr>
            </w:pPr>
            <w:r w:rsidRPr="00AB305B">
              <w:rPr>
                <w:rFonts w:ascii="Calibri" w:hAnsi="Calibri"/>
                <w:b/>
                <w:bCs/>
                <w:color w:val="000000"/>
                <w:sz w:val="22"/>
                <w:szCs w:val="22"/>
              </w:rPr>
              <w:t>1 603</w:t>
            </w:r>
          </w:p>
        </w:tc>
        <w:tc>
          <w:tcPr>
            <w:tcW w:w="1620" w:type="dxa"/>
            <w:tcBorders>
              <w:top w:val="nil"/>
              <w:left w:val="nil"/>
              <w:bottom w:val="single" w:sz="4" w:space="0" w:color="auto"/>
              <w:right w:val="single" w:sz="4" w:space="0" w:color="auto"/>
            </w:tcBorders>
            <w:shd w:val="clear" w:color="auto" w:fill="auto"/>
            <w:noWrap/>
            <w:vAlign w:val="bottom"/>
            <w:hideMark/>
          </w:tcPr>
          <w:p w:rsidR="00BD22B8" w:rsidRPr="00AB305B" w:rsidRDefault="00BD22B8" w:rsidP="00FE5629">
            <w:pPr>
              <w:jc w:val="right"/>
              <w:rPr>
                <w:rFonts w:ascii="Calibri" w:hAnsi="Calibri"/>
                <w:b/>
                <w:bCs/>
                <w:color w:val="000000"/>
                <w:sz w:val="22"/>
                <w:szCs w:val="22"/>
              </w:rPr>
            </w:pPr>
            <w:r w:rsidRPr="00AB305B">
              <w:rPr>
                <w:rFonts w:ascii="Calibri" w:hAnsi="Calibri"/>
                <w:b/>
                <w:bCs/>
                <w:color w:val="000000"/>
                <w:sz w:val="22"/>
                <w:szCs w:val="22"/>
              </w:rPr>
              <w:t>108 988 113,20</w:t>
            </w:r>
          </w:p>
        </w:tc>
        <w:tc>
          <w:tcPr>
            <w:tcW w:w="1074" w:type="dxa"/>
            <w:tcBorders>
              <w:top w:val="nil"/>
              <w:left w:val="nil"/>
              <w:bottom w:val="single" w:sz="4" w:space="0" w:color="auto"/>
              <w:right w:val="single" w:sz="4" w:space="0" w:color="auto"/>
            </w:tcBorders>
            <w:shd w:val="clear" w:color="auto" w:fill="auto"/>
            <w:noWrap/>
            <w:vAlign w:val="bottom"/>
            <w:hideMark/>
          </w:tcPr>
          <w:p w:rsidR="00BD22B8" w:rsidRPr="00AB305B" w:rsidRDefault="00BD22B8" w:rsidP="00FE5629">
            <w:pPr>
              <w:jc w:val="right"/>
              <w:rPr>
                <w:rFonts w:ascii="Calibri" w:hAnsi="Calibri"/>
                <w:b/>
                <w:bCs/>
                <w:color w:val="000000"/>
                <w:sz w:val="22"/>
                <w:szCs w:val="22"/>
              </w:rPr>
            </w:pPr>
            <w:r w:rsidRPr="00AB305B">
              <w:rPr>
                <w:rFonts w:ascii="Calibri" w:hAnsi="Calibri"/>
                <w:b/>
                <w:bCs/>
                <w:color w:val="000000"/>
                <w:sz w:val="22"/>
                <w:szCs w:val="22"/>
              </w:rPr>
              <w:t>100,0</w:t>
            </w:r>
          </w:p>
        </w:tc>
        <w:tc>
          <w:tcPr>
            <w:tcW w:w="992" w:type="dxa"/>
            <w:tcBorders>
              <w:top w:val="nil"/>
              <w:left w:val="nil"/>
              <w:bottom w:val="single" w:sz="4" w:space="0" w:color="auto"/>
              <w:right w:val="single" w:sz="4" w:space="0" w:color="auto"/>
            </w:tcBorders>
            <w:shd w:val="clear" w:color="auto" w:fill="auto"/>
            <w:noWrap/>
            <w:vAlign w:val="bottom"/>
            <w:hideMark/>
          </w:tcPr>
          <w:p w:rsidR="00BD22B8" w:rsidRPr="00AB305B" w:rsidRDefault="00BD22B8" w:rsidP="00FE5629">
            <w:pPr>
              <w:jc w:val="right"/>
              <w:rPr>
                <w:rFonts w:ascii="Calibri" w:hAnsi="Calibri"/>
                <w:b/>
                <w:bCs/>
                <w:color w:val="000000"/>
                <w:sz w:val="22"/>
                <w:szCs w:val="22"/>
              </w:rPr>
            </w:pPr>
            <w:r w:rsidRPr="00AB305B">
              <w:rPr>
                <w:rFonts w:ascii="Calibri" w:hAnsi="Calibri"/>
                <w:b/>
                <w:bCs/>
                <w:color w:val="000000"/>
                <w:sz w:val="22"/>
                <w:szCs w:val="22"/>
              </w:rPr>
              <w:t>100,0</w:t>
            </w:r>
          </w:p>
        </w:tc>
      </w:tr>
    </w:tbl>
    <w:p w:rsidR="00BD22B8" w:rsidRPr="003642E4" w:rsidRDefault="00BD22B8" w:rsidP="00BD22B8">
      <w:pPr>
        <w:ind w:firstLine="426"/>
        <w:jc w:val="both"/>
        <w:rPr>
          <w:rFonts w:ascii="Calibri" w:hAnsi="Calibri"/>
          <w:sz w:val="18"/>
          <w:szCs w:val="18"/>
        </w:rPr>
      </w:pPr>
    </w:p>
    <w:p w:rsidR="00BD22B8" w:rsidRPr="00984C3C" w:rsidRDefault="005A003C" w:rsidP="00BD22B8">
      <w:pPr>
        <w:jc w:val="both"/>
      </w:pPr>
      <w:r w:rsidRPr="00984C3C">
        <w:t xml:space="preserve">Graf </w:t>
      </w:r>
      <w:r w:rsidR="00BD22B8" w:rsidRPr="00984C3C">
        <w:t xml:space="preserve">9 </w:t>
      </w:r>
      <w:r w:rsidRPr="00984C3C">
        <w:t>znázorňu</w:t>
      </w:r>
      <w:r w:rsidR="00BD22B8" w:rsidRPr="00984C3C">
        <w:t>je využívanie environmentálnych charakteristík pre 10 prioritných skupín produ</w:t>
      </w:r>
      <w:r w:rsidRPr="00984C3C">
        <w:t>ktov vo väzbe na indikátor 1. Graf</w:t>
      </w:r>
      <w:r w:rsidR="00BD22B8" w:rsidRPr="00984C3C">
        <w:t xml:space="preserve"> </w:t>
      </w:r>
      <w:r w:rsidRPr="00984C3C">
        <w:t>dokumentuje</w:t>
      </w:r>
      <w:r w:rsidR="00BD22B8" w:rsidRPr="00984C3C">
        <w:t>, že najvyšší percentuálny podiel zelených zákaziek</w:t>
      </w:r>
      <w:r w:rsidRPr="00984C3C">
        <w:t xml:space="preserve"> na celkovom počte zákaziek bol</w:t>
      </w:r>
      <w:r w:rsidR="00BD22B8" w:rsidRPr="00984C3C">
        <w:t xml:space="preserve"> obstaraných v skupine produktov Stavebníctvo. </w:t>
      </w:r>
    </w:p>
    <w:p w:rsidR="00BD22B8" w:rsidRPr="00984C3C" w:rsidRDefault="00BD22B8" w:rsidP="00BD22B8">
      <w:pPr>
        <w:jc w:val="center"/>
      </w:pPr>
    </w:p>
    <w:p w:rsidR="00BD22B8" w:rsidRDefault="00BD22B8" w:rsidP="00BD22B8">
      <w:pPr>
        <w:jc w:val="both"/>
        <w:rPr>
          <w:sz w:val="20"/>
          <w:szCs w:val="20"/>
        </w:rPr>
      </w:pPr>
      <w:r>
        <w:rPr>
          <w:rFonts w:ascii="Calibri" w:hAnsi="Calibri" w:cs="Arial"/>
          <w:sz w:val="18"/>
          <w:szCs w:val="18"/>
        </w:rPr>
        <w:object w:dxaOrig="9698" w:dyaOrig="6150">
          <v:shape id="_x0000_i1033" type="#_x0000_t75" style="width:485.25pt;height:307.5pt" o:ole="">
            <v:imagedata r:id="rId25" o:title=""/>
          </v:shape>
          <o:OLEObject Type="Embed" ProgID="Excel.Sheet.12" ShapeID="_x0000_i1033" DrawAspect="Content" ObjectID="_1432618866" r:id="rId26"/>
        </w:object>
      </w:r>
      <w:r w:rsidRPr="00567D73">
        <w:rPr>
          <w:rFonts w:ascii="Calibri" w:hAnsi="Calibri"/>
          <w:sz w:val="18"/>
          <w:szCs w:val="18"/>
        </w:rPr>
        <w:t>Graf 9</w:t>
      </w:r>
      <w:r w:rsidR="005A003C">
        <w:rPr>
          <w:rFonts w:ascii="Calibri" w:hAnsi="Calibri"/>
          <w:sz w:val="18"/>
          <w:szCs w:val="18"/>
        </w:rPr>
        <w:t xml:space="preserve">: </w:t>
      </w:r>
      <w:r w:rsidRPr="00567D73">
        <w:rPr>
          <w:rFonts w:ascii="Calibri" w:hAnsi="Calibri"/>
          <w:sz w:val="18"/>
          <w:szCs w:val="18"/>
        </w:rPr>
        <w:t xml:space="preserve"> Využívanie environmentálnych charakteristík pre prioritné skupiny produktov vo väzbe na indikátor 1</w:t>
      </w:r>
      <w:r>
        <w:rPr>
          <w:sz w:val="20"/>
          <w:szCs w:val="20"/>
        </w:rPr>
        <w:t xml:space="preserve"> </w:t>
      </w:r>
    </w:p>
    <w:p w:rsidR="00BD22B8" w:rsidRDefault="00BD22B8" w:rsidP="00BD22B8">
      <w:pPr>
        <w:rPr>
          <w:rFonts w:ascii="Calibri" w:hAnsi="Calibri" w:cs="Arial"/>
          <w:sz w:val="18"/>
          <w:szCs w:val="18"/>
        </w:rPr>
      </w:pPr>
    </w:p>
    <w:p w:rsidR="00BD22B8" w:rsidRPr="00984C3C" w:rsidRDefault="005A003C" w:rsidP="00BD22B8">
      <w:pPr>
        <w:jc w:val="both"/>
      </w:pPr>
      <w:r w:rsidRPr="00984C3C">
        <w:t xml:space="preserve">Graf </w:t>
      </w:r>
      <w:r w:rsidR="00BD22B8" w:rsidRPr="00984C3C">
        <w:t>10 vyhodnocuje využívanie environmentálnych charakteristík pre 10 prioritných skupín produk</w:t>
      </w:r>
      <w:r w:rsidRPr="00984C3C">
        <w:t>tov vo väzbe na indikátor 2. G</w:t>
      </w:r>
      <w:r w:rsidR="00BD22B8" w:rsidRPr="00984C3C">
        <w:t>raf</w:t>
      </w:r>
      <w:r w:rsidRPr="00984C3C">
        <w:t xml:space="preserve">  dokumentuje, že</w:t>
      </w:r>
      <w:r w:rsidR="00BD22B8" w:rsidRPr="00984C3C">
        <w:t xml:space="preserve"> najvyšší podiel zelených zákaziek vo väzbe </w:t>
      </w:r>
      <w:r w:rsidRPr="00984C3C">
        <w:t>na celkovú hodnotu zákaziek bol realizovaný</w:t>
      </w:r>
      <w:r w:rsidR="00BD22B8" w:rsidRPr="00984C3C">
        <w:t xml:space="preserve"> na obstaranie stavebných prác.</w:t>
      </w:r>
    </w:p>
    <w:p w:rsidR="00BD22B8" w:rsidRDefault="00BD22B8" w:rsidP="00BD22B8">
      <w:pPr>
        <w:jc w:val="both"/>
        <w:rPr>
          <w:rFonts w:ascii="Calibri" w:hAnsi="Calibri"/>
          <w:sz w:val="18"/>
          <w:szCs w:val="18"/>
        </w:rPr>
      </w:pPr>
      <w:r>
        <w:rPr>
          <w:rFonts w:ascii="Calibri" w:hAnsi="Calibri" w:cs="Arial"/>
          <w:sz w:val="22"/>
          <w:szCs w:val="22"/>
        </w:rPr>
        <w:object w:dxaOrig="9698" w:dyaOrig="6150">
          <v:shape id="_x0000_i1034" type="#_x0000_t75" style="width:485.25pt;height:307.5pt" o:ole="">
            <v:imagedata r:id="rId27" o:title=""/>
          </v:shape>
          <o:OLEObject Type="Embed" ProgID="Excel.Sheet.12" ShapeID="_x0000_i1034" DrawAspect="Content" ObjectID="_1432618867" r:id="rId28"/>
        </w:object>
      </w:r>
      <w:r w:rsidRPr="00567D73">
        <w:rPr>
          <w:rFonts w:ascii="Calibri" w:hAnsi="Calibri"/>
          <w:sz w:val="18"/>
          <w:szCs w:val="18"/>
        </w:rPr>
        <w:t>Graf 10 Využívanie environmentálnych charakteristík pre prioritné skupiny produktov vo väzbe na indikátor 2</w:t>
      </w:r>
    </w:p>
    <w:p w:rsidR="00BD22B8" w:rsidRDefault="00BD22B8" w:rsidP="00BD22B8">
      <w:pPr>
        <w:jc w:val="both"/>
        <w:rPr>
          <w:rFonts w:ascii="Calibri" w:hAnsi="Calibri"/>
          <w:sz w:val="22"/>
          <w:szCs w:val="22"/>
        </w:rPr>
      </w:pPr>
    </w:p>
    <w:p w:rsidR="00BD22B8" w:rsidRPr="00984C3C" w:rsidRDefault="00BD22B8" w:rsidP="00BD22B8">
      <w:pPr>
        <w:pStyle w:val="Nadpis1"/>
        <w:spacing w:before="0" w:after="0"/>
        <w:rPr>
          <w:rFonts w:ascii="Times New Roman" w:hAnsi="Times New Roman" w:cs="Times New Roman"/>
          <w:sz w:val="24"/>
          <w:szCs w:val="24"/>
        </w:rPr>
      </w:pPr>
      <w:bookmarkStart w:id="13" w:name="_Toc326050103"/>
      <w:bookmarkStart w:id="14" w:name="_Toc355000158"/>
      <w:r w:rsidRPr="00984C3C">
        <w:rPr>
          <w:rFonts w:ascii="Times New Roman" w:hAnsi="Times New Roman" w:cs="Times New Roman"/>
          <w:sz w:val="24"/>
          <w:szCs w:val="24"/>
        </w:rPr>
        <w:t>Využívanie energetického štítkovania a systému environmentálneho manažérstva</w:t>
      </w:r>
      <w:bookmarkEnd w:id="13"/>
      <w:bookmarkEnd w:id="14"/>
      <w:r w:rsidR="005A003C" w:rsidRPr="00984C3C">
        <w:rPr>
          <w:rFonts w:ascii="Times New Roman" w:hAnsi="Times New Roman" w:cs="Times New Roman"/>
          <w:sz w:val="24"/>
          <w:szCs w:val="24"/>
        </w:rPr>
        <w:t xml:space="preserve"> vo verejnom obstarávaní</w:t>
      </w:r>
    </w:p>
    <w:p w:rsidR="00BD22B8" w:rsidRPr="00984C3C" w:rsidRDefault="00BD22B8" w:rsidP="00BD22B8"/>
    <w:p w:rsidR="00BD22B8" w:rsidRPr="00984C3C" w:rsidRDefault="00BD22B8" w:rsidP="00BD22B8">
      <w:pPr>
        <w:jc w:val="both"/>
      </w:pPr>
      <w:r w:rsidRPr="00984C3C">
        <w:t xml:space="preserve">Podľa zákona o verejnom obstarávaní je verejný obstarávateľ povinný pri obstarávaní energeticky významného výrobku, ak predpokladaná hodnota zákazky je nadlimitná, určiť v opise predmetu zákazky požiadavky len na taký energeticky významný výrobok, ktorý spĺňa kritériá najvyššej výkonnosti a patrí do najvyššej triedy energetickej účinnosti podľa osobitného predpisu. V rámci monitorovania GPP sa sleduje počet a hodnota zákaziek, pri ktorých bolo uplatnené energetické štítkovanie a tiež predmet zákazky, ktorý bol obstarávaný s takýmto štítkom, požadovaná trieda energetickej hospodárnosti a finančný limit zákazky, v ktorej bolo štítkovanie požadované. </w:t>
      </w:r>
    </w:p>
    <w:p w:rsidR="00BD22B8" w:rsidRPr="00984C3C" w:rsidRDefault="00BD22B8" w:rsidP="00BD22B8">
      <w:pPr>
        <w:jc w:val="both"/>
      </w:pPr>
    </w:p>
    <w:p w:rsidR="00BD22B8" w:rsidRPr="00984C3C" w:rsidRDefault="00BD22B8" w:rsidP="00BD22B8">
      <w:pPr>
        <w:jc w:val="both"/>
      </w:pPr>
      <w:r w:rsidRPr="00984C3C">
        <w:t>Podľa zákona o verejnom obstarávaní môže uchádzač alebo záujemca preukázať technickú alebo odbornú spôsobilosť uvedením opatrení environmentálneho manažérstva, ktoré použije pri plne</w:t>
      </w:r>
      <w:r w:rsidR="00BE563D" w:rsidRPr="00984C3C">
        <w:t>ní zmluvy. Verejný obstarávateľ</w:t>
      </w:r>
      <w:r w:rsidRPr="00984C3C">
        <w:t>/obstarávateľ môže vyžadovať od uchádzačov alebo záujemcov predloženie certifikátu</w:t>
      </w:r>
      <w:r w:rsidR="00DD3762" w:rsidRPr="00984C3C">
        <w:t xml:space="preserve"> environmentálnej </w:t>
      </w:r>
      <w:r w:rsidRPr="00984C3C">
        <w:t xml:space="preserve"> kvality, vydaného nezávislou inštitúciou, ktorým sa potvrdzuje splnenie určitých opatrení environmentálneho </w:t>
      </w:r>
      <w:r w:rsidR="00DD3762" w:rsidRPr="00984C3C">
        <w:t>manažérstva</w:t>
      </w:r>
      <w:r w:rsidRPr="00984C3C">
        <w:t xml:space="preserve">. V rámci GPP sa sleduje požadovaný dôkaz splnenia opatrení environmentálneho </w:t>
      </w:r>
      <w:r w:rsidR="00DD3762" w:rsidRPr="00984C3C">
        <w:t>manažérstva</w:t>
      </w:r>
      <w:r w:rsidR="00BE563D" w:rsidRPr="00984C3C">
        <w:t>, ktorý bol od uchádzačov</w:t>
      </w:r>
      <w:r w:rsidRPr="00984C3C">
        <w:t>/záujemcov vyžadovaný, predmet zákazky, pri ktorej mal byť tento dôkaz predložený a tiež počet a hodnota zelených zákaziek s uplatnením uvedenej environmentáln</w:t>
      </w:r>
      <w:r w:rsidR="00F45078" w:rsidRPr="00984C3C">
        <w:t xml:space="preserve">ej charakteristiky.  Graf </w:t>
      </w:r>
      <w:r w:rsidRPr="00984C3C">
        <w:t xml:space="preserve"> 11 </w:t>
      </w:r>
      <w:r w:rsidR="00F45078" w:rsidRPr="00984C3C">
        <w:t>dokumentuje</w:t>
      </w:r>
      <w:r w:rsidRPr="00984C3C">
        <w:t xml:space="preserve"> počet zelených zákaziek, v ktorých sa požadovalo energetické štítkovanie a dôkaz o zavedenom environmentálnom m</w:t>
      </w:r>
      <w:r w:rsidR="00F45078" w:rsidRPr="00984C3C">
        <w:t xml:space="preserve">anažérskom systéme. </w:t>
      </w:r>
      <w:r w:rsidR="00F45078" w:rsidRPr="00984C3C">
        <w:lastRenderedPageBreak/>
        <w:t>E</w:t>
      </w:r>
      <w:r w:rsidRPr="00984C3C">
        <w:t>nergetické štítkovanie</w:t>
      </w:r>
      <w:r w:rsidR="00F45078" w:rsidRPr="00984C3C">
        <w:t xml:space="preserve"> bolo </w:t>
      </w:r>
      <w:r w:rsidRPr="00984C3C">
        <w:t xml:space="preserve"> využité v 87 zákazkách v hodnote 175 766,58 EUR. </w:t>
      </w:r>
      <w:r w:rsidR="00F45078" w:rsidRPr="00984C3C">
        <w:t>C</w:t>
      </w:r>
      <w:r w:rsidRPr="00984C3C">
        <w:t>ertifikát EMS podľa ISO 14001</w:t>
      </w:r>
      <w:r w:rsidR="00F45078" w:rsidRPr="00984C3C">
        <w:t xml:space="preserve"> bol požadovaný v 700 zákazkách </w:t>
      </w:r>
      <w:r w:rsidRPr="00984C3C">
        <w:t>v celkovej hodnote 79 231 807,70 EUR.</w:t>
      </w:r>
    </w:p>
    <w:p w:rsidR="00BD22B8" w:rsidRDefault="00BD22B8" w:rsidP="00BD22B8">
      <w:pPr>
        <w:jc w:val="center"/>
        <w:rPr>
          <w:rFonts w:ascii="Calibri" w:hAnsi="Calibri" w:cs="Arial"/>
          <w:sz w:val="22"/>
          <w:szCs w:val="22"/>
        </w:rPr>
      </w:pPr>
      <w:r>
        <w:rPr>
          <w:rFonts w:ascii="Calibri" w:hAnsi="Calibri" w:cs="Arial"/>
          <w:sz w:val="22"/>
          <w:szCs w:val="22"/>
        </w:rPr>
        <w:object w:dxaOrig="8662" w:dyaOrig="5101">
          <v:shape id="_x0000_i1035" type="#_x0000_t75" style="width:432.75pt;height:255pt" o:ole="">
            <v:imagedata r:id="rId29" o:title=""/>
          </v:shape>
          <o:OLEObject Type="Embed" ProgID="Excel.Sheet.12" ShapeID="_x0000_i1035" DrawAspect="Content" ObjectID="_1432618868" r:id="rId30"/>
        </w:object>
      </w:r>
    </w:p>
    <w:p w:rsidR="00BD22B8" w:rsidRDefault="00BD22B8" w:rsidP="00BD22B8">
      <w:pPr>
        <w:ind w:firstLine="284"/>
        <w:rPr>
          <w:rFonts w:ascii="Calibri" w:hAnsi="Calibri"/>
          <w:sz w:val="18"/>
          <w:szCs w:val="18"/>
        </w:rPr>
      </w:pPr>
      <w:r w:rsidRPr="002D5640">
        <w:rPr>
          <w:rFonts w:ascii="Calibri" w:hAnsi="Calibri"/>
          <w:sz w:val="18"/>
          <w:szCs w:val="18"/>
        </w:rPr>
        <w:t>Graf 11</w:t>
      </w:r>
      <w:r w:rsidR="00F45078">
        <w:rPr>
          <w:rFonts w:ascii="Calibri" w:hAnsi="Calibri"/>
          <w:sz w:val="18"/>
          <w:szCs w:val="18"/>
        </w:rPr>
        <w:t xml:space="preserve">: </w:t>
      </w:r>
      <w:r w:rsidRPr="002D5640">
        <w:rPr>
          <w:rFonts w:ascii="Calibri" w:hAnsi="Calibri"/>
          <w:sz w:val="18"/>
          <w:szCs w:val="18"/>
        </w:rPr>
        <w:t xml:space="preserve"> Energetické štítkovanie a environmentálne manažérske systémy vo verejných zákazkách</w:t>
      </w:r>
    </w:p>
    <w:p w:rsidR="00BD22B8" w:rsidRDefault="00BD22B8" w:rsidP="00BD22B8">
      <w:pPr>
        <w:ind w:firstLine="284"/>
        <w:jc w:val="both"/>
        <w:rPr>
          <w:rFonts w:ascii="Calibri" w:hAnsi="Calibri"/>
          <w:sz w:val="22"/>
          <w:szCs w:val="22"/>
        </w:rPr>
      </w:pPr>
    </w:p>
    <w:p w:rsidR="00BD22B8" w:rsidRPr="00984C3C" w:rsidRDefault="00BD22B8" w:rsidP="00BD22B8">
      <w:pPr>
        <w:pStyle w:val="Nadpis1"/>
        <w:spacing w:before="0" w:after="0"/>
        <w:rPr>
          <w:rFonts w:ascii="Times New Roman" w:hAnsi="Times New Roman" w:cs="Times New Roman"/>
          <w:sz w:val="24"/>
          <w:szCs w:val="24"/>
        </w:rPr>
      </w:pPr>
      <w:bookmarkStart w:id="15" w:name="_Toc326050104"/>
      <w:bookmarkStart w:id="16" w:name="_Toc355000159"/>
      <w:r w:rsidRPr="00984C3C">
        <w:rPr>
          <w:rFonts w:ascii="Times New Roman" w:hAnsi="Times New Roman" w:cs="Times New Roman"/>
          <w:sz w:val="24"/>
          <w:szCs w:val="24"/>
        </w:rPr>
        <w:t>Spôsob zadania environmentálnych charakteristík a finančný limit zákaziek</w:t>
      </w:r>
      <w:bookmarkEnd w:id="15"/>
      <w:bookmarkEnd w:id="16"/>
    </w:p>
    <w:p w:rsidR="00BD22B8" w:rsidRPr="00984C3C" w:rsidRDefault="00BD22B8" w:rsidP="00BD22B8">
      <w:pPr>
        <w:jc w:val="both"/>
      </w:pPr>
    </w:p>
    <w:p w:rsidR="00BD22B8" w:rsidRPr="00984C3C" w:rsidRDefault="00BD22B8" w:rsidP="00BD22B8">
      <w:pPr>
        <w:jc w:val="both"/>
      </w:pPr>
      <w:r w:rsidRPr="00984C3C">
        <w:t>V rámci monitorovania úrovne GPP v SR sled</w:t>
      </w:r>
      <w:r w:rsidR="00F45078" w:rsidRPr="00984C3C">
        <w:t>ujeme</w:t>
      </w:r>
      <w:r w:rsidRPr="00984C3C">
        <w:t xml:space="preserve"> aj indikátory</w:t>
      </w:r>
      <w:r w:rsidR="00F45078" w:rsidRPr="00984C3C">
        <w:t xml:space="preserve">: </w:t>
      </w:r>
      <w:r w:rsidRPr="00984C3C">
        <w:t xml:space="preserve"> počet realizovaných </w:t>
      </w:r>
      <w:r w:rsidRPr="00984C3C">
        <w:rPr>
          <w:bCs/>
        </w:rPr>
        <w:t>zelených zákaziek podľa spôsobu zadania environmentálnej charakteristiky v procese verejného obstarávania</w:t>
      </w:r>
      <w:r w:rsidRPr="00984C3C">
        <w:t xml:space="preserve"> a počet realizovaných zelených zákaziek podľa finančného limitu. Spôsob zadania environme</w:t>
      </w:r>
      <w:r w:rsidR="004E5007" w:rsidRPr="00984C3C">
        <w:t>ntálnej charakteristiky vyjadruje,</w:t>
      </w:r>
      <w:r w:rsidRPr="00984C3C">
        <w:t xml:space="preserve"> v ktorej fáze verejného obstarávania bola environmen</w:t>
      </w:r>
      <w:r w:rsidR="004E5007" w:rsidRPr="00984C3C">
        <w:t>tálne charakteristika uplatnená:</w:t>
      </w:r>
      <w:r w:rsidRPr="00984C3C">
        <w:t xml:space="preserve"> pri definovaní predmetu zákazky (vrátane technických špecifikácií)</w:t>
      </w:r>
      <w:r w:rsidR="004E5007" w:rsidRPr="00984C3C">
        <w:t>;</w:t>
      </w:r>
      <w:r w:rsidRPr="00984C3C">
        <w:t xml:space="preserve"> v rámci podmienok účasti, ktoré zahŕňajú technickú a</w:t>
      </w:r>
      <w:r w:rsidR="004E5007" w:rsidRPr="00984C3C">
        <w:t> odbornú spôsobilosť dodávateľa;</w:t>
      </w:r>
      <w:r w:rsidRPr="00984C3C">
        <w:t xml:space="preserve"> v k</w:t>
      </w:r>
      <w:r w:rsidR="004E5007" w:rsidRPr="00984C3C">
        <w:t>ritériách na vyhodnotenie ponúk;</w:t>
      </w:r>
      <w:r w:rsidRPr="00984C3C">
        <w:t xml:space="preserve"> v rámci podmienok na realizáciu zákazky alebo v prípade priameho nákupu alebo zákazky s nízkou hodnotou, n</w:t>
      </w:r>
      <w:r w:rsidR="004E5007" w:rsidRPr="00984C3C">
        <w:t>a ktoré má verejný obstarávateľ/</w:t>
      </w:r>
      <w:r w:rsidRPr="00984C3C">
        <w:t>obstarávateľ vlastné interné predpisy alebo smernice.</w:t>
      </w:r>
    </w:p>
    <w:p w:rsidR="00BD22B8" w:rsidRPr="00984C3C" w:rsidRDefault="00BD22B8" w:rsidP="00BD22B8">
      <w:pPr>
        <w:jc w:val="both"/>
      </w:pPr>
    </w:p>
    <w:p w:rsidR="00BD22B8" w:rsidRPr="00984C3C" w:rsidRDefault="00BD22B8" w:rsidP="00BD22B8">
      <w:pPr>
        <w:jc w:val="both"/>
      </w:pPr>
      <w:r w:rsidRPr="00984C3C">
        <w:t>Rozdelenie zelených zákaziek podľa spôsobu zadania environmentálnej charakteristiky v procese verejného</w:t>
      </w:r>
      <w:r w:rsidR="004E5007" w:rsidRPr="00984C3C">
        <w:t xml:space="preserve"> obstarávania zobrazuje graf </w:t>
      </w:r>
      <w:r w:rsidRPr="00984C3C">
        <w:t>12. Z</w:t>
      </w:r>
      <w:r w:rsidR="004E5007" w:rsidRPr="00984C3C">
        <w:t> </w:t>
      </w:r>
      <w:r w:rsidRPr="00984C3C">
        <w:t>grafu</w:t>
      </w:r>
      <w:r w:rsidR="004E5007" w:rsidRPr="00984C3C">
        <w:t xml:space="preserve"> je zrejmé</w:t>
      </w:r>
      <w:r w:rsidRPr="00984C3C">
        <w:t>, že princípy GPP boli uplatnené v rámci definovania predmetu v</w:t>
      </w:r>
      <w:r w:rsidR="004E5007" w:rsidRPr="00984C3C">
        <w:t xml:space="preserve"> </w:t>
      </w:r>
      <w:r w:rsidRPr="00984C3C">
        <w:t> 1 533 zákazkách, pri definovaní podmienok účasti v 122 zákazkách, v kritériách na vyhodnotenie ponúk v</w:t>
      </w:r>
      <w:r w:rsidR="004E5007" w:rsidRPr="00984C3C">
        <w:t xml:space="preserve"> </w:t>
      </w:r>
      <w:r w:rsidRPr="00984C3C">
        <w:t> 1 272 zákazkách, v podmienkach účasti v 995 zákazkách. V niektorých prípadoch (249 zákaziek) bola environmentálna charakteristika začlenená do viacerých fáz procesu verejného obstarávania.</w:t>
      </w:r>
    </w:p>
    <w:p w:rsidR="00BD22B8" w:rsidRDefault="00BD22B8" w:rsidP="00BD22B8">
      <w:pPr>
        <w:jc w:val="center"/>
        <w:rPr>
          <w:rFonts w:ascii="Calibri" w:hAnsi="Calibri"/>
          <w:sz w:val="22"/>
          <w:szCs w:val="22"/>
        </w:rPr>
      </w:pPr>
      <w:r>
        <w:rPr>
          <w:rFonts w:ascii="Calibri" w:hAnsi="Calibri"/>
          <w:sz w:val="22"/>
          <w:szCs w:val="22"/>
        </w:rPr>
        <w:object w:dxaOrig="8089" w:dyaOrig="5355">
          <v:shape id="_x0000_i1036" type="#_x0000_t75" style="width:404.25pt;height:267.75pt" o:ole="">
            <v:imagedata r:id="rId31" o:title=""/>
          </v:shape>
          <o:OLEObject Type="Embed" ProgID="Excel.Sheet.12" ShapeID="_x0000_i1036" DrawAspect="Content" ObjectID="_1432618869" r:id="rId32"/>
        </w:object>
      </w:r>
    </w:p>
    <w:p w:rsidR="00BD22B8" w:rsidRDefault="00BD22B8" w:rsidP="00BD22B8">
      <w:pPr>
        <w:ind w:left="426" w:firstLine="141"/>
        <w:rPr>
          <w:rFonts w:ascii="Calibri" w:hAnsi="Calibri"/>
          <w:bCs/>
          <w:sz w:val="18"/>
          <w:szCs w:val="18"/>
        </w:rPr>
      </w:pPr>
      <w:r w:rsidRPr="009219CB">
        <w:rPr>
          <w:rFonts w:ascii="Calibri" w:hAnsi="Calibri"/>
          <w:bCs/>
          <w:sz w:val="18"/>
          <w:szCs w:val="18"/>
        </w:rPr>
        <w:t>Graf 12 Rozdelenie zelených zákaziek podľa spôsobu zadania environmentálnej charakteristiky</w:t>
      </w:r>
    </w:p>
    <w:p w:rsidR="00BD22B8" w:rsidRDefault="00BD22B8" w:rsidP="00BD22B8">
      <w:pPr>
        <w:rPr>
          <w:rFonts w:ascii="Calibri" w:hAnsi="Calibri"/>
          <w:bCs/>
          <w:sz w:val="18"/>
          <w:szCs w:val="18"/>
        </w:rPr>
      </w:pPr>
    </w:p>
    <w:p w:rsidR="00BD22B8" w:rsidRPr="00984C3C" w:rsidRDefault="00BD22B8" w:rsidP="00BD22B8">
      <w:pPr>
        <w:jc w:val="both"/>
      </w:pPr>
      <w:r w:rsidRPr="00984C3C">
        <w:t xml:space="preserve">Z hľadiska finančného limitu zákazky sa v roku 2012, v rámci zelených zákaziek, realizovalo 230 nadlimitných zákaziek, 75 podlimitných zákaziek, 144 podprahových zákaziek, 2 639 zákaziek s nízkou hodnotou a 574 zákaziek bolo realizovaných obstarávateľom v prípade, že išlo o inú ako nadlimitnú zákazku. Túto skutočnosť prehľadne </w:t>
      </w:r>
      <w:r w:rsidR="004E5007" w:rsidRPr="00984C3C">
        <w:t xml:space="preserve">zobrazuje aj nasledujúci graf </w:t>
      </w:r>
      <w:r w:rsidRPr="00984C3C">
        <w:t xml:space="preserve"> 13.</w:t>
      </w:r>
    </w:p>
    <w:p w:rsidR="00BD22B8" w:rsidRPr="009219CB" w:rsidRDefault="00BD22B8" w:rsidP="00BD22B8">
      <w:pPr>
        <w:jc w:val="right"/>
        <w:rPr>
          <w:rFonts w:ascii="Calibri" w:hAnsi="Calibri"/>
          <w:bCs/>
          <w:sz w:val="18"/>
          <w:szCs w:val="18"/>
        </w:rPr>
      </w:pPr>
      <w:r>
        <w:rPr>
          <w:rFonts w:ascii="Calibri" w:hAnsi="Calibri"/>
          <w:bCs/>
          <w:sz w:val="18"/>
          <w:szCs w:val="18"/>
        </w:rPr>
        <w:object w:dxaOrig="8573" w:dyaOrig="5312">
          <v:shape id="_x0000_i1037" type="#_x0000_t75" style="width:429pt;height:265.5pt" o:ole="">
            <v:imagedata r:id="rId33" o:title=""/>
          </v:shape>
          <o:OLEObject Type="Embed" ProgID="Excel.Sheet.12" ShapeID="_x0000_i1037" DrawAspect="Content" ObjectID="_1432618870" r:id="rId34"/>
        </w:object>
      </w:r>
    </w:p>
    <w:p w:rsidR="00BD22B8" w:rsidRDefault="00BD22B8" w:rsidP="00BD22B8">
      <w:pPr>
        <w:ind w:left="284" w:firstLine="283"/>
        <w:rPr>
          <w:rFonts w:ascii="Calibri" w:hAnsi="Calibri"/>
          <w:bCs/>
          <w:sz w:val="18"/>
          <w:szCs w:val="18"/>
        </w:rPr>
      </w:pPr>
      <w:r w:rsidRPr="00D27087">
        <w:rPr>
          <w:rFonts w:ascii="Calibri" w:hAnsi="Calibri"/>
          <w:bCs/>
          <w:sz w:val="18"/>
          <w:szCs w:val="18"/>
        </w:rPr>
        <w:t>Graf 13</w:t>
      </w:r>
      <w:r w:rsidR="004E5007">
        <w:rPr>
          <w:rFonts w:ascii="Calibri" w:hAnsi="Calibri"/>
          <w:bCs/>
          <w:sz w:val="18"/>
          <w:szCs w:val="18"/>
        </w:rPr>
        <w:t xml:space="preserve">: </w:t>
      </w:r>
      <w:r w:rsidRPr="00D27087">
        <w:rPr>
          <w:rFonts w:ascii="Calibri" w:hAnsi="Calibri"/>
          <w:bCs/>
          <w:sz w:val="18"/>
          <w:szCs w:val="18"/>
        </w:rPr>
        <w:t xml:space="preserve"> Rozdelenie zelených zákaziek podľa finančného limitu</w:t>
      </w:r>
    </w:p>
    <w:p w:rsidR="00BD22B8" w:rsidRPr="00984C3C" w:rsidRDefault="00BD22B8" w:rsidP="00BD22B8">
      <w:pPr>
        <w:pStyle w:val="Nadpis1"/>
        <w:spacing w:before="0" w:after="0"/>
        <w:rPr>
          <w:rFonts w:ascii="Times New Roman" w:hAnsi="Times New Roman" w:cs="Times New Roman"/>
          <w:sz w:val="24"/>
          <w:szCs w:val="24"/>
        </w:rPr>
      </w:pPr>
      <w:bookmarkStart w:id="17" w:name="_Toc326050105"/>
      <w:bookmarkStart w:id="18" w:name="_Toc355000160"/>
      <w:r w:rsidRPr="00984C3C">
        <w:rPr>
          <w:rFonts w:ascii="Times New Roman" w:hAnsi="Times New Roman" w:cs="Times New Roman"/>
          <w:sz w:val="24"/>
          <w:szCs w:val="24"/>
        </w:rPr>
        <w:lastRenderedPageBreak/>
        <w:t>Záver</w:t>
      </w:r>
      <w:bookmarkEnd w:id="17"/>
      <w:bookmarkEnd w:id="18"/>
    </w:p>
    <w:p w:rsidR="00BD22B8" w:rsidRPr="00984C3C" w:rsidRDefault="00BD22B8" w:rsidP="00BD22B8"/>
    <w:p w:rsidR="004E5007" w:rsidRPr="00984C3C" w:rsidRDefault="00BD22B8" w:rsidP="00BD22B8">
      <w:pPr>
        <w:jc w:val="both"/>
      </w:pPr>
      <w:r w:rsidRPr="00984C3C">
        <w:t>Monitorovanie GPP v SR za rok 2012 ukázalo, že indikátory</w:t>
      </w:r>
      <w:r w:rsidR="004E5007" w:rsidRPr="00984C3C">
        <w:t>,</w:t>
      </w:r>
      <w:r w:rsidRPr="00984C3C">
        <w:t xml:space="preserve"> určujúce priemernú úroveň uplatňovania GPP v SR dosahujú</w:t>
      </w:r>
      <w:r w:rsidR="00DD3762" w:rsidRPr="00984C3C">
        <w:t xml:space="preserve"> v porovnaní s predchádzajúcim rokom </w:t>
      </w:r>
      <w:r w:rsidRPr="00984C3C">
        <w:t xml:space="preserve"> nízke hodnoty</w:t>
      </w:r>
      <w:r w:rsidR="00DD3762" w:rsidRPr="00984C3C">
        <w:t xml:space="preserve"> a princíp neustáleho zlepšovania sa zatiaľ nenapĺňa</w:t>
      </w:r>
      <w:r w:rsidRPr="00984C3C">
        <w:t>. Na dosiahnutie strategického cieľa</w:t>
      </w:r>
      <w:r w:rsidR="004E5007" w:rsidRPr="00984C3C">
        <w:t>,</w:t>
      </w:r>
      <w:r w:rsidRPr="00984C3C">
        <w:t xml:space="preserve"> stanoveného v NAP GPP II je preto potrebné pokračovať vo vzdelávaní verejných obstarávateľov. Na zvýšenie uplatňovania environmentálnych charakteristík vo verejnom obstarávaní sa MŽP SR v spolupráci so SAŽP COHEM snažia priblížiť problematiku GPP verejným obstarávateľom sériou odborných seminárov, ktoré sú organizované postupne vo všetkých krajských mestách. Semináre sú pre účastníkov bezplatné</w:t>
      </w:r>
      <w:r w:rsidR="004E5007" w:rsidRPr="00984C3C">
        <w:t xml:space="preserve">, čo – ako predpokladáme - </w:t>
      </w:r>
      <w:r w:rsidRPr="00984C3C">
        <w:t xml:space="preserve"> pr</w:t>
      </w:r>
      <w:r w:rsidR="004E5007" w:rsidRPr="00984C3C">
        <w:t>ispeje k  zabezpečeniu</w:t>
      </w:r>
      <w:r w:rsidRPr="00984C3C">
        <w:t xml:space="preserve"> vyššej účasti </w:t>
      </w:r>
      <w:r w:rsidR="00D30FD8">
        <w:t xml:space="preserve">zástupcov </w:t>
      </w:r>
      <w:r w:rsidRPr="00984C3C">
        <w:t>verejných orgánov</w:t>
      </w:r>
      <w:r w:rsidR="00D30FD8">
        <w:t xml:space="preserve"> a ich podriadených organizácií </w:t>
      </w:r>
      <w:r w:rsidR="004E5007" w:rsidRPr="00984C3C">
        <w:t xml:space="preserve"> na seminároch</w:t>
      </w:r>
      <w:r w:rsidRPr="00984C3C">
        <w:t xml:space="preserve">. </w:t>
      </w:r>
    </w:p>
    <w:p w:rsidR="004E5007" w:rsidRPr="00984C3C" w:rsidRDefault="004E5007" w:rsidP="00BD22B8">
      <w:pPr>
        <w:jc w:val="both"/>
      </w:pPr>
    </w:p>
    <w:p w:rsidR="00BD22B8" w:rsidRPr="00984C3C" w:rsidRDefault="00BD22B8" w:rsidP="00BD22B8">
      <w:pPr>
        <w:jc w:val="both"/>
      </w:pPr>
      <w:r w:rsidRPr="00984C3C">
        <w:t xml:space="preserve">V priebehu seminára </w:t>
      </w:r>
      <w:r w:rsidR="004E5007" w:rsidRPr="00984C3C">
        <w:t xml:space="preserve">oboznamujeme </w:t>
      </w:r>
      <w:r w:rsidRPr="00984C3C">
        <w:t xml:space="preserve"> účastní</w:t>
      </w:r>
      <w:r w:rsidR="004E5007" w:rsidRPr="00984C3C">
        <w:t xml:space="preserve">kov </w:t>
      </w:r>
      <w:r w:rsidRPr="00984C3C">
        <w:t>s Národným akčným plánom pre zelené verejné obstarávanie na roky 2011 – 2015 (NAP GPP II), s prínosmi GPP, so zdrojmi environmentálnych charakteristík, ktoré môžu využiť v rámci všetkých fáz procesu zeleného verejného obstarávania</w:t>
      </w:r>
      <w:r w:rsidR="004E5007" w:rsidRPr="00984C3C">
        <w:t xml:space="preserve">. Poskytujeme tiež  účastníkom názorný </w:t>
      </w:r>
      <w:r w:rsidRPr="00984C3C">
        <w:t xml:space="preserve"> návod na vyplnenie dotazníka na monitorovanie a hodnotenie úrovne zeleného verejného obstarávania v SR, na základe ktorého sa každoročne monitoruje úroveň GPP v SR. Na záver seminára si majú možnosť účastníci v praktickom cvičení vyskúšať zadávanie zelených zákaziek. Na seminároch je zároveň propagovaný projekt Zelené úradovanie, ktor</w:t>
      </w:r>
      <w:r w:rsidR="00D30FD8">
        <w:t>ý</w:t>
      </w:r>
      <w:r w:rsidRPr="00984C3C">
        <w:t xml:space="preserve"> verejné orgány</w:t>
      </w:r>
      <w:r w:rsidR="00D30FD8">
        <w:t xml:space="preserve"> a ich podriadené organizácie </w:t>
      </w:r>
      <w:r w:rsidRPr="00984C3C">
        <w:t xml:space="preserve"> v prípade záujmu majú možnosť </w:t>
      </w:r>
      <w:r w:rsidR="00D30FD8">
        <w:t>realizovať vo svojich podmienkach</w:t>
      </w:r>
      <w:r w:rsidRPr="00984C3C">
        <w:t xml:space="preserve">. </w:t>
      </w:r>
    </w:p>
    <w:p w:rsidR="00BD22B8" w:rsidRPr="00984C3C" w:rsidRDefault="00BD22B8" w:rsidP="00BD22B8">
      <w:pPr>
        <w:jc w:val="both"/>
      </w:pPr>
    </w:p>
    <w:p w:rsidR="00BD22B8" w:rsidRPr="00984C3C" w:rsidRDefault="00D30FD8" w:rsidP="00BD22B8">
      <w:pPr>
        <w:jc w:val="both"/>
      </w:pPr>
      <w:r>
        <w:t xml:space="preserve">MŽP SR poskytuje v prípade záujmu verejným obstarávateľom a obstarávateľom odborné konzultácie k problematike GPP. </w:t>
      </w:r>
      <w:r w:rsidR="00BD22B8" w:rsidRPr="00984C3C">
        <w:t xml:space="preserve">SAŽP COHEM ďalej poskytuje odborné poradenstvo pre verejných obstarávateľov a  obstarávateľov k problematike GPP prostredníctvom GPP helpdesku. </w:t>
      </w:r>
      <w:r w:rsidR="00C62425" w:rsidRPr="00984C3C">
        <w:t xml:space="preserve"> </w:t>
      </w:r>
      <w:r w:rsidR="00BD22B8" w:rsidRPr="00984C3C">
        <w:t>Helpdesk je prístupný pre všetkých, ktorí majú záujem dozvedieť sa bližšie informácie o GPP, ako aj pre tých, ktorí potrebujú odbornú pomoc pri implementácii GPP v praxi. SAŽP COHEM tiež sprístupňuje podklady a aktuálnu legislatívu, týkajúcu sa GPP prostredníctvo</w:t>
      </w:r>
      <w:r w:rsidR="00DD3762" w:rsidRPr="00984C3C">
        <w:t>m</w:t>
      </w:r>
      <w:r w:rsidR="00BD22B8" w:rsidRPr="00984C3C">
        <w:t xml:space="preserve"> svojho webu. Informácie na webovej stránke sú pravidelne aktualizované. </w:t>
      </w:r>
    </w:p>
    <w:p w:rsidR="004E5007" w:rsidRPr="00984C3C" w:rsidRDefault="004E5007" w:rsidP="00BD22B8">
      <w:pPr>
        <w:jc w:val="both"/>
      </w:pPr>
    </w:p>
    <w:p w:rsidR="00C62425" w:rsidRPr="00984C3C" w:rsidRDefault="004E5007" w:rsidP="00BD22B8">
      <w:pPr>
        <w:jc w:val="both"/>
      </w:pPr>
      <w:r w:rsidRPr="00984C3C">
        <w:t xml:space="preserve">I napriek všetkým týmto aktivitám musíme však konštatovať, že zelené verejné obstarávanie v SR sa v medziročnom porovnaní s rokom 2011 nevyvíjalo želateľným smerom. </w:t>
      </w:r>
      <w:r w:rsidR="00635052" w:rsidRPr="00984C3C">
        <w:t xml:space="preserve">Indikátor 1 vzrástol  o 2,9 percentuálneho bodu, na čom sa v najvyššej miere podieľali ÚOŠS a ich podriadené organizácie (+ 3,3 p. b.) a mestá a obstarávatelia zhodne nárastom o 2,6 p. b., ale zároveň došlo k poklesu priemernej úrovne GPP v Indikátore 2 o 21,6 p. b., a to najmä výrazným poklesom indikátora 2 u ÚOŠS a ich podriadených organizácií (- 35,8 p. b.), ale i poklesom u miest a samosprávnych krajov (- 13,6 p. b.) a u obstarávateľov (- 15,4 p. b.). </w:t>
      </w:r>
      <w:r w:rsidR="00C62425" w:rsidRPr="00984C3C">
        <w:t xml:space="preserve"> Zistené údaje teda preukázali, že sa síce obstarávalo viac zelených zákaziek čo do počtu, ale v nižších finančných objemoch, čo mohlo byť spôsobené hospodárskou recesiou.</w:t>
      </w:r>
      <w:r w:rsidR="00FE5629" w:rsidRPr="00984C3C">
        <w:t xml:space="preserve"> Indikátor 1 tak dosiahol priemernú  úroveň 5,0 % a indikátor 2 dosiahol priemernú úroveň 20,6 %.</w:t>
      </w:r>
    </w:p>
    <w:p w:rsidR="00C62425" w:rsidRPr="00984C3C" w:rsidRDefault="00C62425" w:rsidP="00BD22B8">
      <w:pPr>
        <w:jc w:val="both"/>
      </w:pPr>
    </w:p>
    <w:p w:rsidR="00BD22B8" w:rsidRPr="00984C3C" w:rsidRDefault="00635052" w:rsidP="00BD22B8">
      <w:pPr>
        <w:jc w:val="both"/>
      </w:pPr>
      <w:r w:rsidRPr="00984C3C">
        <w:t>Za najväčší nedostatok považujeme tú skutočnosť, že bol</w:t>
      </w:r>
      <w:r w:rsidR="00C62425" w:rsidRPr="00984C3C">
        <w:t>a</w:t>
      </w:r>
      <w:r w:rsidRPr="00984C3C">
        <w:t xml:space="preserve"> níz</w:t>
      </w:r>
      <w:r w:rsidR="00265A45" w:rsidRPr="00984C3C">
        <w:t>ka návratnosť dotazníkov práve z</w:t>
      </w:r>
      <w:r w:rsidRPr="00984C3C">
        <w:t xml:space="preserve"> ÚOŠS (ministerstiev a ostatných ÚOŠS), </w:t>
      </w:r>
      <w:r w:rsidR="00C62425" w:rsidRPr="00984C3C">
        <w:t>pretože</w:t>
      </w:r>
      <w:r w:rsidRPr="00984C3C">
        <w:t xml:space="preserve"> n</w:t>
      </w:r>
      <w:r w:rsidR="00D30FD8">
        <w:t>a dotazník</w:t>
      </w:r>
      <w:r w:rsidRPr="00984C3C">
        <w:t xml:space="preserve"> odpovedalo iba 6 ministerstiev </w:t>
      </w:r>
      <w:r w:rsidR="00265A45" w:rsidRPr="00984C3C">
        <w:t xml:space="preserve">(MDVRR SR, MH SR, MK SR, MS SR, MŠVVŠ SR, MŽP SR) a 4 inštitúcie na úrovni ÚOŠS (Úrad vlády SR, ÚVO, NBÚ a NBS). Ostatné nami oslovené ministerstvá  </w:t>
      </w:r>
      <w:r w:rsidR="00265A45" w:rsidRPr="00984C3C">
        <w:lastRenderedPageBreak/>
        <w:t>(MF SR, MPRV SR, MPSVR SR, MZVEZ SR, MZ SR, MV SR, MO SR) nám údaje formou vyplneného dotazníka neposkytli. Keďže po dohode s rezortami kontaktujeme rezortné organizácie väčšiny rezortov priamo – s výnimkou MO SR a MV SR, údaje za tie po</w:t>
      </w:r>
      <w:r w:rsidR="00C62425" w:rsidRPr="00984C3C">
        <w:t>d</w:t>
      </w:r>
      <w:r w:rsidR="00265A45" w:rsidRPr="00984C3C">
        <w:t>riadené organizácie rezortov</w:t>
      </w:r>
      <w:r w:rsidR="00C62425" w:rsidRPr="00984C3C">
        <w:t xml:space="preserve">, ktoré dotazník poslali, </w:t>
      </w:r>
      <w:r w:rsidR="00D30FD8">
        <w:t xml:space="preserve">sú zahrnuté </w:t>
      </w:r>
      <w:r w:rsidR="00265A45" w:rsidRPr="00984C3C">
        <w:t xml:space="preserve"> v</w:t>
      </w:r>
      <w:r w:rsidR="00C62425" w:rsidRPr="00984C3C">
        <w:t> prehľade o priemernej úrovni uplatňovania environmentálnych charakt</w:t>
      </w:r>
      <w:r w:rsidR="00D30FD8">
        <w:t>eristík vo verejnom obstarávaní</w:t>
      </w:r>
      <w:bookmarkStart w:id="19" w:name="_GoBack"/>
      <w:bookmarkEnd w:id="19"/>
      <w:r w:rsidR="00C62425" w:rsidRPr="00984C3C">
        <w:t>.</w:t>
      </w:r>
    </w:p>
    <w:p w:rsidR="00C62425" w:rsidRPr="00984C3C" w:rsidRDefault="00C62425" w:rsidP="00BD22B8">
      <w:pPr>
        <w:jc w:val="both"/>
      </w:pPr>
    </w:p>
    <w:p w:rsidR="00C62425" w:rsidRPr="00984C3C" w:rsidRDefault="00C62425" w:rsidP="00BD22B8">
      <w:pPr>
        <w:jc w:val="both"/>
      </w:pPr>
      <w:r w:rsidRPr="00984C3C">
        <w:t>Vzhľadom na závery,</w:t>
      </w:r>
      <w:r w:rsidR="00DD3762" w:rsidRPr="00984C3C">
        <w:t xml:space="preserve"> vyplývajúce</w:t>
      </w:r>
      <w:r w:rsidRPr="00984C3C">
        <w:t xml:space="preserve"> z monitorovania, </w:t>
      </w:r>
      <w:r w:rsidR="00DD3762" w:rsidRPr="00984C3C">
        <w:t xml:space="preserve">zvýšime </w:t>
      </w:r>
      <w:r w:rsidRPr="00984C3C">
        <w:t>v budúcom období našu aktivitu smerom k jednotlivým ministerstvám a budeme pokračovať vo vzdelávaní verejných obstarávateľov a obstarávateľov s cieľom postupného napĺňania náročného strategického cieľa NAP GPP II – dosiahnuť priemernú úroveň GPP v SR 65</w:t>
      </w:r>
      <w:r w:rsidR="00DD3762" w:rsidRPr="00984C3C">
        <w:t xml:space="preserve"> </w:t>
      </w:r>
      <w:r w:rsidRPr="00984C3C">
        <w:t>% na úrovni ÚOŠS a ich podriadených organizácií a</w:t>
      </w:r>
      <w:r w:rsidR="00DD3762" w:rsidRPr="00984C3C">
        <w:t> </w:t>
      </w:r>
      <w:r w:rsidRPr="00984C3C">
        <w:t>50</w:t>
      </w:r>
      <w:r w:rsidR="00DD3762" w:rsidRPr="00984C3C">
        <w:t xml:space="preserve"> </w:t>
      </w:r>
      <w:r w:rsidRPr="00984C3C">
        <w:t>% na úrovni samosprávnych krajov a obcí do roku 2015</w:t>
      </w:r>
      <w:r w:rsidR="00DD3762" w:rsidRPr="00984C3C">
        <w:t>.</w:t>
      </w:r>
    </w:p>
    <w:p w:rsidR="00BD22B8" w:rsidRPr="00984C3C" w:rsidRDefault="00BD22B8" w:rsidP="00BD22B8">
      <w:pPr>
        <w:pStyle w:val="Nadpis1"/>
        <w:spacing w:before="0" w:after="0"/>
        <w:rPr>
          <w:rFonts w:ascii="Times New Roman" w:hAnsi="Times New Roman" w:cs="Times New Roman"/>
          <w:sz w:val="24"/>
          <w:szCs w:val="24"/>
        </w:rPr>
      </w:pPr>
      <w:bookmarkStart w:id="20" w:name="_Toc326050106"/>
      <w:r w:rsidRPr="00984C3C">
        <w:rPr>
          <w:rFonts w:ascii="Times New Roman" w:hAnsi="Times New Roman" w:cs="Times New Roman"/>
          <w:sz w:val="24"/>
          <w:szCs w:val="24"/>
        </w:rPr>
        <w:br w:type="page"/>
      </w:r>
      <w:bookmarkStart w:id="21" w:name="_Toc355000161"/>
      <w:r w:rsidRPr="00984C3C">
        <w:rPr>
          <w:rFonts w:ascii="Times New Roman" w:hAnsi="Times New Roman" w:cs="Times New Roman"/>
          <w:sz w:val="24"/>
          <w:szCs w:val="24"/>
        </w:rPr>
        <w:lastRenderedPageBreak/>
        <w:t>Prílohy</w:t>
      </w:r>
      <w:bookmarkEnd w:id="20"/>
      <w:bookmarkEnd w:id="21"/>
    </w:p>
    <w:p w:rsidR="00BD22B8" w:rsidRPr="00984C3C" w:rsidRDefault="00BD22B8" w:rsidP="00BD22B8"/>
    <w:p w:rsidR="00BD22B8" w:rsidRPr="00984C3C" w:rsidRDefault="00BD22B8" w:rsidP="00BD22B8">
      <w:pPr>
        <w:numPr>
          <w:ilvl w:val="0"/>
          <w:numId w:val="7"/>
        </w:numPr>
        <w:spacing w:line="360" w:lineRule="auto"/>
        <w:ind w:left="426" w:hanging="426"/>
      </w:pPr>
      <w:r w:rsidRPr="00984C3C">
        <w:t>Dotazník na monitorovanie a hodnotenie úrovne uplatňovania GPP v SR za rok 2012</w:t>
      </w:r>
    </w:p>
    <w:p w:rsidR="00BD22B8" w:rsidRPr="00984C3C" w:rsidRDefault="00BD22B8" w:rsidP="00BD22B8">
      <w:pPr>
        <w:numPr>
          <w:ilvl w:val="0"/>
          <w:numId w:val="7"/>
        </w:numPr>
        <w:spacing w:line="360" w:lineRule="auto"/>
        <w:ind w:left="426" w:hanging="426"/>
      </w:pPr>
      <w:r w:rsidRPr="00984C3C">
        <w:t>Metodický pokyn k dotazníku</w:t>
      </w:r>
    </w:p>
    <w:p w:rsidR="00BD22B8" w:rsidRPr="00984C3C" w:rsidRDefault="00BD22B8" w:rsidP="00BD22B8">
      <w:pPr>
        <w:numPr>
          <w:ilvl w:val="0"/>
          <w:numId w:val="7"/>
        </w:numPr>
        <w:spacing w:line="360" w:lineRule="auto"/>
        <w:ind w:left="426" w:hanging="426"/>
      </w:pPr>
      <w:r w:rsidRPr="00984C3C">
        <w:t>Priemerná úroveň uplatňovania GPP v SR za rok 2012</w:t>
      </w:r>
    </w:p>
    <w:p w:rsidR="00BD22B8" w:rsidRPr="00984C3C" w:rsidRDefault="00BD22B8" w:rsidP="00BD22B8">
      <w:pPr>
        <w:numPr>
          <w:ilvl w:val="0"/>
          <w:numId w:val="7"/>
        </w:numPr>
        <w:spacing w:line="360" w:lineRule="auto"/>
        <w:ind w:left="426" w:hanging="426"/>
      </w:pPr>
      <w:r w:rsidRPr="00984C3C">
        <w:t>Zadávanie environmentálnych charakteristík vo verejnom obstarávaní (príloha je rozdelená na časti a, b, c)</w:t>
      </w:r>
    </w:p>
    <w:p w:rsidR="00BD22B8" w:rsidRPr="00984C3C" w:rsidRDefault="00BD22B8" w:rsidP="00BD22B8">
      <w:pPr>
        <w:numPr>
          <w:ilvl w:val="0"/>
          <w:numId w:val="7"/>
        </w:numPr>
        <w:spacing w:line="360" w:lineRule="auto"/>
        <w:ind w:left="426" w:hanging="426"/>
      </w:pPr>
      <w:r w:rsidRPr="00984C3C">
        <w:t>a) Využívanie environmentálnych kritérií na udelenie environmentálnej značky vo verejnom obstarávaní</w:t>
      </w:r>
    </w:p>
    <w:p w:rsidR="00BD22B8" w:rsidRPr="00984C3C" w:rsidRDefault="00BD22B8" w:rsidP="00BD22B8">
      <w:pPr>
        <w:spacing w:line="360" w:lineRule="auto"/>
        <w:ind w:left="426"/>
      </w:pPr>
      <w:r w:rsidRPr="00984C3C">
        <w:t>b) Využívanie energetického štítkovania a vyžadovanie predloženia dôkazu o zavedenom EMS</w:t>
      </w:r>
    </w:p>
    <w:p w:rsidR="00BD22B8" w:rsidRPr="00984C3C" w:rsidRDefault="00BD22B8" w:rsidP="00BD22B8">
      <w:pPr>
        <w:numPr>
          <w:ilvl w:val="0"/>
          <w:numId w:val="7"/>
        </w:numPr>
        <w:spacing w:line="360" w:lineRule="auto"/>
        <w:ind w:left="426" w:hanging="426"/>
      </w:pPr>
      <w:r w:rsidRPr="00984C3C">
        <w:t>Využívanie environmentálnych charakteristík pre 10 prioritných skupín produktov (príloha je rozdelená na časti a, b)</w:t>
      </w:r>
    </w:p>
    <w:p w:rsidR="00BD22B8" w:rsidRPr="00984C3C" w:rsidRDefault="00BD22B8" w:rsidP="00BD22B8">
      <w:pPr>
        <w:jc w:val="both"/>
      </w:pPr>
    </w:p>
    <w:p w:rsidR="00BD22B8" w:rsidRPr="00984C3C" w:rsidRDefault="00BD22B8" w:rsidP="00BD22B8">
      <w:pPr>
        <w:tabs>
          <w:tab w:val="left" w:pos="1575"/>
        </w:tabs>
      </w:pPr>
    </w:p>
    <w:p w:rsidR="00BD22B8" w:rsidRPr="00984C3C" w:rsidRDefault="00BD22B8" w:rsidP="00BD22B8">
      <w:pPr>
        <w:pStyle w:val="Nadpis1"/>
        <w:spacing w:before="0" w:after="0"/>
        <w:rPr>
          <w:rFonts w:ascii="Times New Roman" w:hAnsi="Times New Roman" w:cs="Times New Roman"/>
          <w:sz w:val="24"/>
          <w:szCs w:val="24"/>
        </w:rPr>
      </w:pPr>
      <w:bookmarkStart w:id="22" w:name="_Toc355000149"/>
      <w:r w:rsidRPr="00984C3C">
        <w:rPr>
          <w:rFonts w:ascii="Times New Roman" w:hAnsi="Times New Roman" w:cs="Times New Roman"/>
          <w:sz w:val="24"/>
          <w:szCs w:val="24"/>
        </w:rPr>
        <w:t>Zoznam použitých skratiek</w:t>
      </w:r>
      <w:bookmarkEnd w:id="22"/>
    </w:p>
    <w:p w:rsidR="00BD22B8" w:rsidRPr="00984C3C" w:rsidRDefault="00BD22B8" w:rsidP="00BD22B8"/>
    <w:p w:rsidR="00BD22B8" w:rsidRPr="00984C3C" w:rsidRDefault="00BD22B8" w:rsidP="00BD22B8">
      <w:pPr>
        <w:tabs>
          <w:tab w:val="left" w:pos="1701"/>
        </w:tabs>
        <w:spacing w:line="360" w:lineRule="auto"/>
      </w:pPr>
      <w:r w:rsidRPr="00984C3C">
        <w:t>DPH</w:t>
      </w:r>
      <w:r w:rsidRPr="00984C3C">
        <w:tab/>
        <w:t>Daň z pridanej hodnoty</w:t>
      </w:r>
    </w:p>
    <w:p w:rsidR="00BD22B8" w:rsidRPr="00984C3C" w:rsidRDefault="00BD22B8" w:rsidP="00BD22B8">
      <w:pPr>
        <w:tabs>
          <w:tab w:val="left" w:pos="1701"/>
        </w:tabs>
        <w:spacing w:line="360" w:lineRule="auto"/>
      </w:pPr>
      <w:r w:rsidRPr="00984C3C">
        <w:t>EMS</w:t>
      </w:r>
      <w:r w:rsidRPr="00984C3C">
        <w:tab/>
        <w:t>Systém environmentálneho manažérstva</w:t>
      </w:r>
      <w:r w:rsidRPr="00984C3C">
        <w:tab/>
      </w:r>
    </w:p>
    <w:p w:rsidR="00BD22B8" w:rsidRPr="00984C3C" w:rsidRDefault="00BD22B8" w:rsidP="00BD22B8">
      <w:pPr>
        <w:tabs>
          <w:tab w:val="left" w:pos="1701"/>
        </w:tabs>
        <w:spacing w:line="360" w:lineRule="auto"/>
      </w:pPr>
      <w:r w:rsidRPr="00984C3C">
        <w:t>ES</w:t>
      </w:r>
      <w:r w:rsidRPr="00984C3C">
        <w:tab/>
        <w:t>Európske spoločenstvo</w:t>
      </w:r>
    </w:p>
    <w:p w:rsidR="00BD22B8" w:rsidRPr="00984C3C" w:rsidRDefault="00BD22B8" w:rsidP="00BD22B8">
      <w:pPr>
        <w:tabs>
          <w:tab w:val="left" w:pos="1701"/>
        </w:tabs>
        <w:spacing w:line="360" w:lineRule="auto"/>
      </w:pPr>
      <w:r w:rsidRPr="00984C3C">
        <w:t>EÚ</w:t>
      </w:r>
      <w:r w:rsidRPr="00984C3C">
        <w:tab/>
        <w:t>Európska únia</w:t>
      </w:r>
    </w:p>
    <w:p w:rsidR="00BD22B8" w:rsidRPr="00984C3C" w:rsidRDefault="00BD22B8" w:rsidP="00BD22B8">
      <w:pPr>
        <w:tabs>
          <w:tab w:val="left" w:pos="1701"/>
        </w:tabs>
        <w:spacing w:line="360" w:lineRule="auto"/>
      </w:pPr>
      <w:r w:rsidRPr="00984C3C">
        <w:t>GPP</w:t>
      </w:r>
      <w:r w:rsidRPr="00984C3C">
        <w:tab/>
        <w:t>Green Public Procurement (zelené verejné obstarávanie)</w:t>
      </w:r>
    </w:p>
    <w:p w:rsidR="00BD22B8" w:rsidRPr="00984C3C" w:rsidRDefault="00BD22B8" w:rsidP="00BD22B8">
      <w:pPr>
        <w:tabs>
          <w:tab w:val="left" w:pos="1701"/>
        </w:tabs>
        <w:spacing w:line="360" w:lineRule="auto"/>
      </w:pPr>
      <w:r w:rsidRPr="00984C3C">
        <w:t>HDP</w:t>
      </w:r>
      <w:r w:rsidRPr="00984C3C">
        <w:tab/>
        <w:t>Hrubý domáci produkt</w:t>
      </w:r>
    </w:p>
    <w:p w:rsidR="00BD22B8" w:rsidRPr="00984C3C" w:rsidRDefault="00BD22B8" w:rsidP="00BD22B8">
      <w:pPr>
        <w:tabs>
          <w:tab w:val="left" w:pos="1701"/>
        </w:tabs>
        <w:spacing w:line="360" w:lineRule="auto"/>
      </w:pPr>
      <w:r w:rsidRPr="00984C3C">
        <w:t>KOM</w:t>
      </w:r>
      <w:r w:rsidRPr="00984C3C">
        <w:tab/>
        <w:t>Oznámenie Európskej komisie</w:t>
      </w:r>
    </w:p>
    <w:p w:rsidR="00BD22B8" w:rsidRPr="00984C3C" w:rsidRDefault="00BD22B8" w:rsidP="00BD22B8">
      <w:pPr>
        <w:tabs>
          <w:tab w:val="left" w:pos="1701"/>
        </w:tabs>
        <w:spacing w:line="360" w:lineRule="auto"/>
      </w:pPr>
      <w:r w:rsidRPr="00984C3C">
        <w:t>LCA</w:t>
      </w:r>
      <w:r w:rsidRPr="00984C3C">
        <w:tab/>
        <w:t>Life Cycle Assessment (hodnotenie životného cyklu)</w:t>
      </w:r>
    </w:p>
    <w:p w:rsidR="00BD22B8" w:rsidRPr="00984C3C" w:rsidRDefault="00BD22B8" w:rsidP="00BD22B8">
      <w:pPr>
        <w:tabs>
          <w:tab w:val="left" w:pos="1701"/>
        </w:tabs>
        <w:spacing w:line="360" w:lineRule="auto"/>
      </w:pPr>
      <w:r w:rsidRPr="00984C3C">
        <w:t>NAP GPP</w:t>
      </w:r>
      <w:r w:rsidRPr="00984C3C">
        <w:tab/>
        <w:t>Národný akčný plán pre zelené verejné obstarávanie</w:t>
      </w:r>
    </w:p>
    <w:p w:rsidR="00BD22B8" w:rsidRPr="00984C3C" w:rsidRDefault="00BD22B8" w:rsidP="00BD22B8">
      <w:pPr>
        <w:tabs>
          <w:tab w:val="left" w:pos="1701"/>
        </w:tabs>
        <w:spacing w:line="360" w:lineRule="auto"/>
      </w:pPr>
      <w:r w:rsidRPr="00984C3C">
        <w:t>SR</w:t>
      </w:r>
      <w:r w:rsidRPr="00984C3C">
        <w:tab/>
        <w:t>Slovenská republika</w:t>
      </w:r>
    </w:p>
    <w:p w:rsidR="00BD22B8" w:rsidRDefault="00BD22B8" w:rsidP="00BD22B8">
      <w:pPr>
        <w:rPr>
          <w:rFonts w:ascii="Calibri" w:hAnsi="Calibri"/>
          <w:sz w:val="22"/>
          <w:szCs w:val="22"/>
        </w:rPr>
      </w:pPr>
    </w:p>
    <w:p w:rsidR="00BD22B8" w:rsidRDefault="00BD22B8" w:rsidP="00BD22B8">
      <w:pPr>
        <w:pStyle w:val="Nadpis1"/>
        <w:spacing w:before="0" w:after="0"/>
        <w:rPr>
          <w:rFonts w:ascii="Calibri" w:hAnsi="Calibri" w:cs="Times New Roman"/>
          <w:sz w:val="22"/>
          <w:szCs w:val="22"/>
        </w:rPr>
      </w:pPr>
      <w:bookmarkStart w:id="23" w:name="_Toc355000150"/>
    </w:p>
    <w:p w:rsidR="00BD22B8" w:rsidRDefault="00BD22B8" w:rsidP="00BD22B8"/>
    <w:p w:rsidR="00BD22B8" w:rsidRPr="00BD22B8" w:rsidRDefault="00BD22B8" w:rsidP="00BD22B8"/>
    <w:p w:rsidR="00BD22B8" w:rsidRDefault="00BD22B8" w:rsidP="00BD22B8">
      <w:pPr>
        <w:pStyle w:val="Nadpis1"/>
        <w:spacing w:before="0" w:after="0"/>
        <w:rPr>
          <w:rFonts w:ascii="Calibri" w:hAnsi="Calibri" w:cs="Times New Roman"/>
          <w:sz w:val="22"/>
          <w:szCs w:val="22"/>
        </w:rPr>
      </w:pPr>
    </w:p>
    <w:p w:rsidR="00BD22B8" w:rsidRPr="00BD22B8" w:rsidRDefault="00BD22B8" w:rsidP="00BD22B8"/>
    <w:p w:rsidR="00984C3C" w:rsidRDefault="00984C3C" w:rsidP="00BD22B8">
      <w:pPr>
        <w:pStyle w:val="Nadpis1"/>
        <w:spacing w:before="0" w:after="0"/>
        <w:rPr>
          <w:rFonts w:ascii="Calibri" w:hAnsi="Calibri" w:cs="Times New Roman"/>
          <w:sz w:val="22"/>
          <w:szCs w:val="22"/>
        </w:rPr>
      </w:pPr>
    </w:p>
    <w:p w:rsidR="00BD22B8" w:rsidRPr="00984C3C" w:rsidRDefault="00BD22B8" w:rsidP="00BD22B8">
      <w:pPr>
        <w:pStyle w:val="Nadpis1"/>
        <w:spacing w:before="0" w:after="0"/>
        <w:rPr>
          <w:rFonts w:ascii="Times New Roman" w:hAnsi="Times New Roman" w:cs="Times New Roman"/>
          <w:sz w:val="24"/>
          <w:szCs w:val="24"/>
        </w:rPr>
      </w:pPr>
      <w:r w:rsidRPr="00984C3C">
        <w:rPr>
          <w:rFonts w:ascii="Times New Roman" w:hAnsi="Times New Roman" w:cs="Times New Roman"/>
          <w:sz w:val="24"/>
          <w:szCs w:val="24"/>
        </w:rPr>
        <w:t>Zoznam tabuliek a grafov</w:t>
      </w:r>
      <w:bookmarkEnd w:id="23"/>
    </w:p>
    <w:p w:rsidR="00BD22B8" w:rsidRPr="00984C3C" w:rsidRDefault="00BD22B8" w:rsidP="00BD22B8">
      <w:pPr>
        <w:pStyle w:val="Nadpis1"/>
        <w:spacing w:before="0" w:after="0"/>
        <w:rPr>
          <w:rFonts w:ascii="Times New Roman" w:hAnsi="Times New Roman" w:cs="Times New Roman"/>
          <w:sz w:val="24"/>
          <w:szCs w:val="24"/>
        </w:rPr>
      </w:pPr>
    </w:p>
    <w:p w:rsidR="00BD22B8" w:rsidRPr="00984C3C" w:rsidRDefault="00984C3C" w:rsidP="00BD22B8">
      <w:pPr>
        <w:tabs>
          <w:tab w:val="left" w:pos="851"/>
        </w:tabs>
        <w:spacing w:line="360" w:lineRule="auto"/>
        <w:jc w:val="both"/>
      </w:pPr>
      <w:r>
        <w:t>Tabuľka</w:t>
      </w:r>
      <w:r w:rsidR="00BD22B8" w:rsidRPr="00984C3C">
        <w:t xml:space="preserve"> 1</w:t>
      </w:r>
      <w:r w:rsidR="00BD22B8" w:rsidRPr="00984C3C">
        <w:tab/>
        <w:t>Počet a percentuálny podiel inštitúcií a organizácií zapojených do prieskumu</w:t>
      </w:r>
    </w:p>
    <w:p w:rsidR="00BD22B8" w:rsidRPr="00984C3C" w:rsidRDefault="00984C3C" w:rsidP="00BD22B8">
      <w:pPr>
        <w:tabs>
          <w:tab w:val="left" w:pos="851"/>
        </w:tabs>
        <w:spacing w:line="360" w:lineRule="auto"/>
      </w:pPr>
      <w:r>
        <w:t xml:space="preserve">Tabuľka </w:t>
      </w:r>
      <w:r w:rsidR="00BD22B8" w:rsidRPr="00984C3C">
        <w:t xml:space="preserve">2 </w:t>
      </w:r>
      <w:r w:rsidR="00BD22B8" w:rsidRPr="00984C3C">
        <w:tab/>
        <w:t>Rozdelenie subjektov zapojených do prieskumu</w:t>
      </w:r>
    </w:p>
    <w:p w:rsidR="00BD22B8" w:rsidRPr="00984C3C" w:rsidRDefault="00BD22B8" w:rsidP="00984C3C">
      <w:pPr>
        <w:tabs>
          <w:tab w:val="left" w:pos="851"/>
        </w:tabs>
        <w:spacing w:line="360" w:lineRule="auto"/>
        <w:ind w:left="1418" w:hanging="1418"/>
      </w:pPr>
      <w:r w:rsidRPr="00984C3C">
        <w:t>Tab</w:t>
      </w:r>
      <w:r w:rsidR="00984C3C">
        <w:t>uľka</w:t>
      </w:r>
      <w:r w:rsidRPr="00984C3C">
        <w:t xml:space="preserve"> 3 </w:t>
      </w:r>
      <w:r w:rsidRPr="00984C3C">
        <w:tab/>
        <w:t>Celkový počet a celková hodnota realizovaných zákaziek vo väzbe na predmet zákazky</w:t>
      </w:r>
    </w:p>
    <w:p w:rsidR="00BD22B8" w:rsidRPr="00984C3C" w:rsidRDefault="00BD22B8" w:rsidP="00984C3C">
      <w:pPr>
        <w:tabs>
          <w:tab w:val="left" w:pos="851"/>
        </w:tabs>
        <w:spacing w:line="360" w:lineRule="auto"/>
        <w:ind w:left="1418" w:hanging="1418"/>
      </w:pPr>
      <w:r w:rsidRPr="00984C3C">
        <w:rPr>
          <w:bCs/>
        </w:rPr>
        <w:t>Tab</w:t>
      </w:r>
      <w:r w:rsidR="00984C3C">
        <w:rPr>
          <w:bCs/>
        </w:rPr>
        <w:t>uľka</w:t>
      </w:r>
      <w:r w:rsidRPr="00984C3C">
        <w:rPr>
          <w:bCs/>
        </w:rPr>
        <w:t xml:space="preserve"> 4 </w:t>
      </w:r>
      <w:r w:rsidRPr="00984C3C">
        <w:rPr>
          <w:bCs/>
        </w:rPr>
        <w:tab/>
        <w:t>Prehľad využitých environmentálnych charakteristík vo väzbe na indikátor 1 a indikátor 2</w:t>
      </w:r>
    </w:p>
    <w:p w:rsidR="00BD22B8" w:rsidRPr="00984C3C" w:rsidRDefault="00984C3C" w:rsidP="00BD22B8">
      <w:pPr>
        <w:tabs>
          <w:tab w:val="left" w:pos="851"/>
        </w:tabs>
        <w:spacing w:line="360" w:lineRule="auto"/>
      </w:pPr>
      <w:r>
        <w:t>Tabuľka</w:t>
      </w:r>
      <w:r w:rsidR="00BD22B8" w:rsidRPr="00984C3C">
        <w:t xml:space="preserve"> 5 </w:t>
      </w:r>
      <w:r w:rsidR="00BD22B8" w:rsidRPr="00984C3C">
        <w:tab/>
        <w:t>Porovnanie počtu a hodnoty zákaziek prioritných skupín produktov</w:t>
      </w:r>
    </w:p>
    <w:p w:rsidR="00BD22B8" w:rsidRPr="00984C3C" w:rsidRDefault="00BD22B8" w:rsidP="00BD22B8">
      <w:pPr>
        <w:tabs>
          <w:tab w:val="left" w:pos="851"/>
        </w:tabs>
        <w:spacing w:line="360" w:lineRule="auto"/>
      </w:pPr>
    </w:p>
    <w:p w:rsidR="00BD22B8" w:rsidRPr="00984C3C" w:rsidRDefault="00BD22B8" w:rsidP="00BD22B8">
      <w:pPr>
        <w:tabs>
          <w:tab w:val="left" w:pos="851"/>
        </w:tabs>
        <w:spacing w:line="360" w:lineRule="auto"/>
      </w:pPr>
      <w:r w:rsidRPr="00984C3C">
        <w:t>Graf 1</w:t>
      </w:r>
      <w:r w:rsidRPr="00984C3C">
        <w:tab/>
        <w:t>Počet subjektov zapojených  do prieskumu podľa rezortov</w:t>
      </w:r>
    </w:p>
    <w:p w:rsidR="00BD22B8" w:rsidRPr="00984C3C" w:rsidRDefault="00BD22B8" w:rsidP="00BD22B8">
      <w:pPr>
        <w:tabs>
          <w:tab w:val="left" w:pos="851"/>
        </w:tabs>
        <w:spacing w:line="360" w:lineRule="auto"/>
      </w:pPr>
      <w:r w:rsidRPr="00984C3C">
        <w:t xml:space="preserve">Graf 2 </w:t>
      </w:r>
      <w:r w:rsidRPr="00984C3C">
        <w:tab/>
        <w:t>Prehľad došlých odpovedí dotazníkového prieskumu</w:t>
      </w:r>
    </w:p>
    <w:p w:rsidR="00BD22B8" w:rsidRPr="00984C3C" w:rsidRDefault="00BD22B8" w:rsidP="00984C3C">
      <w:pPr>
        <w:tabs>
          <w:tab w:val="left" w:pos="851"/>
        </w:tabs>
        <w:spacing w:line="360" w:lineRule="auto"/>
        <w:ind w:left="851" w:hanging="851"/>
      </w:pPr>
      <w:r w:rsidRPr="00984C3C">
        <w:rPr>
          <w:noProof/>
        </w:rPr>
        <w:t xml:space="preserve">Graf 3 </w:t>
      </w:r>
      <w:r w:rsidRPr="00984C3C">
        <w:rPr>
          <w:noProof/>
        </w:rPr>
        <w:tab/>
        <w:t>Percentuálny podiel uplatnenia environmentálnych charakteristík vo verejnom obstarávaní</w:t>
      </w:r>
    </w:p>
    <w:p w:rsidR="00BD22B8" w:rsidRPr="00984C3C" w:rsidRDefault="00BD22B8" w:rsidP="00BD22B8">
      <w:pPr>
        <w:tabs>
          <w:tab w:val="left" w:pos="851"/>
        </w:tabs>
        <w:spacing w:line="360" w:lineRule="auto"/>
      </w:pPr>
      <w:r w:rsidRPr="00984C3C">
        <w:t xml:space="preserve">Graf 4 </w:t>
      </w:r>
      <w:r w:rsidRPr="00984C3C">
        <w:tab/>
        <w:t>Celkový počet zákaziek a počet zelených zákaziek</w:t>
      </w:r>
    </w:p>
    <w:p w:rsidR="00BD22B8" w:rsidRPr="00984C3C" w:rsidRDefault="00BD22B8" w:rsidP="00BD22B8">
      <w:pPr>
        <w:tabs>
          <w:tab w:val="left" w:pos="851"/>
        </w:tabs>
        <w:spacing w:line="360" w:lineRule="auto"/>
      </w:pPr>
      <w:r w:rsidRPr="00984C3C">
        <w:rPr>
          <w:noProof/>
        </w:rPr>
        <w:t xml:space="preserve">Graf 5 </w:t>
      </w:r>
      <w:r w:rsidRPr="00984C3C">
        <w:rPr>
          <w:noProof/>
        </w:rPr>
        <w:tab/>
        <w:t xml:space="preserve">Celková hodnota zákaziek a hodnota zelených zákaziek </w:t>
      </w:r>
    </w:p>
    <w:p w:rsidR="00BD22B8" w:rsidRPr="00984C3C" w:rsidRDefault="00BD22B8" w:rsidP="00BD22B8">
      <w:pPr>
        <w:tabs>
          <w:tab w:val="left" w:pos="851"/>
        </w:tabs>
        <w:spacing w:line="360" w:lineRule="auto"/>
      </w:pPr>
      <w:r w:rsidRPr="00984C3C">
        <w:t xml:space="preserve">Graf 6 </w:t>
      </w:r>
      <w:r w:rsidRPr="00984C3C">
        <w:tab/>
        <w:t>Priemerná úroveň GPP v SR stanovená na základe indikátora 1 a indikátora 2</w:t>
      </w:r>
    </w:p>
    <w:p w:rsidR="00BD22B8" w:rsidRPr="00984C3C" w:rsidRDefault="00BD22B8" w:rsidP="00984C3C">
      <w:pPr>
        <w:tabs>
          <w:tab w:val="left" w:pos="851"/>
        </w:tabs>
        <w:spacing w:line="360" w:lineRule="auto"/>
        <w:ind w:left="851" w:hanging="851"/>
      </w:pPr>
      <w:r w:rsidRPr="00984C3C">
        <w:rPr>
          <w:bCs/>
        </w:rPr>
        <w:t xml:space="preserve">Graf 7 </w:t>
      </w:r>
      <w:r w:rsidRPr="00984C3C">
        <w:rPr>
          <w:bCs/>
        </w:rPr>
        <w:tab/>
        <w:t>Percentuálny podiel využitých environmentálnych charakteristík vo väzbe na indikátor 1</w:t>
      </w:r>
    </w:p>
    <w:p w:rsidR="00BD22B8" w:rsidRPr="00984C3C" w:rsidRDefault="00BD22B8" w:rsidP="00984C3C">
      <w:pPr>
        <w:tabs>
          <w:tab w:val="left" w:pos="851"/>
        </w:tabs>
        <w:spacing w:line="360" w:lineRule="auto"/>
        <w:ind w:left="851" w:hanging="851"/>
      </w:pPr>
      <w:r w:rsidRPr="00984C3C">
        <w:rPr>
          <w:bCs/>
        </w:rPr>
        <w:t xml:space="preserve">Graf 8 </w:t>
      </w:r>
      <w:r w:rsidRPr="00984C3C">
        <w:rPr>
          <w:bCs/>
        </w:rPr>
        <w:tab/>
        <w:t>Percentuálny podiel využitých environmentálnych charakteristík vo väzbe na indikátor 2</w:t>
      </w:r>
    </w:p>
    <w:p w:rsidR="00BD22B8" w:rsidRPr="00984C3C" w:rsidRDefault="00BD22B8" w:rsidP="00984C3C">
      <w:pPr>
        <w:tabs>
          <w:tab w:val="left" w:pos="851"/>
        </w:tabs>
        <w:spacing w:line="360" w:lineRule="auto"/>
        <w:ind w:left="851" w:hanging="851"/>
      </w:pPr>
      <w:r w:rsidRPr="00984C3C">
        <w:t xml:space="preserve">Graf 9 </w:t>
      </w:r>
      <w:r w:rsidRPr="00984C3C">
        <w:tab/>
        <w:t>Využívanie environmentálnych charakteristík pre prioritné skupiny produktov vo väzbe na indikátor 1</w:t>
      </w:r>
    </w:p>
    <w:p w:rsidR="00BD22B8" w:rsidRPr="00984C3C" w:rsidRDefault="00BD22B8" w:rsidP="00984C3C">
      <w:pPr>
        <w:tabs>
          <w:tab w:val="left" w:pos="851"/>
        </w:tabs>
        <w:spacing w:line="360" w:lineRule="auto"/>
        <w:ind w:left="851" w:hanging="851"/>
      </w:pPr>
      <w:r w:rsidRPr="00984C3C">
        <w:t>Graf 10</w:t>
      </w:r>
      <w:r w:rsidRPr="00984C3C">
        <w:tab/>
        <w:t xml:space="preserve"> Využívanie environmentálnych charakteristík pre prioritné skupiny produktov vo väzbe na indikátor 2</w:t>
      </w:r>
    </w:p>
    <w:p w:rsidR="00BD22B8" w:rsidRPr="00984C3C" w:rsidRDefault="00BD22B8" w:rsidP="00984C3C">
      <w:pPr>
        <w:tabs>
          <w:tab w:val="left" w:pos="851"/>
        </w:tabs>
        <w:spacing w:line="360" w:lineRule="auto"/>
        <w:ind w:left="851" w:hanging="851"/>
      </w:pPr>
      <w:r w:rsidRPr="00984C3C">
        <w:t>Graf 11</w:t>
      </w:r>
      <w:r w:rsidRPr="00984C3C">
        <w:tab/>
        <w:t>Energetické štítkovanie a environmentálne manažérske systémy vo verejných zákazkách</w:t>
      </w:r>
    </w:p>
    <w:p w:rsidR="00BD22B8" w:rsidRPr="00984C3C" w:rsidRDefault="00BD22B8" w:rsidP="00984C3C">
      <w:pPr>
        <w:tabs>
          <w:tab w:val="left" w:pos="851"/>
        </w:tabs>
        <w:spacing w:line="360" w:lineRule="auto"/>
        <w:ind w:left="851" w:hanging="851"/>
      </w:pPr>
      <w:r w:rsidRPr="00984C3C">
        <w:rPr>
          <w:bCs/>
        </w:rPr>
        <w:t xml:space="preserve">Graf 12 </w:t>
      </w:r>
      <w:r w:rsidRPr="00984C3C">
        <w:rPr>
          <w:bCs/>
        </w:rPr>
        <w:tab/>
        <w:t>Rozdelenie zelených zákaziek podľa spôsobu zadania environmentálnej charakteristiky</w:t>
      </w:r>
    </w:p>
    <w:p w:rsidR="00BD22B8" w:rsidRPr="00984C3C" w:rsidRDefault="00BD22B8" w:rsidP="00BD22B8">
      <w:pPr>
        <w:tabs>
          <w:tab w:val="left" w:pos="851"/>
        </w:tabs>
        <w:spacing w:line="360" w:lineRule="auto"/>
      </w:pPr>
      <w:r w:rsidRPr="00984C3C">
        <w:rPr>
          <w:bCs/>
        </w:rPr>
        <w:t xml:space="preserve">Graf 13 </w:t>
      </w:r>
      <w:r w:rsidRPr="00984C3C">
        <w:rPr>
          <w:bCs/>
        </w:rPr>
        <w:tab/>
        <w:t>Rozdelenie zelených zákaziek podľa finančného limitu</w:t>
      </w:r>
    </w:p>
    <w:p w:rsidR="00C62425" w:rsidRPr="00984C3C" w:rsidRDefault="00BD22B8" w:rsidP="00C62425">
      <w:pPr>
        <w:pStyle w:val="Nadpis1"/>
        <w:spacing w:before="0" w:after="0"/>
        <w:rPr>
          <w:rFonts w:ascii="Times New Roman" w:hAnsi="Times New Roman" w:cs="Times New Roman"/>
          <w:sz w:val="24"/>
          <w:szCs w:val="24"/>
        </w:rPr>
      </w:pPr>
      <w:r w:rsidRPr="00984C3C">
        <w:rPr>
          <w:rFonts w:ascii="Times New Roman" w:hAnsi="Times New Roman" w:cs="Times New Roman"/>
          <w:sz w:val="24"/>
          <w:szCs w:val="24"/>
        </w:rPr>
        <w:br w:type="page"/>
      </w:r>
      <w:bookmarkStart w:id="24" w:name="_Toc355000148"/>
      <w:r w:rsidR="00C62425" w:rsidRPr="00984C3C">
        <w:rPr>
          <w:rFonts w:ascii="Times New Roman" w:hAnsi="Times New Roman" w:cs="Times New Roman"/>
          <w:sz w:val="24"/>
          <w:szCs w:val="24"/>
        </w:rPr>
        <w:lastRenderedPageBreak/>
        <w:t>Obsah</w:t>
      </w:r>
      <w:bookmarkEnd w:id="24"/>
    </w:p>
    <w:p w:rsidR="009D1D3C" w:rsidRPr="00984C3C" w:rsidRDefault="00C62425" w:rsidP="009D1D3C">
      <w:pPr>
        <w:pStyle w:val="Obsah1"/>
        <w:tabs>
          <w:tab w:val="right" w:leader="dot" w:pos="9060"/>
        </w:tabs>
        <w:spacing w:line="360" w:lineRule="auto"/>
        <w:rPr>
          <w:noProof/>
        </w:rPr>
      </w:pPr>
      <w:r w:rsidRPr="00984C3C">
        <w:fldChar w:fldCharType="begin"/>
      </w:r>
      <w:r w:rsidRPr="00984C3C">
        <w:instrText xml:space="preserve"> TOC \o "1-3" \h \z \u </w:instrText>
      </w:r>
      <w:r w:rsidRPr="00984C3C">
        <w:fldChar w:fldCharType="separate"/>
      </w:r>
      <w:hyperlink w:anchor="_Toc355000148" w:history="1"/>
    </w:p>
    <w:p w:rsidR="00C62425" w:rsidRPr="00984C3C" w:rsidRDefault="00C62425" w:rsidP="00C62425">
      <w:pPr>
        <w:pStyle w:val="Obsah1"/>
        <w:tabs>
          <w:tab w:val="right" w:leader="dot" w:pos="9060"/>
        </w:tabs>
        <w:spacing w:line="360" w:lineRule="auto"/>
        <w:rPr>
          <w:noProof/>
        </w:rPr>
      </w:pPr>
    </w:p>
    <w:p w:rsidR="00C62425" w:rsidRPr="00984C3C" w:rsidRDefault="00817914" w:rsidP="00C62425">
      <w:pPr>
        <w:pStyle w:val="Obsah1"/>
        <w:tabs>
          <w:tab w:val="right" w:leader="dot" w:pos="9060"/>
        </w:tabs>
        <w:spacing w:line="360" w:lineRule="auto"/>
        <w:rPr>
          <w:noProof/>
        </w:rPr>
      </w:pPr>
      <w:hyperlink w:anchor="_Toc355000151" w:history="1">
        <w:r w:rsidR="00C62425" w:rsidRPr="00984C3C">
          <w:rPr>
            <w:rStyle w:val="Hypertextovprepojenie"/>
            <w:noProof/>
          </w:rPr>
          <w:t>Úvod</w:t>
        </w:r>
        <w:r w:rsidR="00C62425" w:rsidRPr="00984C3C">
          <w:rPr>
            <w:noProof/>
            <w:webHidden/>
          </w:rPr>
          <w:tab/>
        </w:r>
        <w:r w:rsidR="001C01F2" w:rsidRPr="00984C3C">
          <w:rPr>
            <w:noProof/>
            <w:webHidden/>
          </w:rPr>
          <w:t>1</w:t>
        </w:r>
      </w:hyperlink>
    </w:p>
    <w:p w:rsidR="00C62425" w:rsidRPr="00984C3C" w:rsidRDefault="00817914" w:rsidP="00C62425">
      <w:pPr>
        <w:pStyle w:val="Obsah1"/>
        <w:tabs>
          <w:tab w:val="right" w:leader="dot" w:pos="9060"/>
        </w:tabs>
        <w:spacing w:line="360" w:lineRule="auto"/>
        <w:rPr>
          <w:noProof/>
        </w:rPr>
      </w:pPr>
      <w:hyperlink w:anchor="_Toc355000152" w:history="1">
        <w:r w:rsidR="00C62425" w:rsidRPr="00984C3C">
          <w:rPr>
            <w:rStyle w:val="Hypertextovprepojenie"/>
            <w:noProof/>
          </w:rPr>
          <w:t>Národný akčný plán pre zelené verejné obstarávanie v SR na roky 2011 – 2015</w:t>
        </w:r>
        <w:r w:rsidR="00C62425" w:rsidRPr="00984C3C">
          <w:rPr>
            <w:noProof/>
            <w:webHidden/>
          </w:rPr>
          <w:tab/>
        </w:r>
        <w:r w:rsidR="001C01F2" w:rsidRPr="00984C3C">
          <w:rPr>
            <w:noProof/>
            <w:webHidden/>
          </w:rPr>
          <w:t>1</w:t>
        </w:r>
      </w:hyperlink>
    </w:p>
    <w:p w:rsidR="00C62425" w:rsidRPr="00984C3C" w:rsidRDefault="00817914" w:rsidP="00C62425">
      <w:pPr>
        <w:pStyle w:val="Obsah1"/>
        <w:tabs>
          <w:tab w:val="right" w:leader="dot" w:pos="9060"/>
        </w:tabs>
        <w:spacing w:line="360" w:lineRule="auto"/>
        <w:rPr>
          <w:noProof/>
        </w:rPr>
      </w:pPr>
      <w:hyperlink w:anchor="_Toc355000153" w:history="1">
        <w:r w:rsidR="00C62425" w:rsidRPr="00984C3C">
          <w:rPr>
            <w:rStyle w:val="Hypertextovprepojenie"/>
            <w:noProof/>
          </w:rPr>
          <w:t>Vyhodnotenie úrovne uplatňovanie GPP v SR</w:t>
        </w:r>
        <w:r w:rsidR="00C62425" w:rsidRPr="00984C3C">
          <w:rPr>
            <w:noProof/>
            <w:webHidden/>
          </w:rPr>
          <w:tab/>
        </w:r>
        <w:r w:rsidR="001C01F2" w:rsidRPr="00984C3C">
          <w:rPr>
            <w:noProof/>
            <w:webHidden/>
          </w:rPr>
          <w:t>2</w:t>
        </w:r>
      </w:hyperlink>
    </w:p>
    <w:p w:rsidR="00C62425" w:rsidRPr="00984C3C" w:rsidRDefault="00817914" w:rsidP="00C62425">
      <w:pPr>
        <w:pStyle w:val="Obsah1"/>
        <w:tabs>
          <w:tab w:val="right" w:leader="dot" w:pos="9060"/>
        </w:tabs>
        <w:spacing w:line="360" w:lineRule="auto"/>
        <w:rPr>
          <w:noProof/>
        </w:rPr>
      </w:pPr>
      <w:hyperlink w:anchor="_Toc355000154" w:history="1">
        <w:r w:rsidR="00C62425" w:rsidRPr="00984C3C">
          <w:rPr>
            <w:rStyle w:val="Hypertextovprepojenie"/>
            <w:noProof/>
          </w:rPr>
          <w:t>Priemerná úroveň uplatňovania GPP v SR</w:t>
        </w:r>
        <w:r w:rsidR="00C62425" w:rsidRPr="00984C3C">
          <w:rPr>
            <w:noProof/>
            <w:webHidden/>
          </w:rPr>
          <w:tab/>
        </w:r>
        <w:r w:rsidR="001C01F2" w:rsidRPr="00984C3C">
          <w:rPr>
            <w:noProof/>
            <w:webHidden/>
          </w:rPr>
          <w:t>4</w:t>
        </w:r>
      </w:hyperlink>
    </w:p>
    <w:p w:rsidR="00C62425" w:rsidRPr="00984C3C" w:rsidRDefault="00817914" w:rsidP="00C62425">
      <w:pPr>
        <w:pStyle w:val="Obsah1"/>
        <w:tabs>
          <w:tab w:val="right" w:leader="dot" w:pos="9060"/>
        </w:tabs>
        <w:spacing w:line="360" w:lineRule="auto"/>
        <w:rPr>
          <w:noProof/>
        </w:rPr>
      </w:pPr>
      <w:hyperlink w:anchor="_Toc355000155" w:history="1">
        <w:r w:rsidR="00C62425" w:rsidRPr="00984C3C">
          <w:rPr>
            <w:rStyle w:val="Hypertextovprepojenie"/>
            <w:noProof/>
          </w:rPr>
          <w:t>Zadávanie environmentálnych charakteristík</w:t>
        </w:r>
        <w:r w:rsidR="00C62425" w:rsidRPr="00984C3C">
          <w:rPr>
            <w:noProof/>
            <w:webHidden/>
          </w:rPr>
          <w:tab/>
        </w:r>
        <w:r w:rsidR="001C01F2" w:rsidRPr="00984C3C">
          <w:rPr>
            <w:noProof/>
            <w:webHidden/>
          </w:rPr>
          <w:t>8</w:t>
        </w:r>
      </w:hyperlink>
    </w:p>
    <w:p w:rsidR="00C62425" w:rsidRPr="00984C3C" w:rsidRDefault="00817914" w:rsidP="00C62425">
      <w:pPr>
        <w:pStyle w:val="Obsah1"/>
        <w:tabs>
          <w:tab w:val="right" w:leader="dot" w:pos="9060"/>
        </w:tabs>
        <w:spacing w:line="360" w:lineRule="auto"/>
        <w:rPr>
          <w:noProof/>
        </w:rPr>
      </w:pPr>
      <w:hyperlink w:anchor="_Toc355000156" w:history="1">
        <w:r w:rsidR="00C62425" w:rsidRPr="00984C3C">
          <w:rPr>
            <w:rStyle w:val="Hypertextovprepojenie"/>
            <w:noProof/>
          </w:rPr>
          <w:t>Využívanie environmentálnych kritérií na udelenie environmentálneho ozanačenia</w:t>
        </w:r>
        <w:r w:rsidR="00C62425" w:rsidRPr="00984C3C">
          <w:rPr>
            <w:noProof/>
            <w:webHidden/>
          </w:rPr>
          <w:tab/>
        </w:r>
        <w:r w:rsidR="001C01F2" w:rsidRPr="00984C3C">
          <w:rPr>
            <w:noProof/>
            <w:webHidden/>
          </w:rPr>
          <w:t>11</w:t>
        </w:r>
      </w:hyperlink>
    </w:p>
    <w:p w:rsidR="00C62425" w:rsidRPr="00984C3C" w:rsidRDefault="00817914" w:rsidP="00C62425">
      <w:pPr>
        <w:pStyle w:val="Obsah1"/>
        <w:tabs>
          <w:tab w:val="right" w:leader="dot" w:pos="9060"/>
        </w:tabs>
        <w:spacing w:line="360" w:lineRule="auto"/>
        <w:rPr>
          <w:noProof/>
        </w:rPr>
      </w:pPr>
      <w:hyperlink w:anchor="_Toc355000157" w:history="1">
        <w:r w:rsidR="00C62425" w:rsidRPr="00984C3C">
          <w:rPr>
            <w:rStyle w:val="Hypertextovprepojenie"/>
            <w:noProof/>
          </w:rPr>
          <w:t>Využívanie environmentálnych charakteristík pre 10 prioritných skupín produktov</w:t>
        </w:r>
        <w:r w:rsidR="00C62425" w:rsidRPr="00984C3C">
          <w:rPr>
            <w:noProof/>
            <w:webHidden/>
          </w:rPr>
          <w:tab/>
        </w:r>
        <w:r w:rsidR="001C01F2" w:rsidRPr="00984C3C">
          <w:rPr>
            <w:noProof/>
            <w:webHidden/>
          </w:rPr>
          <w:t>12</w:t>
        </w:r>
      </w:hyperlink>
    </w:p>
    <w:p w:rsidR="00C62425" w:rsidRPr="00984C3C" w:rsidRDefault="00817914" w:rsidP="00C62425">
      <w:pPr>
        <w:pStyle w:val="Obsah1"/>
        <w:tabs>
          <w:tab w:val="right" w:leader="dot" w:pos="9060"/>
        </w:tabs>
        <w:spacing w:line="360" w:lineRule="auto"/>
        <w:rPr>
          <w:noProof/>
        </w:rPr>
      </w:pPr>
      <w:hyperlink w:anchor="_Toc355000158" w:history="1">
        <w:r w:rsidR="00C62425" w:rsidRPr="00984C3C">
          <w:rPr>
            <w:rStyle w:val="Hypertextovprepojenie"/>
            <w:noProof/>
          </w:rPr>
          <w:t>Využívanie energetického štítkovania a systému environmentálneho manažérstva</w:t>
        </w:r>
        <w:r w:rsidR="00C62425" w:rsidRPr="00984C3C">
          <w:rPr>
            <w:noProof/>
            <w:webHidden/>
          </w:rPr>
          <w:tab/>
        </w:r>
        <w:r w:rsidR="001C01F2" w:rsidRPr="00984C3C">
          <w:rPr>
            <w:noProof/>
            <w:webHidden/>
          </w:rPr>
          <w:t>15</w:t>
        </w:r>
      </w:hyperlink>
    </w:p>
    <w:p w:rsidR="00C62425" w:rsidRPr="00984C3C" w:rsidRDefault="00817914" w:rsidP="00C62425">
      <w:pPr>
        <w:pStyle w:val="Obsah1"/>
        <w:tabs>
          <w:tab w:val="right" w:leader="dot" w:pos="9060"/>
        </w:tabs>
        <w:spacing w:line="360" w:lineRule="auto"/>
        <w:rPr>
          <w:noProof/>
        </w:rPr>
      </w:pPr>
      <w:hyperlink w:anchor="_Toc355000159" w:history="1">
        <w:r w:rsidR="00C62425" w:rsidRPr="00984C3C">
          <w:rPr>
            <w:rStyle w:val="Hypertextovprepojenie"/>
            <w:noProof/>
          </w:rPr>
          <w:t>Spôsob zadania environmentálnych charakteristík a finančný limit zákaziek</w:t>
        </w:r>
        <w:r w:rsidR="00C62425" w:rsidRPr="00984C3C">
          <w:rPr>
            <w:noProof/>
            <w:webHidden/>
          </w:rPr>
          <w:tab/>
        </w:r>
        <w:r w:rsidR="001C01F2" w:rsidRPr="00984C3C">
          <w:rPr>
            <w:noProof/>
            <w:webHidden/>
          </w:rPr>
          <w:t>16</w:t>
        </w:r>
      </w:hyperlink>
    </w:p>
    <w:p w:rsidR="00C62425" w:rsidRPr="00984C3C" w:rsidRDefault="00817914" w:rsidP="00C62425">
      <w:pPr>
        <w:pStyle w:val="Obsah1"/>
        <w:tabs>
          <w:tab w:val="right" w:leader="dot" w:pos="9060"/>
        </w:tabs>
        <w:spacing w:line="360" w:lineRule="auto"/>
        <w:rPr>
          <w:noProof/>
        </w:rPr>
      </w:pPr>
      <w:hyperlink w:anchor="_Toc355000160" w:history="1">
        <w:r w:rsidR="00C62425" w:rsidRPr="00984C3C">
          <w:rPr>
            <w:rStyle w:val="Hypertextovprepojenie"/>
            <w:noProof/>
          </w:rPr>
          <w:t>Záver</w:t>
        </w:r>
        <w:r w:rsidR="00C62425" w:rsidRPr="00984C3C">
          <w:rPr>
            <w:noProof/>
            <w:webHidden/>
          </w:rPr>
          <w:tab/>
        </w:r>
        <w:r w:rsidR="001C01F2" w:rsidRPr="00984C3C">
          <w:rPr>
            <w:noProof/>
            <w:webHidden/>
          </w:rPr>
          <w:t>18</w:t>
        </w:r>
      </w:hyperlink>
    </w:p>
    <w:p w:rsidR="00C62425" w:rsidRPr="00984C3C" w:rsidRDefault="00817914" w:rsidP="00C62425">
      <w:pPr>
        <w:pStyle w:val="Obsah1"/>
        <w:tabs>
          <w:tab w:val="right" w:leader="dot" w:pos="9060"/>
        </w:tabs>
        <w:spacing w:line="360" w:lineRule="auto"/>
        <w:rPr>
          <w:rStyle w:val="Hypertextovprepojenie"/>
          <w:noProof/>
        </w:rPr>
      </w:pPr>
      <w:hyperlink w:anchor="_Toc355000161" w:history="1">
        <w:r w:rsidR="00C62425" w:rsidRPr="00984C3C">
          <w:rPr>
            <w:rStyle w:val="Hypertextovprepojenie"/>
            <w:noProof/>
          </w:rPr>
          <w:t>Prílohy</w:t>
        </w:r>
        <w:r w:rsidR="00C62425" w:rsidRPr="00984C3C">
          <w:rPr>
            <w:noProof/>
            <w:webHidden/>
          </w:rPr>
          <w:tab/>
        </w:r>
        <w:r w:rsidR="001C01F2" w:rsidRPr="00984C3C">
          <w:rPr>
            <w:noProof/>
            <w:webHidden/>
          </w:rPr>
          <w:t>19</w:t>
        </w:r>
      </w:hyperlink>
    </w:p>
    <w:p w:rsidR="009D1D3C" w:rsidRPr="00984C3C" w:rsidRDefault="00817914" w:rsidP="009D1D3C">
      <w:pPr>
        <w:pStyle w:val="Obsah1"/>
        <w:tabs>
          <w:tab w:val="right" w:leader="dot" w:pos="9060"/>
        </w:tabs>
        <w:spacing w:line="360" w:lineRule="auto"/>
        <w:rPr>
          <w:noProof/>
        </w:rPr>
      </w:pPr>
      <w:hyperlink w:anchor="_Toc355000149" w:history="1">
        <w:r w:rsidR="009D1D3C" w:rsidRPr="00984C3C">
          <w:rPr>
            <w:rStyle w:val="Hypertextovprepojenie"/>
            <w:noProof/>
          </w:rPr>
          <w:t>Zoznam použitých skratiek</w:t>
        </w:r>
        <w:r w:rsidR="009D1D3C" w:rsidRPr="00984C3C">
          <w:rPr>
            <w:noProof/>
            <w:webHidden/>
          </w:rPr>
          <w:tab/>
        </w:r>
        <w:r w:rsidR="001C01F2" w:rsidRPr="00984C3C">
          <w:rPr>
            <w:noProof/>
            <w:webHidden/>
          </w:rPr>
          <w:t>19</w:t>
        </w:r>
      </w:hyperlink>
    </w:p>
    <w:p w:rsidR="009D1D3C" w:rsidRPr="00984C3C" w:rsidRDefault="00817914" w:rsidP="009D1D3C">
      <w:pPr>
        <w:pStyle w:val="Obsah1"/>
        <w:tabs>
          <w:tab w:val="right" w:leader="dot" w:pos="9060"/>
        </w:tabs>
        <w:spacing w:line="360" w:lineRule="auto"/>
      </w:pPr>
      <w:hyperlink w:anchor="_Toc355000150" w:history="1">
        <w:r w:rsidR="009D1D3C" w:rsidRPr="00984C3C">
          <w:rPr>
            <w:rStyle w:val="Hypertextovprepojenie"/>
            <w:noProof/>
          </w:rPr>
          <w:t>Zoznam tabuliek a grafov</w:t>
        </w:r>
        <w:r w:rsidR="009D1D3C" w:rsidRPr="00984C3C">
          <w:rPr>
            <w:noProof/>
            <w:webHidden/>
          </w:rPr>
          <w:tab/>
        </w:r>
        <w:r w:rsidR="001C01F2" w:rsidRPr="00984C3C">
          <w:rPr>
            <w:noProof/>
            <w:webHidden/>
          </w:rPr>
          <w:t>21</w:t>
        </w:r>
      </w:hyperlink>
    </w:p>
    <w:p w:rsidR="00BD22B8" w:rsidRDefault="00C62425" w:rsidP="00C62425">
      <w:r w:rsidRPr="00984C3C">
        <w:fldChar w:fldCharType="end"/>
      </w:r>
    </w:p>
    <w:sectPr w:rsidR="00BD22B8" w:rsidSect="00FE5629">
      <w:footerReference w:type="default" r:id="rId35"/>
      <w:pgSz w:w="11906" w:h="16838"/>
      <w:pgMar w:top="2268"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914" w:rsidRDefault="00817914" w:rsidP="00BD22B8">
      <w:r>
        <w:separator/>
      </w:r>
    </w:p>
  </w:endnote>
  <w:endnote w:type="continuationSeparator" w:id="0">
    <w:p w:rsidR="00817914" w:rsidRDefault="00817914" w:rsidP="00BD2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C3C" w:rsidRPr="00C17BA1" w:rsidRDefault="00984C3C">
    <w:pPr>
      <w:pStyle w:val="Pta"/>
      <w:jc w:val="right"/>
      <w:rPr>
        <w:rFonts w:ascii="Calibri" w:hAnsi="Calibri"/>
        <w:sz w:val="22"/>
        <w:szCs w:val="22"/>
      </w:rPr>
    </w:pPr>
    <w:r w:rsidRPr="00C17BA1">
      <w:rPr>
        <w:rFonts w:ascii="Calibri" w:hAnsi="Calibri"/>
        <w:sz w:val="22"/>
        <w:szCs w:val="22"/>
      </w:rPr>
      <w:fldChar w:fldCharType="begin"/>
    </w:r>
    <w:r w:rsidRPr="00C17BA1">
      <w:rPr>
        <w:rFonts w:ascii="Calibri" w:hAnsi="Calibri"/>
        <w:sz w:val="22"/>
        <w:szCs w:val="22"/>
      </w:rPr>
      <w:instrText xml:space="preserve"> PAGE   \* MERGEFORMAT </w:instrText>
    </w:r>
    <w:r w:rsidRPr="00C17BA1">
      <w:rPr>
        <w:rFonts w:ascii="Calibri" w:hAnsi="Calibri"/>
        <w:sz w:val="22"/>
        <w:szCs w:val="22"/>
      </w:rPr>
      <w:fldChar w:fldCharType="separate"/>
    </w:r>
    <w:r w:rsidR="00D30FD8">
      <w:rPr>
        <w:rFonts w:ascii="Calibri" w:hAnsi="Calibri"/>
        <w:noProof/>
        <w:sz w:val="22"/>
        <w:szCs w:val="22"/>
      </w:rPr>
      <w:t>19</w:t>
    </w:r>
    <w:r w:rsidRPr="00C17BA1">
      <w:rPr>
        <w:rFonts w:ascii="Calibri" w:hAnsi="Calibri"/>
        <w:sz w:val="22"/>
        <w:szCs w:val="22"/>
      </w:rPr>
      <w:fldChar w:fldCharType="end"/>
    </w:r>
  </w:p>
  <w:p w:rsidR="00984C3C" w:rsidRDefault="00984C3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914" w:rsidRDefault="00817914" w:rsidP="00BD22B8">
      <w:r>
        <w:separator/>
      </w:r>
    </w:p>
  </w:footnote>
  <w:footnote w:type="continuationSeparator" w:id="0">
    <w:p w:rsidR="00817914" w:rsidRDefault="00817914" w:rsidP="00BD22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59D"/>
    <w:multiLevelType w:val="hybridMultilevel"/>
    <w:tmpl w:val="F78C74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63A1FAD"/>
    <w:multiLevelType w:val="hybridMultilevel"/>
    <w:tmpl w:val="C2CA55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81A1E52"/>
    <w:multiLevelType w:val="hybridMultilevel"/>
    <w:tmpl w:val="D21C37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D2B10F2"/>
    <w:multiLevelType w:val="hybridMultilevel"/>
    <w:tmpl w:val="0A48DF4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40332D1A"/>
    <w:multiLevelType w:val="hybridMultilevel"/>
    <w:tmpl w:val="0B2877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99C11EF"/>
    <w:multiLevelType w:val="hybridMultilevel"/>
    <w:tmpl w:val="4E9285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6B903906"/>
    <w:multiLevelType w:val="hybridMultilevel"/>
    <w:tmpl w:val="C36E0A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00D"/>
    <w:rsid w:val="001319F6"/>
    <w:rsid w:val="00182E0E"/>
    <w:rsid w:val="001C01F2"/>
    <w:rsid w:val="00265A45"/>
    <w:rsid w:val="002F02DC"/>
    <w:rsid w:val="004E5007"/>
    <w:rsid w:val="005760A5"/>
    <w:rsid w:val="005851FA"/>
    <w:rsid w:val="005A000D"/>
    <w:rsid w:val="005A003C"/>
    <w:rsid w:val="005F2E3F"/>
    <w:rsid w:val="00635052"/>
    <w:rsid w:val="00702E64"/>
    <w:rsid w:val="00744592"/>
    <w:rsid w:val="00817914"/>
    <w:rsid w:val="00871458"/>
    <w:rsid w:val="00984C3C"/>
    <w:rsid w:val="009D1D3C"/>
    <w:rsid w:val="00A47BBB"/>
    <w:rsid w:val="00AC1A31"/>
    <w:rsid w:val="00BC30AF"/>
    <w:rsid w:val="00BD22B8"/>
    <w:rsid w:val="00BE563D"/>
    <w:rsid w:val="00C06902"/>
    <w:rsid w:val="00C62425"/>
    <w:rsid w:val="00D30FD8"/>
    <w:rsid w:val="00DD3762"/>
    <w:rsid w:val="00F45078"/>
    <w:rsid w:val="00FE56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D22B8"/>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BD22B8"/>
    <w:pPr>
      <w:keepNext/>
      <w:spacing w:before="240" w:after="60"/>
      <w:outlineLvl w:val="0"/>
    </w:pPr>
    <w:rPr>
      <w:rFonts w:ascii="Arial" w:hAnsi="Arial" w:cs="Arial"/>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D22B8"/>
    <w:rPr>
      <w:rFonts w:ascii="Arial" w:eastAsia="Times New Roman" w:hAnsi="Arial" w:cs="Arial"/>
      <w:b/>
      <w:bCs/>
      <w:kern w:val="32"/>
      <w:sz w:val="32"/>
      <w:szCs w:val="32"/>
      <w:lang w:eastAsia="sk-SK"/>
    </w:rPr>
  </w:style>
  <w:style w:type="paragraph" w:styleId="Hlavika">
    <w:name w:val="header"/>
    <w:basedOn w:val="Normlny"/>
    <w:link w:val="HlavikaChar"/>
    <w:rsid w:val="00BD22B8"/>
    <w:pPr>
      <w:tabs>
        <w:tab w:val="center" w:pos="4536"/>
        <w:tab w:val="right" w:pos="9072"/>
      </w:tabs>
    </w:pPr>
  </w:style>
  <w:style w:type="character" w:customStyle="1" w:styleId="HlavikaChar">
    <w:name w:val="Hlavička Char"/>
    <w:basedOn w:val="Predvolenpsmoodseku"/>
    <w:link w:val="Hlavika"/>
    <w:rsid w:val="00BD22B8"/>
    <w:rPr>
      <w:rFonts w:ascii="Times New Roman" w:eastAsia="Times New Roman" w:hAnsi="Times New Roman" w:cs="Times New Roman"/>
      <w:sz w:val="24"/>
      <w:szCs w:val="24"/>
      <w:lang w:eastAsia="sk-SK"/>
    </w:rPr>
  </w:style>
  <w:style w:type="paragraph" w:styleId="Pta">
    <w:name w:val="footer"/>
    <w:basedOn w:val="Normlny"/>
    <w:link w:val="PtaChar"/>
    <w:uiPriority w:val="99"/>
    <w:rsid w:val="00BD22B8"/>
    <w:pPr>
      <w:tabs>
        <w:tab w:val="center" w:pos="4536"/>
        <w:tab w:val="right" w:pos="9072"/>
      </w:tabs>
    </w:pPr>
  </w:style>
  <w:style w:type="character" w:customStyle="1" w:styleId="PtaChar">
    <w:name w:val="Päta Char"/>
    <w:basedOn w:val="Predvolenpsmoodseku"/>
    <w:link w:val="Pta"/>
    <w:uiPriority w:val="99"/>
    <w:rsid w:val="00BD22B8"/>
    <w:rPr>
      <w:rFonts w:ascii="Times New Roman" w:eastAsia="Times New Roman" w:hAnsi="Times New Roman" w:cs="Times New Roman"/>
      <w:sz w:val="24"/>
      <w:szCs w:val="24"/>
      <w:lang w:eastAsia="sk-SK"/>
    </w:rPr>
  </w:style>
  <w:style w:type="paragraph" w:styleId="Obsah1">
    <w:name w:val="toc 1"/>
    <w:basedOn w:val="Normlny"/>
    <w:next w:val="Normlny"/>
    <w:autoRedefine/>
    <w:uiPriority w:val="39"/>
    <w:rsid w:val="00BD22B8"/>
  </w:style>
  <w:style w:type="character" w:styleId="Hypertextovprepojenie">
    <w:name w:val="Hyperlink"/>
    <w:basedOn w:val="Predvolenpsmoodseku"/>
    <w:uiPriority w:val="99"/>
    <w:unhideWhenUsed/>
    <w:rsid w:val="00BD22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D22B8"/>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BD22B8"/>
    <w:pPr>
      <w:keepNext/>
      <w:spacing w:before="240" w:after="60"/>
      <w:outlineLvl w:val="0"/>
    </w:pPr>
    <w:rPr>
      <w:rFonts w:ascii="Arial" w:hAnsi="Arial" w:cs="Arial"/>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D22B8"/>
    <w:rPr>
      <w:rFonts w:ascii="Arial" w:eastAsia="Times New Roman" w:hAnsi="Arial" w:cs="Arial"/>
      <w:b/>
      <w:bCs/>
      <w:kern w:val="32"/>
      <w:sz w:val="32"/>
      <w:szCs w:val="32"/>
      <w:lang w:eastAsia="sk-SK"/>
    </w:rPr>
  </w:style>
  <w:style w:type="paragraph" w:styleId="Hlavika">
    <w:name w:val="header"/>
    <w:basedOn w:val="Normlny"/>
    <w:link w:val="HlavikaChar"/>
    <w:rsid w:val="00BD22B8"/>
    <w:pPr>
      <w:tabs>
        <w:tab w:val="center" w:pos="4536"/>
        <w:tab w:val="right" w:pos="9072"/>
      </w:tabs>
    </w:pPr>
  </w:style>
  <w:style w:type="character" w:customStyle="1" w:styleId="HlavikaChar">
    <w:name w:val="Hlavička Char"/>
    <w:basedOn w:val="Predvolenpsmoodseku"/>
    <w:link w:val="Hlavika"/>
    <w:rsid w:val="00BD22B8"/>
    <w:rPr>
      <w:rFonts w:ascii="Times New Roman" w:eastAsia="Times New Roman" w:hAnsi="Times New Roman" w:cs="Times New Roman"/>
      <w:sz w:val="24"/>
      <w:szCs w:val="24"/>
      <w:lang w:eastAsia="sk-SK"/>
    </w:rPr>
  </w:style>
  <w:style w:type="paragraph" w:styleId="Pta">
    <w:name w:val="footer"/>
    <w:basedOn w:val="Normlny"/>
    <w:link w:val="PtaChar"/>
    <w:uiPriority w:val="99"/>
    <w:rsid w:val="00BD22B8"/>
    <w:pPr>
      <w:tabs>
        <w:tab w:val="center" w:pos="4536"/>
        <w:tab w:val="right" w:pos="9072"/>
      </w:tabs>
    </w:pPr>
  </w:style>
  <w:style w:type="character" w:customStyle="1" w:styleId="PtaChar">
    <w:name w:val="Päta Char"/>
    <w:basedOn w:val="Predvolenpsmoodseku"/>
    <w:link w:val="Pta"/>
    <w:uiPriority w:val="99"/>
    <w:rsid w:val="00BD22B8"/>
    <w:rPr>
      <w:rFonts w:ascii="Times New Roman" w:eastAsia="Times New Roman" w:hAnsi="Times New Roman" w:cs="Times New Roman"/>
      <w:sz w:val="24"/>
      <w:szCs w:val="24"/>
      <w:lang w:eastAsia="sk-SK"/>
    </w:rPr>
  </w:style>
  <w:style w:type="paragraph" w:styleId="Obsah1">
    <w:name w:val="toc 1"/>
    <w:basedOn w:val="Normlny"/>
    <w:next w:val="Normlny"/>
    <w:autoRedefine/>
    <w:uiPriority w:val="39"/>
    <w:rsid w:val="00BD22B8"/>
  </w:style>
  <w:style w:type="character" w:styleId="Hypertextovprepojenie">
    <w:name w:val="Hyperlink"/>
    <w:basedOn w:val="Predvolenpsmoodseku"/>
    <w:uiPriority w:val="99"/>
    <w:unhideWhenUsed/>
    <w:rsid w:val="00BD22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Pracovn__h_rok_programu_Microsoft_Excel5.xlsx"/><Relationship Id="rId26" Type="http://schemas.openxmlformats.org/officeDocument/2006/relationships/package" Target="embeddings/Pracovn__h_rok_programu_Microsoft_Excel9.xlsx"/><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package" Target="embeddings/Pracovn__h_rok_programu_Microsoft_Excel13.xlsx"/><Relationship Id="rId7" Type="http://schemas.openxmlformats.org/officeDocument/2006/relationships/footnotes" Target="footnotes.xml"/><Relationship Id="rId12" Type="http://schemas.openxmlformats.org/officeDocument/2006/relationships/package" Target="embeddings/Pracovn__h_rok_programu_Microsoft_Excel2.xls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2" Type="http://schemas.openxmlformats.org/officeDocument/2006/relationships/numbering" Target="numbering.xml"/><Relationship Id="rId16" Type="http://schemas.openxmlformats.org/officeDocument/2006/relationships/package" Target="embeddings/Pracovn__h_rok_programu_Microsoft_Excel4.xlsx"/><Relationship Id="rId20" Type="http://schemas.openxmlformats.org/officeDocument/2006/relationships/package" Target="embeddings/Pracovn__h_rok_programu_Microsoft_Excel6.xlsx"/><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Pracovn__h_rok_programu_Microsoft_Excel8.xlsx"/><Relationship Id="rId32" Type="http://schemas.openxmlformats.org/officeDocument/2006/relationships/package" Target="embeddings/Pracovn__h_rok_programu_Microsoft_Excel12.xlsx"/><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Pracovn__h_rok_programu_Microsoft_Excel10.xlsx"/><Relationship Id="rId36" Type="http://schemas.openxmlformats.org/officeDocument/2006/relationships/fontTable" Target="fontTable.xml"/><Relationship Id="rId10" Type="http://schemas.openxmlformats.org/officeDocument/2006/relationships/package" Target="embeddings/Pracovn__h_rok_programu_Microsoft_Excel1.xlsx"/><Relationship Id="rId19" Type="http://schemas.openxmlformats.org/officeDocument/2006/relationships/image" Target="media/image6.emf"/><Relationship Id="rId31" Type="http://schemas.openxmlformats.org/officeDocument/2006/relationships/image" Target="media/image1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Pracovn__h_rok_programu_Microsoft_Excel3.xlsx"/><Relationship Id="rId22" Type="http://schemas.openxmlformats.org/officeDocument/2006/relationships/package" Target="embeddings/Pracovn__h_rok_programu_Microsoft_Excel7.xlsx"/><Relationship Id="rId27" Type="http://schemas.openxmlformats.org/officeDocument/2006/relationships/image" Target="media/image10.emf"/><Relationship Id="rId30" Type="http://schemas.openxmlformats.org/officeDocument/2006/relationships/package" Target="embeddings/Pracovn__h_rok_programu_Microsoft_Excel11.xlsx"/><Relationship Id="rId35"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C0265-DFDE-435B-8E0C-0D86548CE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22</Pages>
  <Words>4781</Words>
  <Characters>27258</Characters>
  <Application>Microsoft Office Word</Application>
  <DocSecurity>0</DocSecurity>
  <Lines>227</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Záhoranová Soňa</dc:creator>
  <cp:keywords/>
  <dc:description/>
  <cp:lastModifiedBy>Záhoranová Soňa</cp:lastModifiedBy>
  <cp:revision>9</cp:revision>
  <dcterms:created xsi:type="dcterms:W3CDTF">2013-05-02T11:58:00Z</dcterms:created>
  <dcterms:modified xsi:type="dcterms:W3CDTF">2013-06-13T06:54:00Z</dcterms:modified>
</cp:coreProperties>
</file>