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23" w:rsidRPr="006F6A99" w:rsidRDefault="00A80523">
      <w:pPr>
        <w:jc w:val="center"/>
        <w:rPr>
          <w:b/>
          <w:bCs/>
          <w:sz w:val="28"/>
          <w:szCs w:val="28"/>
          <w:lang w:val="sk-SK"/>
        </w:rPr>
      </w:pPr>
      <w:r w:rsidRPr="006F6A99">
        <w:rPr>
          <w:b/>
          <w:bCs/>
          <w:sz w:val="28"/>
          <w:szCs w:val="28"/>
          <w:lang w:val="sk-SK"/>
        </w:rPr>
        <w:t>Vplyvy na rozpočet verejnej správy,</w:t>
      </w:r>
    </w:p>
    <w:p w:rsidR="00A80523" w:rsidRPr="006F6A99" w:rsidRDefault="00A80523">
      <w:pPr>
        <w:jc w:val="center"/>
        <w:rPr>
          <w:b/>
          <w:bCs/>
          <w:sz w:val="28"/>
          <w:szCs w:val="28"/>
          <w:lang w:val="sk-SK"/>
        </w:rPr>
      </w:pPr>
      <w:r w:rsidRPr="006F6A99">
        <w:rPr>
          <w:b/>
          <w:bCs/>
          <w:sz w:val="28"/>
          <w:szCs w:val="28"/>
          <w:lang w:val="sk-SK"/>
        </w:rPr>
        <w:t>na zamestnanosť vo verejnej správe a financovanie návrhu</w:t>
      </w:r>
    </w:p>
    <w:p w:rsidR="00A80523" w:rsidRPr="006F6A99" w:rsidRDefault="00A80523">
      <w:pPr>
        <w:rPr>
          <w:lang w:val="sk-SK"/>
        </w:rPr>
      </w:pPr>
    </w:p>
    <w:p w:rsidR="00A80523" w:rsidRPr="006F6A99" w:rsidRDefault="00A80523">
      <w:pPr>
        <w:rPr>
          <w:b/>
          <w:lang w:val="sk-SK"/>
        </w:rPr>
      </w:pPr>
      <w:r w:rsidRPr="006F6A99">
        <w:rPr>
          <w:b/>
          <w:lang w:val="sk-SK"/>
        </w:rPr>
        <w:t>2.1. Zhrnutie vplyvov na rozpočet verejnej správy v návrhu</w:t>
      </w:r>
    </w:p>
    <w:p w:rsidR="005D1192" w:rsidRDefault="005D1192">
      <w:pPr>
        <w:jc w:val="right"/>
        <w:rPr>
          <w:sz w:val="20"/>
          <w:szCs w:val="20"/>
          <w:lang w:val="sk-SK"/>
        </w:rPr>
      </w:pPr>
      <w:r w:rsidRPr="006F6A99">
        <w:rPr>
          <w:sz w:val="20"/>
          <w:szCs w:val="20"/>
          <w:lang w:val="sk-SK"/>
        </w:rPr>
        <w:t>Tabuľka č. 1</w:t>
      </w:r>
    </w:p>
    <w:tbl>
      <w:tblPr>
        <w:tblW w:w="14962" w:type="dxa"/>
        <w:tblInd w:w="55" w:type="dxa"/>
        <w:tblCellMar>
          <w:left w:w="70" w:type="dxa"/>
          <w:right w:w="70" w:type="dxa"/>
        </w:tblCellMar>
        <w:tblLook w:val="04A0" w:firstRow="1" w:lastRow="0" w:firstColumn="1" w:lastColumn="0" w:noHBand="0" w:noVBand="1"/>
      </w:tblPr>
      <w:tblGrid>
        <w:gridCol w:w="5402"/>
        <w:gridCol w:w="940"/>
        <w:gridCol w:w="1040"/>
        <w:gridCol w:w="1140"/>
        <w:gridCol w:w="1140"/>
        <w:gridCol w:w="1040"/>
        <w:gridCol w:w="1040"/>
        <w:gridCol w:w="1040"/>
        <w:gridCol w:w="1040"/>
        <w:gridCol w:w="1140"/>
      </w:tblGrid>
      <w:tr w:rsidR="003E6560" w:rsidTr="003E6560">
        <w:trPr>
          <w:trHeight w:val="315"/>
        </w:trPr>
        <w:tc>
          <w:tcPr>
            <w:tcW w:w="5402"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Vplyvy na rozpočet verejnej správy</w:t>
            </w:r>
          </w:p>
        </w:tc>
        <w:tc>
          <w:tcPr>
            <w:tcW w:w="9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2013</w:t>
            </w:r>
          </w:p>
        </w:tc>
        <w:tc>
          <w:tcPr>
            <w:tcW w:w="10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2014</w:t>
            </w:r>
          </w:p>
        </w:tc>
        <w:tc>
          <w:tcPr>
            <w:tcW w:w="11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2015</w:t>
            </w:r>
          </w:p>
        </w:tc>
        <w:tc>
          <w:tcPr>
            <w:tcW w:w="11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2016</w:t>
            </w:r>
          </w:p>
        </w:tc>
        <w:tc>
          <w:tcPr>
            <w:tcW w:w="10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2017</w:t>
            </w:r>
          </w:p>
        </w:tc>
        <w:tc>
          <w:tcPr>
            <w:tcW w:w="10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2018</w:t>
            </w:r>
          </w:p>
        </w:tc>
        <w:tc>
          <w:tcPr>
            <w:tcW w:w="1040" w:type="dxa"/>
            <w:tcBorders>
              <w:top w:val="single" w:sz="8" w:space="0" w:color="auto"/>
              <w:left w:val="nil"/>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2019</w:t>
            </w:r>
          </w:p>
        </w:tc>
        <w:tc>
          <w:tcPr>
            <w:tcW w:w="1040" w:type="dxa"/>
            <w:tcBorders>
              <w:top w:val="single" w:sz="8" w:space="0" w:color="auto"/>
              <w:left w:val="nil"/>
              <w:bottom w:val="single" w:sz="8" w:space="0" w:color="auto"/>
              <w:right w:val="nil"/>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2020</w:t>
            </w:r>
          </w:p>
        </w:tc>
        <w:tc>
          <w:tcPr>
            <w:tcW w:w="114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E6560" w:rsidRDefault="003E6560">
            <w:pPr>
              <w:jc w:val="center"/>
              <w:rPr>
                <w:b/>
                <w:bCs/>
                <w:color w:val="FFFFFF"/>
                <w:sz w:val="20"/>
                <w:szCs w:val="20"/>
              </w:rPr>
            </w:pPr>
            <w:r>
              <w:rPr>
                <w:b/>
                <w:bCs/>
                <w:color w:val="FFFFFF"/>
                <w:sz w:val="20"/>
                <w:szCs w:val="20"/>
              </w:rPr>
              <w:t>Spolu</w:t>
            </w:r>
          </w:p>
        </w:tc>
      </w:tr>
      <w:tr w:rsidR="003E6560" w:rsidTr="003E6560">
        <w:trPr>
          <w:trHeight w:val="315"/>
        </w:trPr>
        <w:tc>
          <w:tcPr>
            <w:tcW w:w="5402" w:type="dxa"/>
            <w:tcBorders>
              <w:top w:val="nil"/>
              <w:left w:val="single" w:sz="8" w:space="0" w:color="auto"/>
              <w:bottom w:val="single" w:sz="8" w:space="0" w:color="auto"/>
              <w:right w:val="single" w:sz="8" w:space="0" w:color="auto"/>
            </w:tcBorders>
            <w:shd w:val="clear" w:color="000000" w:fill="D9D9D9"/>
            <w:noWrap/>
            <w:vAlign w:val="center"/>
            <w:hideMark/>
          </w:tcPr>
          <w:p w:rsidR="003E6560" w:rsidRDefault="003E6560">
            <w:pPr>
              <w:rPr>
                <w:b/>
                <w:bCs/>
                <w:color w:val="000000"/>
                <w:sz w:val="20"/>
                <w:szCs w:val="20"/>
              </w:rPr>
            </w:pPr>
            <w:r>
              <w:rPr>
                <w:b/>
                <w:bCs/>
                <w:color w:val="000000"/>
                <w:sz w:val="20"/>
                <w:szCs w:val="20"/>
              </w:rPr>
              <w:t>Výdavky v EUR</w:t>
            </w:r>
          </w:p>
        </w:tc>
        <w:tc>
          <w:tcPr>
            <w:tcW w:w="9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2 933 000</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47 327 119</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81 221 130</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90 878 030</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70 608 392</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63 646 868</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75 309 748</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35 911 143</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b/>
                <w:bCs/>
                <w:color w:val="000000"/>
                <w:sz w:val="20"/>
                <w:szCs w:val="20"/>
              </w:rPr>
            </w:pPr>
            <w:r>
              <w:rPr>
                <w:b/>
                <w:bCs/>
                <w:color w:val="000000"/>
                <w:sz w:val="20"/>
                <w:szCs w:val="20"/>
              </w:rPr>
              <w:t>467 835 428</w:t>
            </w:r>
          </w:p>
        </w:tc>
      </w:tr>
      <w:tr w:rsidR="003E6560" w:rsidTr="003E6560">
        <w:trPr>
          <w:trHeight w:val="315"/>
        </w:trPr>
        <w:tc>
          <w:tcPr>
            <w:tcW w:w="5402" w:type="dxa"/>
            <w:tcBorders>
              <w:top w:val="nil"/>
              <w:left w:val="single" w:sz="8" w:space="0" w:color="auto"/>
              <w:bottom w:val="nil"/>
              <w:right w:val="single" w:sz="8" w:space="0" w:color="auto"/>
            </w:tcBorders>
            <w:shd w:val="clear" w:color="000000" w:fill="D9D9D9"/>
            <w:noWrap/>
            <w:vAlign w:val="center"/>
            <w:hideMark/>
          </w:tcPr>
          <w:p w:rsidR="003E6560" w:rsidRDefault="003E6560">
            <w:pPr>
              <w:rPr>
                <w:color w:val="000000"/>
                <w:sz w:val="20"/>
                <w:szCs w:val="20"/>
              </w:rPr>
            </w:pPr>
            <w:r>
              <w:rPr>
                <w:color w:val="000000"/>
                <w:sz w:val="20"/>
                <w:szCs w:val="20"/>
              </w:rPr>
              <w:t xml:space="preserve">       v tom:</w:t>
            </w:r>
          </w:p>
        </w:tc>
        <w:tc>
          <w:tcPr>
            <w:tcW w:w="9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1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1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c>
          <w:tcPr>
            <w:tcW w:w="1140" w:type="dxa"/>
            <w:tcBorders>
              <w:top w:val="nil"/>
              <w:left w:val="single" w:sz="8" w:space="0" w:color="auto"/>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 </w:t>
            </w:r>
          </w:p>
        </w:tc>
      </w:tr>
      <w:tr w:rsidR="003E6560" w:rsidTr="003E6560">
        <w:trPr>
          <w:trHeight w:val="315"/>
        </w:trPr>
        <w:tc>
          <w:tcPr>
            <w:tcW w:w="540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E6560" w:rsidRDefault="003E6560">
            <w:pPr>
              <w:rPr>
                <w:color w:val="000000"/>
                <w:sz w:val="20"/>
                <w:szCs w:val="20"/>
              </w:rPr>
            </w:pPr>
            <w:r>
              <w:rPr>
                <w:color w:val="000000"/>
                <w:sz w:val="20"/>
                <w:szCs w:val="20"/>
              </w:rPr>
              <w:t xml:space="preserve">           ŠR (fin. národných projektových priorít) – 0900208                      (štátna pomoc</w:t>
            </w:r>
            <w:r w:rsidR="004271D0">
              <w:rPr>
                <w:color w:val="000000"/>
                <w:sz w:val="20"/>
                <w:szCs w:val="20"/>
              </w:rPr>
              <w:t xml:space="preserve"> pre roky 2013 - 2020</w:t>
            </w:r>
            <w:r>
              <w:rPr>
                <w:color w:val="000000"/>
                <w:sz w:val="20"/>
                <w:szCs w:val="20"/>
              </w:rPr>
              <w:t>)</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1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1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0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0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040" w:type="dxa"/>
            <w:tcBorders>
              <w:top w:val="single" w:sz="8" w:space="0" w:color="auto"/>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040" w:type="dxa"/>
            <w:tcBorders>
              <w:top w:val="single" w:sz="8" w:space="0" w:color="auto"/>
              <w:left w:val="nil"/>
              <w:bottom w:val="single" w:sz="8" w:space="0" w:color="auto"/>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1 917 143</w:t>
            </w:r>
          </w:p>
        </w:tc>
        <w:tc>
          <w:tcPr>
            <w:tcW w:w="11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13 420 000</w:t>
            </w:r>
          </w:p>
        </w:tc>
      </w:tr>
      <w:tr w:rsidR="003E6560" w:rsidTr="003E6560">
        <w:trPr>
          <w:trHeight w:val="315"/>
        </w:trPr>
        <w:tc>
          <w:tcPr>
            <w:tcW w:w="5402" w:type="dxa"/>
            <w:tcBorders>
              <w:top w:val="nil"/>
              <w:left w:val="single" w:sz="8" w:space="0" w:color="auto"/>
              <w:bottom w:val="single" w:sz="8" w:space="0" w:color="auto"/>
              <w:right w:val="single" w:sz="8" w:space="0" w:color="auto"/>
            </w:tcBorders>
            <w:shd w:val="clear" w:color="000000" w:fill="D9D9D9"/>
            <w:noWrap/>
            <w:vAlign w:val="center"/>
            <w:hideMark/>
          </w:tcPr>
          <w:p w:rsidR="003E6560" w:rsidRDefault="003E6560">
            <w:pPr>
              <w:rPr>
                <w:color w:val="000000"/>
                <w:sz w:val="20"/>
                <w:szCs w:val="20"/>
              </w:rPr>
            </w:pPr>
            <w:r>
              <w:rPr>
                <w:color w:val="000000"/>
                <w:sz w:val="20"/>
                <w:szCs w:val="20"/>
              </w:rPr>
              <w:t xml:space="preserve">           ŠR (financovanie CNDPs) – 091</w:t>
            </w:r>
            <w:r w:rsidR="004271D0">
              <w:rPr>
                <w:color w:val="000000"/>
                <w:sz w:val="20"/>
                <w:szCs w:val="20"/>
              </w:rPr>
              <w:t>02 - podpora podnikania v poľnohospodárstve – priame platby pre rok 2013; 0CC0101 – priame platby pre rok 2014 - 2020</w:t>
            </w:r>
            <w:r>
              <w:rPr>
                <w:color w:val="000000"/>
                <w:sz w:val="20"/>
                <w:szCs w:val="20"/>
              </w:rPr>
              <w:t xml:space="preserve"> </w:t>
            </w:r>
          </w:p>
        </w:tc>
        <w:tc>
          <w:tcPr>
            <w:tcW w:w="9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1 600 000</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3 319 726</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10 134 487</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19 006 137</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27 827 749</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32 804 725</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40 978 605</w:t>
            </w:r>
          </w:p>
        </w:tc>
        <w:tc>
          <w:tcPr>
            <w:tcW w:w="1040" w:type="dxa"/>
            <w:tcBorders>
              <w:top w:val="nil"/>
              <w:left w:val="nil"/>
              <w:bottom w:val="single" w:sz="8" w:space="0" w:color="auto"/>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0</w:t>
            </w:r>
          </w:p>
        </w:tc>
        <w:tc>
          <w:tcPr>
            <w:tcW w:w="1140" w:type="dxa"/>
            <w:tcBorders>
              <w:top w:val="nil"/>
              <w:left w:val="single" w:sz="8" w:space="0" w:color="auto"/>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135 671 428</w:t>
            </w:r>
          </w:p>
        </w:tc>
      </w:tr>
      <w:tr w:rsidR="003E6560" w:rsidTr="003E6560">
        <w:trPr>
          <w:trHeight w:val="315"/>
        </w:trPr>
        <w:tc>
          <w:tcPr>
            <w:tcW w:w="5402" w:type="dxa"/>
            <w:tcBorders>
              <w:top w:val="nil"/>
              <w:left w:val="single" w:sz="8" w:space="0" w:color="auto"/>
              <w:bottom w:val="single" w:sz="8" w:space="0" w:color="auto"/>
              <w:right w:val="single" w:sz="8" w:space="0" w:color="auto"/>
            </w:tcBorders>
            <w:shd w:val="clear" w:color="000000" w:fill="D9D9D9"/>
            <w:noWrap/>
            <w:vAlign w:val="center"/>
            <w:hideMark/>
          </w:tcPr>
          <w:p w:rsidR="003E6560" w:rsidRDefault="003E6560">
            <w:pPr>
              <w:rPr>
                <w:color w:val="000000"/>
                <w:sz w:val="20"/>
                <w:szCs w:val="20"/>
              </w:rPr>
            </w:pPr>
            <w:r>
              <w:rPr>
                <w:color w:val="000000"/>
                <w:sz w:val="20"/>
                <w:szCs w:val="20"/>
              </w:rPr>
              <w:t xml:space="preserve">           EU fin. PRV 2014 - 2020  (odhad 75,145% ) </w:t>
            </w:r>
            <w:r w:rsidR="004271D0">
              <w:rPr>
                <w:color w:val="000000"/>
                <w:sz w:val="20"/>
                <w:szCs w:val="20"/>
              </w:rPr>
              <w:t>–</w:t>
            </w:r>
            <w:r>
              <w:rPr>
                <w:color w:val="000000"/>
                <w:sz w:val="20"/>
                <w:szCs w:val="20"/>
              </w:rPr>
              <w:t xml:space="preserve"> 092</w:t>
            </w:r>
            <w:r w:rsidR="002121B8">
              <w:rPr>
                <w:color w:val="000000"/>
                <w:sz w:val="20"/>
                <w:szCs w:val="20"/>
              </w:rPr>
              <w:t>*</w:t>
            </w:r>
            <w:r w:rsidR="004271D0">
              <w:rPr>
                <w:color w:val="000000"/>
                <w:sz w:val="20"/>
                <w:szCs w:val="20"/>
              </w:rPr>
              <w:t xml:space="preserve"> – rozvoj vidieka pre rok 2013; 0CD0101 PRV SR 2014 - 2020</w:t>
            </w:r>
          </w:p>
        </w:tc>
        <w:tc>
          <w:tcPr>
            <w:tcW w:w="9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1 001 683</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31 628 718</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51 977 421</w:t>
            </w:r>
          </w:p>
        </w:tc>
        <w:tc>
          <w:tcPr>
            <w:tcW w:w="11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52 567 497</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30 706 877</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21 735 691</w:t>
            </w:r>
          </w:p>
        </w:tc>
        <w:tc>
          <w:tcPr>
            <w:tcW w:w="1040" w:type="dxa"/>
            <w:tcBorders>
              <w:top w:val="nil"/>
              <w:left w:val="nil"/>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24 357 500</w:t>
            </w:r>
          </w:p>
        </w:tc>
        <w:tc>
          <w:tcPr>
            <w:tcW w:w="1040" w:type="dxa"/>
            <w:tcBorders>
              <w:top w:val="nil"/>
              <w:left w:val="nil"/>
              <w:bottom w:val="single" w:sz="8" w:space="0" w:color="auto"/>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25 544 791</w:t>
            </w:r>
          </w:p>
        </w:tc>
        <w:tc>
          <w:tcPr>
            <w:tcW w:w="1140" w:type="dxa"/>
            <w:tcBorders>
              <w:top w:val="nil"/>
              <w:left w:val="single" w:sz="8" w:space="0" w:color="auto"/>
              <w:bottom w:val="single" w:sz="8" w:space="0" w:color="auto"/>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239 520 179</w:t>
            </w:r>
          </w:p>
        </w:tc>
      </w:tr>
      <w:tr w:rsidR="003E6560" w:rsidTr="003E6560">
        <w:trPr>
          <w:trHeight w:val="315"/>
        </w:trPr>
        <w:tc>
          <w:tcPr>
            <w:tcW w:w="5402" w:type="dxa"/>
            <w:tcBorders>
              <w:top w:val="nil"/>
              <w:left w:val="single" w:sz="8" w:space="0" w:color="auto"/>
              <w:bottom w:val="nil"/>
              <w:right w:val="single" w:sz="8" w:space="0" w:color="auto"/>
            </w:tcBorders>
            <w:shd w:val="clear" w:color="000000" w:fill="D9D9D9"/>
            <w:noWrap/>
            <w:vAlign w:val="center"/>
            <w:hideMark/>
          </w:tcPr>
          <w:p w:rsidR="003E6560" w:rsidRDefault="003E6560">
            <w:pPr>
              <w:rPr>
                <w:color w:val="000000"/>
                <w:sz w:val="20"/>
                <w:szCs w:val="20"/>
              </w:rPr>
            </w:pPr>
            <w:r>
              <w:rPr>
                <w:color w:val="000000"/>
                <w:sz w:val="20"/>
                <w:szCs w:val="20"/>
              </w:rPr>
              <w:t xml:space="preserve">           ŠR spolufin. PRV 2014 - 2020  (odhad 24,855% ) </w:t>
            </w:r>
            <w:r w:rsidR="004271D0">
              <w:rPr>
                <w:color w:val="000000"/>
                <w:sz w:val="20"/>
                <w:szCs w:val="20"/>
              </w:rPr>
              <w:t>– 092</w:t>
            </w:r>
            <w:r w:rsidR="002121B8">
              <w:rPr>
                <w:color w:val="000000"/>
                <w:sz w:val="20"/>
                <w:szCs w:val="20"/>
              </w:rPr>
              <w:t>*</w:t>
            </w:r>
            <w:r w:rsidR="004271D0">
              <w:rPr>
                <w:color w:val="000000"/>
                <w:sz w:val="20"/>
                <w:szCs w:val="20"/>
              </w:rPr>
              <w:t xml:space="preserve"> – rozvoj vidieka pre rok 2013; 0CD0101 PRV SR 2014 - 2020</w:t>
            </w:r>
          </w:p>
        </w:tc>
        <w:tc>
          <w:tcPr>
            <w:tcW w:w="9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331 317</w:t>
            </w:r>
          </w:p>
        </w:tc>
        <w:tc>
          <w:tcPr>
            <w:tcW w:w="10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10 461 532</w:t>
            </w:r>
          </w:p>
        </w:tc>
        <w:tc>
          <w:tcPr>
            <w:tcW w:w="11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17 192 079</w:t>
            </w:r>
          </w:p>
        </w:tc>
        <w:tc>
          <w:tcPr>
            <w:tcW w:w="11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17 387 253</w:t>
            </w:r>
          </w:p>
        </w:tc>
        <w:tc>
          <w:tcPr>
            <w:tcW w:w="10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10 156 623</w:t>
            </w:r>
          </w:p>
        </w:tc>
        <w:tc>
          <w:tcPr>
            <w:tcW w:w="10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7 189 309</w:t>
            </w:r>
          </w:p>
        </w:tc>
        <w:tc>
          <w:tcPr>
            <w:tcW w:w="1040" w:type="dxa"/>
            <w:tcBorders>
              <w:top w:val="nil"/>
              <w:left w:val="nil"/>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8 056 500</w:t>
            </w:r>
          </w:p>
        </w:tc>
        <w:tc>
          <w:tcPr>
            <w:tcW w:w="1040" w:type="dxa"/>
            <w:tcBorders>
              <w:top w:val="nil"/>
              <w:left w:val="nil"/>
              <w:bottom w:val="nil"/>
              <w:right w:val="nil"/>
            </w:tcBorders>
            <w:shd w:val="clear" w:color="000000" w:fill="D9D9D9"/>
            <w:noWrap/>
            <w:vAlign w:val="center"/>
            <w:hideMark/>
          </w:tcPr>
          <w:p w:rsidR="003E6560" w:rsidRDefault="003E6560">
            <w:pPr>
              <w:jc w:val="right"/>
              <w:rPr>
                <w:color w:val="000000"/>
                <w:sz w:val="20"/>
                <w:szCs w:val="20"/>
              </w:rPr>
            </w:pPr>
            <w:r>
              <w:rPr>
                <w:color w:val="000000"/>
                <w:sz w:val="20"/>
                <w:szCs w:val="20"/>
              </w:rPr>
              <w:t>8 449 209</w:t>
            </w:r>
          </w:p>
        </w:tc>
        <w:tc>
          <w:tcPr>
            <w:tcW w:w="1140" w:type="dxa"/>
            <w:tcBorders>
              <w:top w:val="nil"/>
              <w:left w:val="single" w:sz="8" w:space="0" w:color="auto"/>
              <w:bottom w:val="nil"/>
              <w:right w:val="single" w:sz="8" w:space="0" w:color="auto"/>
            </w:tcBorders>
            <w:shd w:val="clear" w:color="000000" w:fill="D9D9D9"/>
            <w:noWrap/>
            <w:vAlign w:val="center"/>
            <w:hideMark/>
          </w:tcPr>
          <w:p w:rsidR="003E6560" w:rsidRDefault="003E6560">
            <w:pPr>
              <w:jc w:val="right"/>
              <w:rPr>
                <w:color w:val="000000"/>
                <w:sz w:val="20"/>
                <w:szCs w:val="20"/>
              </w:rPr>
            </w:pPr>
            <w:r>
              <w:rPr>
                <w:color w:val="000000"/>
                <w:sz w:val="20"/>
                <w:szCs w:val="20"/>
              </w:rPr>
              <w:t>79 223 821</w:t>
            </w:r>
          </w:p>
        </w:tc>
      </w:tr>
      <w:tr w:rsidR="003E6560" w:rsidTr="003E6560">
        <w:trPr>
          <w:trHeight w:val="315"/>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6560" w:rsidRDefault="003E6560">
            <w:pPr>
              <w:rPr>
                <w:b/>
                <w:bCs/>
                <w:color w:val="000000"/>
                <w:sz w:val="20"/>
                <w:szCs w:val="20"/>
              </w:rPr>
            </w:pPr>
            <w:r>
              <w:rPr>
                <w:b/>
                <w:bCs/>
                <w:color w:val="000000"/>
                <w:sz w:val="20"/>
                <w:szCs w:val="20"/>
              </w:rPr>
              <w:t>Financovanie zabezpečené v EUR</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2 933 000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42 090 250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69 169 500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69 954 750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40 863 500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28 925 000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32 414 000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33 994 000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3E6560" w:rsidRDefault="003E6560">
            <w:pPr>
              <w:jc w:val="right"/>
              <w:rPr>
                <w:b/>
                <w:bCs/>
                <w:color w:val="000000"/>
                <w:sz w:val="20"/>
                <w:szCs w:val="20"/>
              </w:rPr>
            </w:pPr>
            <w:r>
              <w:rPr>
                <w:b/>
                <w:bCs/>
                <w:color w:val="000000"/>
                <w:sz w:val="20"/>
                <w:szCs w:val="20"/>
              </w:rPr>
              <w:t>320 344 000</w:t>
            </w:r>
          </w:p>
        </w:tc>
      </w:tr>
      <w:tr w:rsidR="003E6560" w:rsidTr="003E6560">
        <w:trPr>
          <w:trHeight w:val="315"/>
        </w:trPr>
        <w:tc>
          <w:tcPr>
            <w:tcW w:w="5402" w:type="dxa"/>
            <w:tcBorders>
              <w:top w:val="nil"/>
              <w:left w:val="single" w:sz="8" w:space="0" w:color="auto"/>
              <w:bottom w:val="nil"/>
              <w:right w:val="single" w:sz="8" w:space="0" w:color="auto"/>
            </w:tcBorders>
            <w:shd w:val="clear" w:color="auto" w:fill="auto"/>
            <w:noWrap/>
            <w:vAlign w:val="center"/>
            <w:hideMark/>
          </w:tcPr>
          <w:p w:rsidR="003E6560" w:rsidRDefault="003E6560">
            <w:pPr>
              <w:rPr>
                <w:color w:val="000000"/>
                <w:sz w:val="20"/>
                <w:szCs w:val="20"/>
              </w:rPr>
            </w:pPr>
            <w:r>
              <w:rPr>
                <w:color w:val="000000"/>
                <w:sz w:val="20"/>
                <w:szCs w:val="20"/>
              </w:rPr>
              <w:t xml:space="preserve">       v tom:</w:t>
            </w:r>
          </w:p>
        </w:tc>
        <w:tc>
          <w:tcPr>
            <w:tcW w:w="9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0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1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1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0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0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0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040" w:type="dxa"/>
            <w:tcBorders>
              <w:top w:val="nil"/>
              <w:left w:val="nil"/>
              <w:bottom w:val="nil"/>
              <w:right w:val="nil"/>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c>
          <w:tcPr>
            <w:tcW w:w="1140" w:type="dxa"/>
            <w:tcBorders>
              <w:top w:val="nil"/>
              <w:left w:val="single" w:sz="8" w:space="0" w:color="auto"/>
              <w:bottom w:val="nil"/>
              <w:right w:val="single" w:sz="8" w:space="0" w:color="auto"/>
            </w:tcBorders>
            <w:shd w:val="clear" w:color="auto" w:fill="auto"/>
            <w:noWrap/>
            <w:vAlign w:val="center"/>
            <w:hideMark/>
          </w:tcPr>
          <w:p w:rsidR="003E6560" w:rsidRDefault="003E6560">
            <w:pPr>
              <w:rPr>
                <w:color w:val="000000"/>
                <w:sz w:val="20"/>
                <w:szCs w:val="20"/>
              </w:rPr>
            </w:pPr>
            <w:r>
              <w:rPr>
                <w:color w:val="000000"/>
                <w:sz w:val="20"/>
                <w:szCs w:val="20"/>
              </w:rPr>
              <w:t xml:space="preserve"> </w:t>
            </w:r>
          </w:p>
        </w:tc>
      </w:tr>
      <w:tr w:rsidR="004271D0" w:rsidTr="003E6560">
        <w:trPr>
          <w:trHeight w:val="315"/>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1D0" w:rsidRDefault="004271D0" w:rsidP="00E70DA5">
            <w:pPr>
              <w:rPr>
                <w:color w:val="000000"/>
                <w:sz w:val="20"/>
                <w:szCs w:val="20"/>
              </w:rPr>
            </w:pPr>
            <w:r>
              <w:rPr>
                <w:color w:val="000000"/>
                <w:sz w:val="20"/>
                <w:szCs w:val="20"/>
              </w:rPr>
              <w:t xml:space="preserve">           ŠR (fin. národných projektových priorít) – 0900208                      (štátna pomoc pre roky 2013 - 2020)</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single" w:sz="8" w:space="0" w:color="auto"/>
              <w:left w:val="nil"/>
              <w:bottom w:val="single" w:sz="8" w:space="0" w:color="auto"/>
              <w:right w:val="nil"/>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r>
      <w:tr w:rsidR="004271D0" w:rsidTr="003E6560">
        <w:trPr>
          <w:trHeight w:val="315"/>
        </w:trPr>
        <w:tc>
          <w:tcPr>
            <w:tcW w:w="5402"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rsidP="00E70DA5">
            <w:pPr>
              <w:rPr>
                <w:color w:val="000000"/>
                <w:sz w:val="20"/>
                <w:szCs w:val="20"/>
              </w:rPr>
            </w:pPr>
            <w:r>
              <w:rPr>
                <w:color w:val="000000"/>
                <w:sz w:val="20"/>
                <w:szCs w:val="20"/>
              </w:rPr>
              <w:t xml:space="preserve">           ŠR (financovanie CNDPs) – 09102 - podpora podnikania v poľnohospodárstve – priame platby pre rok 2013; 0CC0101 – priame platby pre rok 2014 - 2020 </w:t>
            </w:r>
          </w:p>
        </w:tc>
        <w:tc>
          <w:tcPr>
            <w:tcW w:w="9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1 600 000</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040" w:type="dxa"/>
            <w:tcBorders>
              <w:top w:val="nil"/>
              <w:left w:val="nil"/>
              <w:bottom w:val="single" w:sz="8" w:space="0" w:color="auto"/>
              <w:right w:val="nil"/>
            </w:tcBorders>
            <w:shd w:val="clear" w:color="auto" w:fill="auto"/>
            <w:noWrap/>
            <w:vAlign w:val="center"/>
            <w:hideMark/>
          </w:tcPr>
          <w:p w:rsidR="004271D0" w:rsidRDefault="004271D0">
            <w:pPr>
              <w:jc w:val="right"/>
              <w:rPr>
                <w:color w:val="000000"/>
                <w:sz w:val="20"/>
                <w:szCs w:val="20"/>
              </w:rPr>
            </w:pPr>
            <w:r>
              <w:rPr>
                <w:color w:val="000000"/>
                <w:sz w:val="20"/>
                <w:szCs w:val="20"/>
              </w:rPr>
              <w:t>0</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1 600 000</w:t>
            </w:r>
          </w:p>
        </w:tc>
      </w:tr>
      <w:tr w:rsidR="004271D0" w:rsidTr="003E6560">
        <w:trPr>
          <w:trHeight w:val="315"/>
        </w:trPr>
        <w:tc>
          <w:tcPr>
            <w:tcW w:w="5402"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rsidP="00E70DA5">
            <w:pPr>
              <w:rPr>
                <w:color w:val="000000"/>
                <w:sz w:val="20"/>
                <w:szCs w:val="20"/>
              </w:rPr>
            </w:pPr>
            <w:r>
              <w:rPr>
                <w:color w:val="000000"/>
                <w:sz w:val="20"/>
                <w:szCs w:val="20"/>
              </w:rPr>
              <w:t xml:space="preserve">           EU fin. PRV 2014 - 2020  (odhad 75,145% ) – 092</w:t>
            </w:r>
            <w:r w:rsidR="002121B8">
              <w:rPr>
                <w:color w:val="000000"/>
                <w:sz w:val="20"/>
                <w:szCs w:val="20"/>
              </w:rPr>
              <w:t>*</w:t>
            </w:r>
            <w:r>
              <w:rPr>
                <w:color w:val="000000"/>
                <w:sz w:val="20"/>
                <w:szCs w:val="20"/>
              </w:rPr>
              <w:t xml:space="preserve"> – rozvoj vidieka pre rok 2013; 0CD0101 PRV SR 2014 - 2020</w:t>
            </w:r>
          </w:p>
        </w:tc>
        <w:tc>
          <w:tcPr>
            <w:tcW w:w="9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1 001 683</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31 628 718</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51 977 421</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52 567 497</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30 706 877</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21 735 691</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24 357 500</w:t>
            </w:r>
          </w:p>
        </w:tc>
        <w:tc>
          <w:tcPr>
            <w:tcW w:w="1040" w:type="dxa"/>
            <w:tcBorders>
              <w:top w:val="nil"/>
              <w:left w:val="nil"/>
              <w:bottom w:val="single" w:sz="8" w:space="0" w:color="auto"/>
              <w:right w:val="nil"/>
            </w:tcBorders>
            <w:shd w:val="clear" w:color="auto" w:fill="auto"/>
            <w:noWrap/>
            <w:vAlign w:val="center"/>
            <w:hideMark/>
          </w:tcPr>
          <w:p w:rsidR="004271D0" w:rsidRDefault="004271D0">
            <w:pPr>
              <w:jc w:val="right"/>
              <w:rPr>
                <w:color w:val="000000"/>
                <w:sz w:val="20"/>
                <w:szCs w:val="20"/>
              </w:rPr>
            </w:pPr>
            <w:r>
              <w:rPr>
                <w:color w:val="000000"/>
                <w:sz w:val="20"/>
                <w:szCs w:val="20"/>
              </w:rPr>
              <w:t>25 544 791</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239 520 179</w:t>
            </w:r>
          </w:p>
        </w:tc>
      </w:tr>
      <w:tr w:rsidR="004271D0" w:rsidTr="003E6560">
        <w:trPr>
          <w:trHeight w:val="315"/>
        </w:trPr>
        <w:tc>
          <w:tcPr>
            <w:tcW w:w="5402"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rsidP="00E70DA5">
            <w:pPr>
              <w:rPr>
                <w:color w:val="000000"/>
                <w:sz w:val="20"/>
                <w:szCs w:val="20"/>
              </w:rPr>
            </w:pPr>
            <w:r>
              <w:rPr>
                <w:color w:val="000000"/>
                <w:sz w:val="20"/>
                <w:szCs w:val="20"/>
              </w:rPr>
              <w:t xml:space="preserve">           ŠR spolufin. PRV 2014 - 2020  (odhad 24,855% ) – 092</w:t>
            </w:r>
            <w:r w:rsidR="002121B8">
              <w:rPr>
                <w:color w:val="000000"/>
                <w:sz w:val="20"/>
                <w:szCs w:val="20"/>
              </w:rPr>
              <w:t>*</w:t>
            </w:r>
            <w:r>
              <w:rPr>
                <w:color w:val="000000"/>
                <w:sz w:val="20"/>
                <w:szCs w:val="20"/>
              </w:rPr>
              <w:t xml:space="preserve"> – rozvoj vidieka pre rok 2013; 0CD0101 PRV SR 2014 - 2020</w:t>
            </w:r>
          </w:p>
        </w:tc>
        <w:tc>
          <w:tcPr>
            <w:tcW w:w="9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331 317</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10 461 532</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17 192 079</w:t>
            </w:r>
          </w:p>
        </w:tc>
        <w:tc>
          <w:tcPr>
            <w:tcW w:w="11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17 387 253</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10 156 623</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7 189 309</w:t>
            </w:r>
          </w:p>
        </w:tc>
        <w:tc>
          <w:tcPr>
            <w:tcW w:w="1040" w:type="dxa"/>
            <w:tcBorders>
              <w:top w:val="nil"/>
              <w:left w:val="nil"/>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8 056 500</w:t>
            </w:r>
          </w:p>
        </w:tc>
        <w:tc>
          <w:tcPr>
            <w:tcW w:w="1040" w:type="dxa"/>
            <w:tcBorders>
              <w:top w:val="nil"/>
              <w:left w:val="nil"/>
              <w:bottom w:val="single" w:sz="8" w:space="0" w:color="auto"/>
              <w:right w:val="nil"/>
            </w:tcBorders>
            <w:shd w:val="clear" w:color="auto" w:fill="auto"/>
            <w:noWrap/>
            <w:vAlign w:val="center"/>
            <w:hideMark/>
          </w:tcPr>
          <w:p w:rsidR="004271D0" w:rsidRDefault="004271D0">
            <w:pPr>
              <w:jc w:val="right"/>
              <w:rPr>
                <w:color w:val="000000"/>
                <w:sz w:val="20"/>
                <w:szCs w:val="20"/>
              </w:rPr>
            </w:pPr>
            <w:r>
              <w:rPr>
                <w:color w:val="000000"/>
                <w:sz w:val="20"/>
                <w:szCs w:val="20"/>
              </w:rPr>
              <w:t>8 449 209</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4271D0" w:rsidRDefault="004271D0">
            <w:pPr>
              <w:jc w:val="right"/>
              <w:rPr>
                <w:color w:val="000000"/>
                <w:sz w:val="20"/>
                <w:szCs w:val="20"/>
              </w:rPr>
            </w:pPr>
            <w:r>
              <w:rPr>
                <w:color w:val="000000"/>
                <w:sz w:val="20"/>
                <w:szCs w:val="20"/>
              </w:rPr>
              <w:t>79 223 821</w:t>
            </w:r>
          </w:p>
        </w:tc>
      </w:tr>
    </w:tbl>
    <w:p w:rsidR="00301007" w:rsidRPr="002121B8" w:rsidRDefault="002121B8" w:rsidP="00301007">
      <w:pPr>
        <w:jc w:val="both"/>
        <w:rPr>
          <w:sz w:val="20"/>
          <w:szCs w:val="20"/>
          <w:lang w:val="sk-SK"/>
        </w:rPr>
      </w:pPr>
      <w:r w:rsidRPr="002121B8">
        <w:rPr>
          <w:sz w:val="20"/>
          <w:szCs w:val="20"/>
          <w:lang w:val="sk-SK"/>
        </w:rPr>
        <w:t>*v rámci programu 092 – rozvoj vidieka sú zahrnuté všetky prvky programovej štruktúry kapitoly MPRV SR; presná špecifikácia výdavkov v rámci jednotlivých prvkov nie je možná vzhľadom k tomu že sa výdavky realizujú na základe schválených projektov žiadateľov v jednotlivých oblastiach.</w:t>
      </w:r>
    </w:p>
    <w:p w:rsidR="002121B8" w:rsidRDefault="002121B8" w:rsidP="00301007">
      <w:pPr>
        <w:jc w:val="both"/>
        <w:rPr>
          <w:b/>
          <w:lang w:val="sk-SK"/>
        </w:rPr>
      </w:pPr>
    </w:p>
    <w:p w:rsidR="00D505AD" w:rsidRDefault="00301007" w:rsidP="005D1192">
      <w:pPr>
        <w:jc w:val="both"/>
        <w:rPr>
          <w:lang w:val="sk-SK"/>
        </w:rPr>
      </w:pPr>
      <w:r w:rsidRPr="00692208">
        <w:rPr>
          <w:b/>
          <w:lang w:val="sk-SK"/>
        </w:rPr>
        <w:t xml:space="preserve">Spolufinancovanie PRV v položke </w:t>
      </w:r>
      <w:r>
        <w:rPr>
          <w:b/>
          <w:lang w:val="sk-SK"/>
        </w:rPr>
        <w:t>výdavkov</w:t>
      </w:r>
      <w:r w:rsidRPr="00692208">
        <w:rPr>
          <w:b/>
          <w:lang w:val="sk-SK"/>
        </w:rPr>
        <w:t xml:space="preserve"> ŠR</w:t>
      </w:r>
      <w:r>
        <w:rPr>
          <w:lang w:val="sk-SK"/>
        </w:rPr>
        <w:t xml:space="preserve"> znamená časť spolufinancovania programu rozvoja vidieka SR na roky 2014 – 2020, ktoré sa viaže k financovaniu priorít koncepcie rozvoja pôdohospodárstva. Táto čiastka je rozpočtovaná v štátnom rozpočte ako časť z celkovej sumy spolufinancovania PRV SR na roky 2014 – 2020. Zníženie absolútneho objemu spolufinancovania </w:t>
      </w:r>
      <w:r w:rsidR="006B063E">
        <w:rPr>
          <w:lang w:val="sk-SK"/>
        </w:rPr>
        <w:t xml:space="preserve">PRV SR 2014 – 2020, </w:t>
      </w:r>
      <w:r>
        <w:rPr>
          <w:lang w:val="sk-SK"/>
        </w:rPr>
        <w:t>z dôvodu presunu</w:t>
      </w:r>
      <w:r w:rsidR="006B063E">
        <w:rPr>
          <w:lang w:val="sk-SK"/>
        </w:rPr>
        <w:t xml:space="preserve"> 25% z finančných prostried</w:t>
      </w:r>
      <w:r>
        <w:rPr>
          <w:lang w:val="sk-SK"/>
        </w:rPr>
        <w:t>ko</w:t>
      </w:r>
      <w:bookmarkStart w:id="0" w:name="_GoBack"/>
      <w:bookmarkEnd w:id="0"/>
      <w:r>
        <w:rPr>
          <w:lang w:val="sk-SK"/>
        </w:rPr>
        <w:t>v z II. piliera do I. piliera, znamená úsporu výdavkov ŠR vo výške 134,07 mil. EUR.</w:t>
      </w:r>
      <w:r w:rsidR="006B063E">
        <w:rPr>
          <w:lang w:val="sk-SK"/>
        </w:rPr>
        <w:t xml:space="preserve"> </w:t>
      </w:r>
      <w:r>
        <w:rPr>
          <w:lang w:val="sk-SK"/>
        </w:rPr>
        <w:t>Táto čiastka</w:t>
      </w:r>
      <w:r w:rsidR="00776C9D">
        <w:rPr>
          <w:lang w:val="sk-SK"/>
        </w:rPr>
        <w:t xml:space="preserve"> by bola</w:t>
      </w:r>
      <w:r>
        <w:rPr>
          <w:lang w:val="sk-SK"/>
        </w:rPr>
        <w:t>,</w:t>
      </w:r>
      <w:r w:rsidR="00776C9D">
        <w:rPr>
          <w:lang w:val="sk-SK"/>
        </w:rPr>
        <w:t xml:space="preserve"> </w:t>
      </w:r>
      <w:r>
        <w:rPr>
          <w:lang w:val="sk-SK"/>
        </w:rPr>
        <w:t>v prípade neuskutočnenia presunu, použitá</w:t>
      </w:r>
      <w:r w:rsidR="00776C9D">
        <w:rPr>
          <w:lang w:val="sk-SK"/>
        </w:rPr>
        <w:t xml:space="preserve"> na spolufinancovanie II. piliera PRV SR 2014 </w:t>
      </w:r>
      <w:r>
        <w:rPr>
          <w:lang w:val="sk-SK"/>
        </w:rPr>
        <w:t>–</w:t>
      </w:r>
      <w:r w:rsidR="00776C9D">
        <w:rPr>
          <w:lang w:val="sk-SK"/>
        </w:rPr>
        <w:t xml:space="preserve"> 2020</w:t>
      </w:r>
      <w:r>
        <w:rPr>
          <w:lang w:val="sk-SK"/>
        </w:rPr>
        <w:t>. Z tohto dôvodu</w:t>
      </w:r>
      <w:r w:rsidR="006B063E">
        <w:rPr>
          <w:lang w:val="sk-SK"/>
        </w:rPr>
        <w:t xml:space="preserve"> by sa </w:t>
      </w:r>
      <w:r>
        <w:rPr>
          <w:lang w:val="sk-SK"/>
        </w:rPr>
        <w:t xml:space="preserve">teda </w:t>
      </w:r>
      <w:r w:rsidR="006B063E">
        <w:rPr>
          <w:lang w:val="sk-SK"/>
        </w:rPr>
        <w:t xml:space="preserve">mala použiť na financovanie CNDPs počas programového obdobia 2014 – 2020.  </w:t>
      </w:r>
      <w:r w:rsidR="00692208">
        <w:rPr>
          <w:lang w:val="sk-SK"/>
        </w:rPr>
        <w:t>Čiastka 134</w:t>
      </w:r>
      <w:r>
        <w:rPr>
          <w:lang w:val="sk-SK"/>
        </w:rPr>
        <w:t>,07</w:t>
      </w:r>
      <w:r w:rsidR="00692208">
        <w:rPr>
          <w:lang w:val="sk-SK"/>
        </w:rPr>
        <w:t xml:space="preserve"> mil. EUR </w:t>
      </w:r>
      <w:r>
        <w:rPr>
          <w:lang w:val="sk-SK"/>
        </w:rPr>
        <w:t xml:space="preserve">takto </w:t>
      </w:r>
      <w:r w:rsidR="00692208">
        <w:rPr>
          <w:lang w:val="sk-SK"/>
        </w:rPr>
        <w:t xml:space="preserve">predstavuje celkovú úsporu finančných prostriedkov z titulu </w:t>
      </w:r>
      <w:r w:rsidR="00692208">
        <w:rPr>
          <w:lang w:val="sk-SK"/>
        </w:rPr>
        <w:lastRenderedPageBreak/>
        <w:t>presunu 25% finančných prostriedkov z II. do I. piliera, a to za celé obdobie 2014 -2020.</w:t>
      </w:r>
      <w:r>
        <w:rPr>
          <w:lang w:val="sk-SK"/>
        </w:rPr>
        <w:t xml:space="preserve"> Z dôvodu navrhovania zmeny účelu viazania finančných prostriedkov vo výške 134,07 mil. EUR identifikujeme túto sumu ako prechodne nekrytú v štátnom rozpočte.</w:t>
      </w:r>
    </w:p>
    <w:p w:rsidR="00301007" w:rsidRPr="005D1192" w:rsidRDefault="00301007" w:rsidP="005D1192">
      <w:pPr>
        <w:jc w:val="both"/>
        <w:rPr>
          <w:lang w:val="sk-SK"/>
        </w:rPr>
      </w:pPr>
    </w:p>
    <w:p w:rsidR="00A80523" w:rsidRDefault="00A80523">
      <w:pPr>
        <w:rPr>
          <w:sz w:val="20"/>
          <w:szCs w:val="20"/>
          <w:lang w:val="sk-SK"/>
        </w:rPr>
      </w:pPr>
    </w:p>
    <w:p w:rsidR="00A80523" w:rsidRPr="006F6A99" w:rsidRDefault="00A80523">
      <w:pPr>
        <w:rPr>
          <w:b/>
          <w:bCs/>
          <w:lang w:val="sk-SK"/>
        </w:rPr>
      </w:pPr>
      <w:r w:rsidRPr="006F6A99">
        <w:rPr>
          <w:b/>
          <w:bCs/>
          <w:lang w:val="sk-SK"/>
        </w:rPr>
        <w:t>2.2. Financovanie návrhu</w:t>
      </w:r>
    </w:p>
    <w:p w:rsidR="00A80523" w:rsidRPr="006F6A99" w:rsidRDefault="00A80523">
      <w:pPr>
        <w:jc w:val="right"/>
        <w:rPr>
          <w:sz w:val="20"/>
          <w:szCs w:val="20"/>
          <w:lang w:val="sk-SK"/>
        </w:rPr>
      </w:pPr>
      <w:r w:rsidRPr="006F6A99">
        <w:rPr>
          <w:sz w:val="20"/>
          <w:szCs w:val="20"/>
          <w:lang w:val="sk-SK"/>
        </w:rPr>
        <w:t>Tabuľka č. 2</w:t>
      </w:r>
    </w:p>
    <w:tbl>
      <w:tblPr>
        <w:tblW w:w="14478" w:type="dxa"/>
        <w:tblInd w:w="55" w:type="dxa"/>
        <w:tblCellMar>
          <w:left w:w="70" w:type="dxa"/>
          <w:right w:w="70" w:type="dxa"/>
        </w:tblCellMar>
        <w:tblLook w:val="04A0" w:firstRow="1" w:lastRow="0" w:firstColumn="1" w:lastColumn="0" w:noHBand="0" w:noVBand="1"/>
      </w:tblPr>
      <w:tblGrid>
        <w:gridCol w:w="5118"/>
        <w:gridCol w:w="940"/>
        <w:gridCol w:w="1040"/>
        <w:gridCol w:w="1040"/>
        <w:gridCol w:w="1040"/>
        <w:gridCol w:w="1040"/>
        <w:gridCol w:w="1040"/>
        <w:gridCol w:w="1040"/>
        <w:gridCol w:w="1040"/>
        <w:gridCol w:w="1140"/>
      </w:tblGrid>
      <w:tr w:rsidR="000A7891" w:rsidTr="000A7891">
        <w:trPr>
          <w:cantSplit/>
          <w:trHeight w:val="315"/>
        </w:trPr>
        <w:tc>
          <w:tcPr>
            <w:tcW w:w="5118"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Financovanie</w:t>
            </w:r>
          </w:p>
        </w:tc>
        <w:tc>
          <w:tcPr>
            <w:tcW w:w="9360" w:type="dxa"/>
            <w:gridSpan w:val="9"/>
            <w:tcBorders>
              <w:top w:val="single" w:sz="8" w:space="0" w:color="auto"/>
              <w:left w:val="nil"/>
              <w:bottom w:val="single" w:sz="8" w:space="0" w:color="auto"/>
              <w:right w:val="single" w:sz="8" w:space="0" w:color="000000"/>
            </w:tcBorders>
            <w:shd w:val="clear" w:color="000000" w:fill="000000"/>
            <w:vAlign w:val="center"/>
            <w:hideMark/>
          </w:tcPr>
          <w:p w:rsidR="000A7891" w:rsidRDefault="000A7891">
            <w:pPr>
              <w:jc w:val="center"/>
              <w:rPr>
                <w:b/>
                <w:bCs/>
                <w:color w:val="FFFFFF"/>
                <w:sz w:val="20"/>
                <w:szCs w:val="20"/>
              </w:rPr>
            </w:pPr>
            <w:r>
              <w:rPr>
                <w:b/>
                <w:bCs/>
                <w:color w:val="FFFFFF"/>
                <w:sz w:val="20"/>
                <w:szCs w:val="20"/>
              </w:rPr>
              <w:t xml:space="preserve">Vplyv na rozpočet verejnej správy </w:t>
            </w:r>
            <w:r>
              <w:rPr>
                <w:b/>
                <w:bCs/>
                <w:color w:val="000000"/>
                <w:sz w:val="20"/>
                <w:szCs w:val="20"/>
              </w:rPr>
              <w:t>(v eurách)</w:t>
            </w:r>
          </w:p>
        </w:tc>
      </w:tr>
      <w:tr w:rsidR="000A7891" w:rsidTr="000A7891">
        <w:trPr>
          <w:trHeight w:val="315"/>
        </w:trPr>
        <w:tc>
          <w:tcPr>
            <w:tcW w:w="5118" w:type="dxa"/>
            <w:vMerge/>
            <w:tcBorders>
              <w:top w:val="single" w:sz="8" w:space="0" w:color="auto"/>
              <w:left w:val="single" w:sz="8" w:space="0" w:color="auto"/>
              <w:bottom w:val="single" w:sz="8" w:space="0" w:color="000000"/>
              <w:right w:val="single" w:sz="8" w:space="0" w:color="auto"/>
            </w:tcBorders>
            <w:vAlign w:val="center"/>
            <w:hideMark/>
          </w:tcPr>
          <w:p w:rsidR="000A7891" w:rsidRDefault="000A7891">
            <w:pPr>
              <w:rPr>
                <w:b/>
                <w:bCs/>
                <w:color w:val="FFFFFF"/>
                <w:sz w:val="20"/>
                <w:szCs w:val="20"/>
              </w:rPr>
            </w:pPr>
          </w:p>
        </w:tc>
        <w:tc>
          <w:tcPr>
            <w:tcW w:w="9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2013</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2014</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2015</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2016</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2017</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2018</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2019</w:t>
            </w:r>
          </w:p>
        </w:tc>
        <w:tc>
          <w:tcPr>
            <w:tcW w:w="10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2020</w:t>
            </w:r>
          </w:p>
        </w:tc>
        <w:tc>
          <w:tcPr>
            <w:tcW w:w="1140" w:type="dxa"/>
            <w:tcBorders>
              <w:top w:val="nil"/>
              <w:left w:val="nil"/>
              <w:bottom w:val="single" w:sz="8" w:space="0" w:color="auto"/>
              <w:right w:val="single" w:sz="8" w:space="0" w:color="auto"/>
            </w:tcBorders>
            <w:shd w:val="clear" w:color="000000" w:fill="000000"/>
            <w:vAlign w:val="center"/>
            <w:hideMark/>
          </w:tcPr>
          <w:p w:rsidR="000A7891" w:rsidRDefault="000A7891">
            <w:pPr>
              <w:jc w:val="center"/>
              <w:rPr>
                <w:b/>
                <w:bCs/>
                <w:color w:val="FFFFFF"/>
                <w:sz w:val="20"/>
                <w:szCs w:val="20"/>
              </w:rPr>
            </w:pPr>
            <w:r>
              <w:rPr>
                <w:b/>
                <w:bCs/>
                <w:color w:val="FFFFFF"/>
                <w:sz w:val="20"/>
                <w:szCs w:val="20"/>
              </w:rPr>
              <w:t>Spolu</w:t>
            </w:r>
          </w:p>
        </w:tc>
      </w:tr>
      <w:tr w:rsidR="000A7891" w:rsidTr="000A7891">
        <w:trPr>
          <w:trHeight w:val="52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0A7891" w:rsidRDefault="000A7891">
            <w:pPr>
              <w:rPr>
                <w:b/>
                <w:bCs/>
                <w:color w:val="000000"/>
                <w:sz w:val="20"/>
                <w:szCs w:val="20"/>
              </w:rPr>
            </w:pPr>
            <w:r>
              <w:rPr>
                <w:b/>
                <w:bCs/>
                <w:color w:val="000000"/>
                <w:sz w:val="20"/>
                <w:szCs w:val="20"/>
              </w:rPr>
              <w:t xml:space="preserve">Celkový vplyv na rozpočet verejnej správy                </w:t>
            </w:r>
            <w:r>
              <w:rPr>
                <w:b/>
                <w:bCs/>
                <w:color w:val="000000"/>
                <w:sz w:val="20"/>
                <w:szCs w:val="20"/>
              </w:rPr>
              <w:t xml:space="preserve">          </w:t>
            </w:r>
            <w:r>
              <w:rPr>
                <w:b/>
                <w:bCs/>
                <w:color w:val="000000"/>
                <w:sz w:val="20"/>
                <w:szCs w:val="20"/>
              </w:rPr>
              <w:t xml:space="preserve"> ( - príjmy,  + výdavky)</w:t>
            </w:r>
          </w:p>
        </w:tc>
        <w:tc>
          <w:tcPr>
            <w:tcW w:w="9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2 933 000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47 327 119</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81 221 130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90 878 030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70 608 392</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63 646 868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75 309 748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35 911 143</w:t>
            </w:r>
          </w:p>
        </w:tc>
        <w:tc>
          <w:tcPr>
            <w:tcW w:w="11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467 835 428</w:t>
            </w:r>
          </w:p>
        </w:tc>
      </w:tr>
      <w:tr w:rsidR="000A7891" w:rsidTr="000A7891">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0A7891" w:rsidRDefault="000A7891">
            <w:pPr>
              <w:rPr>
                <w:color w:val="000000"/>
                <w:sz w:val="20"/>
                <w:szCs w:val="20"/>
              </w:rPr>
            </w:pPr>
            <w:r>
              <w:rPr>
                <w:color w:val="000000"/>
                <w:sz w:val="20"/>
                <w:szCs w:val="20"/>
              </w:rPr>
              <w:t xml:space="preserve">  z toho vplyv na ŠR</w:t>
            </w:r>
          </w:p>
        </w:tc>
        <w:tc>
          <w:tcPr>
            <w:tcW w:w="9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2 933 000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47 327 119</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81 221 130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90 878 030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70 608 392</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63 646 868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75 309 748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35 911 143</w:t>
            </w:r>
          </w:p>
        </w:tc>
        <w:tc>
          <w:tcPr>
            <w:tcW w:w="11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467 835 428</w:t>
            </w:r>
          </w:p>
        </w:tc>
      </w:tr>
      <w:tr w:rsidR="000A7891" w:rsidTr="000A7891">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0A7891" w:rsidRDefault="000A7891">
            <w:pPr>
              <w:rPr>
                <w:color w:val="000000"/>
                <w:sz w:val="20"/>
                <w:szCs w:val="20"/>
              </w:rPr>
            </w:pPr>
            <w:r>
              <w:rPr>
                <w:color w:val="000000"/>
                <w:sz w:val="20"/>
                <w:szCs w:val="20"/>
              </w:rPr>
              <w:t xml:space="preserve">  financovanie zabezpečené v  rozpočte</w:t>
            </w:r>
          </w:p>
        </w:tc>
        <w:tc>
          <w:tcPr>
            <w:tcW w:w="9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2 933 000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42 090 250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69 169 500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69 954 750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40 863 500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28 925 000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32 414 000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33 994 000</w:t>
            </w:r>
          </w:p>
        </w:tc>
        <w:tc>
          <w:tcPr>
            <w:tcW w:w="11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bCs/>
                <w:color w:val="000000"/>
                <w:sz w:val="20"/>
                <w:szCs w:val="20"/>
              </w:rPr>
              <w:t>320 344 000</w:t>
            </w:r>
          </w:p>
        </w:tc>
      </w:tr>
      <w:tr w:rsidR="000A7891" w:rsidTr="000A7891">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0A7891" w:rsidRDefault="000A7891">
            <w:pPr>
              <w:rPr>
                <w:color w:val="000000"/>
                <w:sz w:val="20"/>
                <w:szCs w:val="20"/>
              </w:rPr>
            </w:pPr>
            <w:r>
              <w:rPr>
                <w:color w:val="000000"/>
                <w:sz w:val="20"/>
                <w:szCs w:val="20"/>
              </w:rPr>
              <w:t xml:space="preserve">  ostatné zdroje financovania</w:t>
            </w:r>
          </w:p>
        </w:tc>
        <w:tc>
          <w:tcPr>
            <w:tcW w:w="9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c>
          <w:tcPr>
            <w:tcW w:w="11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color w:val="000000"/>
                <w:sz w:val="20"/>
                <w:szCs w:val="20"/>
              </w:rPr>
            </w:pPr>
            <w:r>
              <w:rPr>
                <w:color w:val="000000"/>
                <w:sz w:val="20"/>
                <w:szCs w:val="20"/>
              </w:rPr>
              <w:t>0</w:t>
            </w:r>
          </w:p>
        </w:tc>
      </w:tr>
      <w:tr w:rsidR="000A7891" w:rsidTr="000A7891">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0A7891" w:rsidRDefault="000A7891">
            <w:pPr>
              <w:rPr>
                <w:b/>
                <w:bCs/>
                <w:color w:val="000000"/>
                <w:sz w:val="20"/>
                <w:szCs w:val="20"/>
              </w:rPr>
            </w:pPr>
            <w:r>
              <w:rPr>
                <w:b/>
                <w:bCs/>
                <w:color w:val="000000"/>
                <w:sz w:val="20"/>
                <w:szCs w:val="20"/>
              </w:rPr>
              <w:t>Rozpočtovo nekrytý vplyv (+) / úspora (-)</w:t>
            </w:r>
          </w:p>
        </w:tc>
        <w:tc>
          <w:tcPr>
            <w:tcW w:w="9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5 236 869</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12 051 630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20 923 280</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29 744 892</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34 721 868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42 895 748</w:t>
            </w:r>
          </w:p>
        </w:tc>
        <w:tc>
          <w:tcPr>
            <w:tcW w:w="10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1 917 143</w:t>
            </w:r>
          </w:p>
        </w:tc>
        <w:tc>
          <w:tcPr>
            <w:tcW w:w="1140" w:type="dxa"/>
            <w:tcBorders>
              <w:top w:val="nil"/>
              <w:left w:val="nil"/>
              <w:bottom w:val="single" w:sz="8" w:space="0" w:color="auto"/>
              <w:right w:val="single" w:sz="8" w:space="0" w:color="auto"/>
            </w:tcBorders>
            <w:shd w:val="clear" w:color="auto" w:fill="auto"/>
            <w:noWrap/>
            <w:vAlign w:val="center"/>
            <w:hideMark/>
          </w:tcPr>
          <w:p w:rsidR="000A7891" w:rsidRDefault="000A7891">
            <w:pPr>
              <w:jc w:val="right"/>
              <w:rPr>
                <w:b/>
                <w:bCs/>
                <w:color w:val="000000"/>
                <w:sz w:val="20"/>
                <w:szCs w:val="20"/>
              </w:rPr>
            </w:pPr>
            <w:r>
              <w:rPr>
                <w:b/>
                <w:bCs/>
                <w:color w:val="000000"/>
                <w:sz w:val="20"/>
                <w:szCs w:val="20"/>
              </w:rPr>
              <w:t>147 491 428</w:t>
            </w:r>
          </w:p>
        </w:tc>
      </w:tr>
    </w:tbl>
    <w:p w:rsidR="005943B2" w:rsidRDefault="005943B2" w:rsidP="001602FC">
      <w:pPr>
        <w:rPr>
          <w:b/>
          <w:bCs/>
          <w:lang w:val="sk-SK"/>
        </w:rPr>
      </w:pPr>
    </w:p>
    <w:p w:rsidR="005943B2" w:rsidRDefault="005943B2" w:rsidP="001602FC">
      <w:pPr>
        <w:rPr>
          <w:b/>
          <w:bCs/>
          <w:lang w:val="sk-SK"/>
        </w:rPr>
      </w:pPr>
    </w:p>
    <w:p w:rsidR="00A80523" w:rsidRPr="006F6A99" w:rsidRDefault="00A80523" w:rsidP="000A7891">
      <w:pPr>
        <w:jc w:val="both"/>
        <w:rPr>
          <w:b/>
          <w:bCs/>
          <w:lang w:val="sk-SK"/>
        </w:rPr>
      </w:pPr>
      <w:r w:rsidRPr="006F6A99">
        <w:rPr>
          <w:b/>
          <w:bCs/>
          <w:lang w:val="sk-SK"/>
        </w:rPr>
        <w:t>Návrh na riešenie úbytku príjmov alebo zvýšených výdavkov podľa § 33 ods. 1 zákona č. 523/2004 Z. z. o rozpočtových pravidlách verejnej správy:</w:t>
      </w:r>
    </w:p>
    <w:p w:rsidR="001602FC" w:rsidRDefault="00BB56A4" w:rsidP="001602FC">
      <w:pPr>
        <w:pBdr>
          <w:top w:val="single" w:sz="4" w:space="1" w:color="auto"/>
          <w:left w:val="single" w:sz="4" w:space="4" w:color="auto"/>
          <w:bottom w:val="single" w:sz="4" w:space="1" w:color="auto"/>
          <w:right w:val="single" w:sz="4" w:space="4" w:color="auto"/>
        </w:pBdr>
        <w:jc w:val="both"/>
        <w:rPr>
          <w:b/>
          <w:bCs/>
          <w:lang w:val="sk-SK"/>
        </w:rPr>
      </w:pPr>
      <w:r>
        <w:rPr>
          <w:b/>
          <w:bCs/>
          <w:lang w:val="sk-SK"/>
        </w:rPr>
        <w:t>Koncepcia predpokladá z</w:t>
      </w:r>
      <w:r w:rsidRPr="00BB56A4">
        <w:rPr>
          <w:b/>
          <w:bCs/>
          <w:lang w:val="sk-SK"/>
        </w:rPr>
        <w:t xml:space="preserve">níženie absolútneho objemu spolufinancovania PRV SR 2014 – 2020, z dôvodu presunu 25% z finančných prostriedkov z II. piliera do I. piliera, </w:t>
      </w:r>
      <w:r>
        <w:rPr>
          <w:b/>
          <w:bCs/>
          <w:lang w:val="sk-SK"/>
        </w:rPr>
        <w:t xml:space="preserve">čo </w:t>
      </w:r>
      <w:r w:rsidRPr="00BB56A4">
        <w:rPr>
          <w:b/>
          <w:bCs/>
          <w:lang w:val="sk-SK"/>
        </w:rPr>
        <w:t>znamená úsporu výdavkov ŠR vo výške 134,07 mil. EUR.</w:t>
      </w:r>
      <w:r w:rsidRPr="00BB56A4">
        <w:t xml:space="preserve"> </w:t>
      </w:r>
      <w:r w:rsidRPr="00BB56A4">
        <w:rPr>
          <w:b/>
          <w:bCs/>
          <w:lang w:val="sk-SK"/>
        </w:rPr>
        <w:t>Táto čiastka by bola, v prípade neuskutočnenia presunu, použitá na spolufinancovanie II. piliera PRV SR 2014 – 2020. Z tohto dôvodu by sa teda mala použiť na financovanie CNDPs počas programového obdobia 2014 – 2020.</w:t>
      </w:r>
    </w:p>
    <w:p w:rsidR="00BB56A4" w:rsidRDefault="00BB56A4" w:rsidP="001602FC">
      <w:pPr>
        <w:pBdr>
          <w:top w:val="single" w:sz="4" w:space="1" w:color="auto"/>
          <w:left w:val="single" w:sz="4" w:space="4" w:color="auto"/>
          <w:bottom w:val="single" w:sz="4" w:space="1" w:color="auto"/>
          <w:right w:val="single" w:sz="4" w:space="4" w:color="auto"/>
        </w:pBdr>
        <w:jc w:val="both"/>
        <w:rPr>
          <w:b/>
          <w:bCs/>
          <w:lang w:val="sk-SK"/>
        </w:rPr>
      </w:pPr>
    </w:p>
    <w:p w:rsidR="00A80523" w:rsidRPr="006F6A99" w:rsidRDefault="00BB56A4" w:rsidP="00BB56A4">
      <w:pPr>
        <w:pBdr>
          <w:top w:val="single" w:sz="4" w:space="1" w:color="auto"/>
          <w:left w:val="single" w:sz="4" w:space="4" w:color="auto"/>
          <w:bottom w:val="single" w:sz="4" w:space="1" w:color="auto"/>
          <w:right w:val="single" w:sz="4" w:space="4" w:color="auto"/>
        </w:pBdr>
        <w:jc w:val="both"/>
        <w:rPr>
          <w:b/>
          <w:bCs/>
          <w:lang w:val="sk-SK"/>
        </w:rPr>
      </w:pPr>
      <w:r>
        <w:rPr>
          <w:b/>
          <w:bCs/>
          <w:lang w:val="sk-SK"/>
        </w:rPr>
        <w:t>Druhú časť nekrytých výdavkov predstavuje predpokladaný objem financovania národných priorít, ktoré nie je možné identifikovať s prioritami PRV SR na roky 2014 – 2020</w:t>
      </w:r>
      <w:r w:rsidR="000A7891">
        <w:rPr>
          <w:b/>
          <w:bCs/>
          <w:lang w:val="sk-SK"/>
        </w:rPr>
        <w:t>, a to vo výške 13,42 mil. EUR</w:t>
      </w:r>
      <w:r>
        <w:rPr>
          <w:b/>
          <w:bCs/>
          <w:lang w:val="sk-SK"/>
        </w:rPr>
        <w:t xml:space="preserve">. Tento </w:t>
      </w:r>
      <w:r w:rsidR="001602FC">
        <w:rPr>
          <w:b/>
          <w:bCs/>
          <w:lang w:val="sk-SK"/>
        </w:rPr>
        <w:t xml:space="preserve">negatívny vplyv však </w:t>
      </w:r>
      <w:r>
        <w:rPr>
          <w:b/>
          <w:bCs/>
          <w:lang w:val="sk-SK"/>
        </w:rPr>
        <w:t xml:space="preserve">bude </w:t>
      </w:r>
      <w:r w:rsidR="001602FC">
        <w:rPr>
          <w:b/>
          <w:bCs/>
          <w:lang w:val="sk-SK"/>
        </w:rPr>
        <w:t xml:space="preserve">vykompenzovaný </w:t>
      </w:r>
      <w:r w:rsidR="00B059DB">
        <w:rPr>
          <w:b/>
          <w:bCs/>
          <w:lang w:val="sk-SK"/>
        </w:rPr>
        <w:t>pozitívny</w:t>
      </w:r>
      <w:r w:rsidR="001602FC">
        <w:rPr>
          <w:b/>
          <w:bCs/>
          <w:lang w:val="sk-SK"/>
        </w:rPr>
        <w:t>mi</w:t>
      </w:r>
      <w:r w:rsidR="00B059DB">
        <w:rPr>
          <w:b/>
          <w:bCs/>
          <w:lang w:val="sk-SK"/>
        </w:rPr>
        <w:t xml:space="preserve"> </w:t>
      </w:r>
      <w:r w:rsidR="001602FC">
        <w:rPr>
          <w:b/>
          <w:bCs/>
          <w:lang w:val="sk-SK"/>
        </w:rPr>
        <w:t>vplyvmi</w:t>
      </w:r>
      <w:r w:rsidR="00B059DB">
        <w:rPr>
          <w:b/>
          <w:bCs/>
          <w:lang w:val="sk-SK"/>
        </w:rPr>
        <w:t xml:space="preserve"> na štátny rozpočet </w:t>
      </w:r>
      <w:r w:rsidR="001602FC">
        <w:rPr>
          <w:b/>
          <w:bCs/>
          <w:lang w:val="sk-SK"/>
        </w:rPr>
        <w:t xml:space="preserve">z titulu zvýšenia vytvorenia pracovných príležitostí predovšetkým pre dlhodobo nezamestnaných a pre rizikové skupiny nezamestnaných. </w:t>
      </w:r>
    </w:p>
    <w:p w:rsidR="00A80523" w:rsidRPr="006F6A99" w:rsidRDefault="00A80523">
      <w:pPr>
        <w:rPr>
          <w:b/>
          <w:bCs/>
          <w:lang w:val="sk-SK"/>
        </w:rPr>
      </w:pPr>
    </w:p>
    <w:p w:rsidR="00A80523" w:rsidRPr="006F6A99" w:rsidRDefault="00A80523">
      <w:pPr>
        <w:rPr>
          <w:b/>
          <w:bCs/>
          <w:lang w:val="sk-SK"/>
        </w:rPr>
      </w:pPr>
    </w:p>
    <w:p w:rsidR="00A80523" w:rsidRPr="006F6A99" w:rsidRDefault="00A80523">
      <w:pPr>
        <w:rPr>
          <w:b/>
          <w:bCs/>
          <w:lang w:val="sk-SK"/>
        </w:rPr>
      </w:pPr>
      <w:r w:rsidRPr="006F6A99">
        <w:rPr>
          <w:b/>
          <w:bCs/>
          <w:lang w:val="sk-SK"/>
        </w:rPr>
        <w:t>2.3. Popis a charakteristika návrhu</w:t>
      </w:r>
    </w:p>
    <w:p w:rsidR="00A80523" w:rsidRPr="006F6A99" w:rsidRDefault="00A80523">
      <w:pPr>
        <w:rPr>
          <w:lang w:val="sk-SK"/>
        </w:rPr>
      </w:pPr>
    </w:p>
    <w:p w:rsidR="00A80523" w:rsidRPr="006F6A99" w:rsidRDefault="00A80523">
      <w:pPr>
        <w:jc w:val="both"/>
        <w:rPr>
          <w:b/>
          <w:bCs/>
          <w:lang w:val="sk-SK"/>
        </w:rPr>
      </w:pPr>
      <w:r w:rsidRPr="006F6A99">
        <w:rPr>
          <w:b/>
          <w:bCs/>
          <w:lang w:val="sk-SK"/>
        </w:rPr>
        <w:t>2.3.1. Popis návrhu:</w:t>
      </w:r>
    </w:p>
    <w:p w:rsidR="00A80523" w:rsidRPr="006F6A99" w:rsidRDefault="00A80523">
      <w:pPr>
        <w:jc w:val="both"/>
        <w:rPr>
          <w:b/>
          <w:bCs/>
          <w:lang w:val="sk-SK"/>
        </w:rPr>
      </w:pPr>
    </w:p>
    <w:p w:rsidR="001602FC" w:rsidRPr="00454B57" w:rsidRDefault="001602FC" w:rsidP="001602FC">
      <w:pPr>
        <w:jc w:val="both"/>
        <w:rPr>
          <w:lang w:val="sk-SK"/>
        </w:rPr>
      </w:pPr>
      <w:r w:rsidRPr="00454B57">
        <w:rPr>
          <w:lang w:val="sk-SK"/>
        </w:rPr>
        <w:lastRenderedPageBreak/>
        <w:t>Koncepcia rozvoja pôdohospodárstva na roky 2013 – 2020, vychádza prioritne zo Spoločnej poľnohospodárskej politiky a programového vyhlásenia vlády Slovenskej republiky na roky 2012 – 2016. Vychádza s definície nosného štátneho záujmu v oblasti pôdohospodárstva, ktorým je rozvoj produkčne výkonného pôdohospodárstva, zabezpečujúceho hospodárne využívanie po</w:t>
      </w:r>
      <w:r w:rsidRPr="00454B57">
        <w:rPr>
          <w:rFonts w:ascii="TimesNewRoman" w:hAnsi="TimesNewRoman" w:cs="TimesNewRoman"/>
          <w:lang w:val="sk-SK"/>
        </w:rPr>
        <w:t>ľ</w:t>
      </w:r>
      <w:r w:rsidRPr="00454B57">
        <w:rPr>
          <w:lang w:val="sk-SK"/>
        </w:rPr>
        <w:t>nohospodárskeho pôdneho fondu krajiny,  dostatočnú produkčnú schopnosť poľnohospodárstva Slovenskej republiky v základných potravinách, potravinovú bezpečnosť a dostupnosť pre obyvateľstvo, ako aj zabezpečenie trvalo udržate</w:t>
      </w:r>
      <w:r w:rsidRPr="00454B57">
        <w:rPr>
          <w:rFonts w:ascii="TimesNewRoman" w:hAnsi="TimesNewRoman" w:cs="TimesNewRoman"/>
          <w:lang w:val="sk-SK"/>
        </w:rPr>
        <w:t>ľ</w:t>
      </w:r>
      <w:r w:rsidRPr="00454B57">
        <w:rPr>
          <w:lang w:val="sk-SK"/>
        </w:rPr>
        <w:t>ného obhospodarovania lesov.</w:t>
      </w:r>
    </w:p>
    <w:p w:rsidR="001602FC" w:rsidRPr="00454B57" w:rsidRDefault="001602FC" w:rsidP="001602FC">
      <w:pPr>
        <w:jc w:val="both"/>
        <w:rPr>
          <w:lang w:val="sk-SK"/>
        </w:rPr>
      </w:pPr>
    </w:p>
    <w:p w:rsidR="001602FC" w:rsidRPr="00454B57" w:rsidRDefault="001602FC" w:rsidP="00723FCB">
      <w:pPr>
        <w:jc w:val="both"/>
        <w:rPr>
          <w:lang w:val="sk-SK"/>
        </w:rPr>
      </w:pPr>
      <w:r w:rsidRPr="00454B57">
        <w:rPr>
          <w:lang w:val="sk-SK"/>
        </w:rPr>
        <w:t xml:space="preserve">Zámerom tejto koncepcie je </w:t>
      </w:r>
      <w:r w:rsidRPr="00454B57">
        <w:rPr>
          <w:rFonts w:cs="ITCBookmanEE"/>
          <w:color w:val="231F20"/>
          <w:szCs w:val="19"/>
          <w:lang w:val="sk-SK"/>
        </w:rPr>
        <w:t>podporovať efektívnosť využívania zdrojov v záujme inteligentného, udržateľného a inkluzívneho rastu poľnohospodárstva a vidieckych oblastí.</w:t>
      </w:r>
      <w:r w:rsidR="00723FCB">
        <w:rPr>
          <w:lang w:val="sk-SK"/>
        </w:rPr>
        <w:t xml:space="preserve"> </w:t>
      </w:r>
      <w:r w:rsidRPr="00454B57">
        <w:rPr>
          <w:lang w:val="sk-SK"/>
        </w:rPr>
        <w:t>Vo väzbe na víziu a zámer tejto koncepcie, priority reformy spoločnej poľnohospodárskej politiky na roky 2014 – 2020 a programového vyhlásenia vlády Slovenskej republiky na roky 2012 – 2016 sa Koncepcia rozvoja pôdohospodárstva na roky 2013 – 2020 zameriava na splnenie týchto strategických cieľov:</w:t>
      </w:r>
    </w:p>
    <w:p w:rsidR="001602FC" w:rsidRPr="00454B57" w:rsidRDefault="001602FC" w:rsidP="001602FC">
      <w:pPr>
        <w:pStyle w:val="Odsekzoznamu"/>
        <w:numPr>
          <w:ilvl w:val="0"/>
          <w:numId w:val="5"/>
        </w:numPr>
        <w:spacing w:after="0"/>
        <w:jc w:val="both"/>
        <w:rPr>
          <w:rFonts w:ascii="Times New Roman" w:hAnsi="Times New Roman"/>
          <w:sz w:val="24"/>
          <w:szCs w:val="24"/>
        </w:rPr>
      </w:pPr>
      <w:r w:rsidRPr="00454B57">
        <w:rPr>
          <w:rFonts w:ascii="Times New Roman" w:hAnsi="Times New Roman"/>
          <w:sz w:val="24"/>
          <w:szCs w:val="24"/>
        </w:rPr>
        <w:t xml:space="preserve">zvýšenie produkčnej výkonnosti v nosných poľnohospodárskych komoditách na úroveň 80% súčasnej spotreby obyvateľstva na Slovensku; </w:t>
      </w:r>
    </w:p>
    <w:p w:rsidR="001602FC" w:rsidRPr="00454B57" w:rsidRDefault="001602FC" w:rsidP="001602FC">
      <w:pPr>
        <w:pStyle w:val="Odsekzoznamu"/>
        <w:numPr>
          <w:ilvl w:val="0"/>
          <w:numId w:val="5"/>
        </w:numPr>
        <w:spacing w:after="0"/>
        <w:jc w:val="both"/>
        <w:rPr>
          <w:rFonts w:ascii="Times New Roman" w:hAnsi="Times New Roman"/>
          <w:sz w:val="24"/>
          <w:szCs w:val="24"/>
        </w:rPr>
      </w:pPr>
      <w:r w:rsidRPr="00454B57">
        <w:rPr>
          <w:rFonts w:ascii="Times New Roman" w:hAnsi="Times New Roman"/>
          <w:sz w:val="24"/>
          <w:szCs w:val="24"/>
        </w:rPr>
        <w:t>zabezpečenie trvalo udržate</w:t>
      </w:r>
      <w:r w:rsidRPr="00454B57">
        <w:rPr>
          <w:rFonts w:ascii="TimesNewRoman" w:hAnsi="TimesNewRoman" w:cs="TimesNewRoman"/>
          <w:sz w:val="24"/>
          <w:szCs w:val="24"/>
        </w:rPr>
        <w:t>ľ</w:t>
      </w:r>
      <w:r w:rsidRPr="00454B57">
        <w:rPr>
          <w:rFonts w:ascii="Times New Roman" w:hAnsi="Times New Roman"/>
          <w:sz w:val="24"/>
          <w:szCs w:val="24"/>
        </w:rPr>
        <w:t>ného obhospodarovania lesov; a</w:t>
      </w:r>
    </w:p>
    <w:p w:rsidR="001602FC" w:rsidRPr="00454B57" w:rsidRDefault="001602FC" w:rsidP="001602FC">
      <w:pPr>
        <w:pStyle w:val="Odsekzoznamu"/>
        <w:numPr>
          <w:ilvl w:val="0"/>
          <w:numId w:val="5"/>
        </w:numPr>
        <w:spacing w:after="0"/>
        <w:jc w:val="both"/>
        <w:rPr>
          <w:rFonts w:ascii="Times New Roman" w:hAnsi="Times New Roman"/>
          <w:sz w:val="24"/>
          <w:szCs w:val="24"/>
        </w:rPr>
      </w:pPr>
      <w:r w:rsidRPr="00454B57">
        <w:rPr>
          <w:rFonts w:ascii="Times New Roman" w:hAnsi="Times New Roman"/>
          <w:sz w:val="24"/>
          <w:szCs w:val="24"/>
        </w:rPr>
        <w:t>rozvoj vidieka a zlepšovanie životných podmienok a zamestnanosti vidieckeho obyvateľstva, predovšetkým prostredníctvom podpory sektorov, ktoré sú potenciálnymi zdrojmi zamestnanosti.</w:t>
      </w:r>
    </w:p>
    <w:p w:rsidR="001602FC" w:rsidRPr="00454B57" w:rsidRDefault="001602FC" w:rsidP="001602FC">
      <w:pPr>
        <w:jc w:val="both"/>
        <w:rPr>
          <w:lang w:val="sk-SK"/>
        </w:rPr>
      </w:pPr>
    </w:p>
    <w:p w:rsidR="001602FC" w:rsidRPr="00454B57" w:rsidRDefault="001602FC" w:rsidP="001602FC">
      <w:pPr>
        <w:jc w:val="both"/>
        <w:rPr>
          <w:lang w:val="sk-SK"/>
        </w:rPr>
      </w:pPr>
      <w:r w:rsidRPr="00454B57">
        <w:rPr>
          <w:lang w:val="sk-SK"/>
        </w:rPr>
        <w:t xml:space="preserve">Miera naplnenia vízie, zámerov a cieľov koncepcie závisí predovšetkým od samotných prijímateľom finančných prostriedkov z oboch pilierov spoločnej poľnohospodárskej politiky a miery ochoty ich prispôsobenia sa čiastočnej zmene pravidiel fungovania spoločného trhu v jednotlivých sektoroch pôdohospodárstva. </w:t>
      </w:r>
    </w:p>
    <w:p w:rsidR="001602FC" w:rsidRPr="00454B57" w:rsidRDefault="001602FC" w:rsidP="001602FC">
      <w:pPr>
        <w:jc w:val="both"/>
        <w:rPr>
          <w:lang w:val="sk-SK"/>
        </w:rPr>
      </w:pPr>
    </w:p>
    <w:p w:rsidR="00454B57" w:rsidRPr="00454B57" w:rsidRDefault="00454B57" w:rsidP="00454B57">
      <w:pPr>
        <w:jc w:val="both"/>
        <w:rPr>
          <w:rFonts w:eastAsia="Calibri"/>
          <w:lang w:val="sk-SK"/>
        </w:rPr>
      </w:pPr>
      <w:r w:rsidRPr="00454B57">
        <w:rPr>
          <w:rFonts w:eastAsia="Calibri"/>
          <w:lang w:val="sk-SK"/>
        </w:rPr>
        <w:t xml:space="preserve">Úspešnou realizáciou </w:t>
      </w:r>
      <w:r>
        <w:rPr>
          <w:rFonts w:eastAsia="Calibri"/>
          <w:lang w:val="sk-SK"/>
        </w:rPr>
        <w:t>vizie</w:t>
      </w:r>
      <w:r w:rsidRPr="00454B57">
        <w:rPr>
          <w:rFonts w:eastAsia="Calibri"/>
          <w:lang w:val="sk-SK"/>
        </w:rPr>
        <w:t>, zámerov a cieľov koncepcie a efektívnym čerpaním európskych prostriedkov, Slovenská republika vytvorí, kumulatívne do roku 2020, 18 674 pracovných miest. Pri priemernej mesačnej mzde v sektore poľnohospodárstva, lesníctva a rybolovu vo výške 602 EUR, vytvorenie 18 674 pracovných miest znamená:</w:t>
      </w:r>
    </w:p>
    <w:p w:rsidR="00454B57" w:rsidRPr="00454B57" w:rsidRDefault="00454B57" w:rsidP="00454B57">
      <w:pPr>
        <w:pStyle w:val="Odsekzoznamu"/>
        <w:numPr>
          <w:ilvl w:val="0"/>
          <w:numId w:val="6"/>
        </w:numPr>
        <w:spacing w:after="0"/>
        <w:jc w:val="both"/>
        <w:rPr>
          <w:rFonts w:ascii="Times New Roman" w:hAnsi="Times New Roman"/>
          <w:sz w:val="24"/>
          <w:szCs w:val="24"/>
        </w:rPr>
      </w:pPr>
      <w:r w:rsidRPr="00454B57">
        <w:rPr>
          <w:rFonts w:ascii="Times New Roman" w:hAnsi="Times New Roman"/>
          <w:sz w:val="24"/>
          <w:szCs w:val="24"/>
        </w:rPr>
        <w:t>ročný príjem do štátneho rozpočtu na dani z príjmov vo výške cca 12,8 mil. EUR;</w:t>
      </w:r>
    </w:p>
    <w:p w:rsidR="00454B57" w:rsidRPr="00454B57" w:rsidRDefault="00454B57" w:rsidP="00454B57">
      <w:pPr>
        <w:pStyle w:val="Odsekzoznamu"/>
        <w:numPr>
          <w:ilvl w:val="0"/>
          <w:numId w:val="6"/>
        </w:numPr>
        <w:spacing w:after="0"/>
        <w:jc w:val="both"/>
        <w:rPr>
          <w:rFonts w:ascii="Times New Roman" w:hAnsi="Times New Roman"/>
          <w:sz w:val="24"/>
          <w:szCs w:val="24"/>
        </w:rPr>
      </w:pPr>
      <w:r w:rsidRPr="00454B57">
        <w:rPr>
          <w:rFonts w:ascii="Times New Roman" w:hAnsi="Times New Roman"/>
          <w:sz w:val="24"/>
          <w:szCs w:val="24"/>
        </w:rPr>
        <w:t>ročný príjem do štátneho rozpočtu z titulu platenia odvodov zamestnávateľom vo výške cca 30 mil. EUR;</w:t>
      </w:r>
    </w:p>
    <w:p w:rsidR="00454B57" w:rsidRPr="00454B57" w:rsidRDefault="00454B57" w:rsidP="00454B57">
      <w:pPr>
        <w:pStyle w:val="Odsekzoznamu"/>
        <w:numPr>
          <w:ilvl w:val="0"/>
          <w:numId w:val="6"/>
        </w:numPr>
        <w:spacing w:after="0"/>
        <w:jc w:val="both"/>
        <w:rPr>
          <w:rFonts w:ascii="Times New Roman" w:hAnsi="Times New Roman"/>
          <w:sz w:val="24"/>
          <w:szCs w:val="24"/>
        </w:rPr>
      </w:pPr>
      <w:r w:rsidRPr="00454B57">
        <w:rPr>
          <w:rFonts w:ascii="Times New Roman" w:hAnsi="Times New Roman"/>
          <w:sz w:val="24"/>
          <w:szCs w:val="24"/>
        </w:rPr>
        <w:t>ročný príjem z titulu platenia odvodov zamestnancov vo výške cca 18 mil. EUR;</w:t>
      </w:r>
    </w:p>
    <w:p w:rsidR="00607E0E" w:rsidRPr="00607E0E" w:rsidRDefault="00454B57" w:rsidP="00607E0E">
      <w:pPr>
        <w:pStyle w:val="Odsekzoznamu"/>
        <w:numPr>
          <w:ilvl w:val="0"/>
          <w:numId w:val="6"/>
        </w:numPr>
        <w:spacing w:after="0"/>
        <w:jc w:val="both"/>
        <w:rPr>
          <w:rFonts w:ascii="Times New Roman" w:hAnsi="Times New Roman"/>
          <w:sz w:val="24"/>
          <w:szCs w:val="24"/>
        </w:rPr>
      </w:pPr>
      <w:r w:rsidRPr="00454B57">
        <w:rPr>
          <w:rFonts w:ascii="Times New Roman" w:hAnsi="Times New Roman"/>
          <w:sz w:val="24"/>
          <w:szCs w:val="24"/>
        </w:rPr>
        <w:t>ročnú úsporu výdavkov štátu na dávkach v hmotnej núdzi, ak predpokladáme, že všetkých 18 674 pracovníkov bolo na ne odkázaných počas celého roka, vo výške cca  32 mil. EUR.</w:t>
      </w:r>
    </w:p>
    <w:p w:rsidR="00607E0E" w:rsidRDefault="00607E0E">
      <w:pPr>
        <w:rPr>
          <w:b/>
          <w:bCs/>
          <w:lang w:val="sk-SK"/>
        </w:rPr>
      </w:pPr>
    </w:p>
    <w:p w:rsidR="00A80523" w:rsidRPr="006F6A99" w:rsidRDefault="00A80523">
      <w:pPr>
        <w:rPr>
          <w:b/>
          <w:bCs/>
          <w:lang w:val="sk-SK"/>
        </w:rPr>
      </w:pPr>
      <w:r w:rsidRPr="006F6A99">
        <w:rPr>
          <w:b/>
          <w:bCs/>
          <w:lang w:val="sk-SK"/>
        </w:rPr>
        <w:t>2.3.2. Charakteristika návrhu podľa bodu  2.3.2. Metodiky :</w:t>
      </w:r>
    </w:p>
    <w:p w:rsidR="00A80523" w:rsidRPr="006F6A99" w:rsidRDefault="00A80523">
      <w:pPr>
        <w:rPr>
          <w:lang w:val="sk-SK"/>
        </w:rPr>
      </w:pPr>
    </w:p>
    <w:p w:rsidR="00A80523" w:rsidRPr="006F6A99" w:rsidRDefault="00A80523">
      <w:pPr>
        <w:pStyle w:val="Zkladntext"/>
        <w:rPr>
          <w:b w:val="0"/>
          <w:szCs w:val="24"/>
        </w:rPr>
      </w:pPr>
      <w:r w:rsidRPr="006F6A99">
        <w:rPr>
          <w:szCs w:val="24"/>
          <w:bdr w:val="single" w:sz="4" w:space="0" w:color="auto"/>
        </w:rPr>
        <w:t xml:space="preserve">     </w:t>
      </w:r>
      <w:r w:rsidRPr="006F6A99">
        <w:rPr>
          <w:szCs w:val="24"/>
        </w:rPr>
        <w:t xml:space="preserve">  </w:t>
      </w:r>
      <w:r w:rsidRPr="006F6A99">
        <w:rPr>
          <w:b w:val="0"/>
          <w:szCs w:val="24"/>
        </w:rPr>
        <w:t>zmena sadzby</w:t>
      </w:r>
    </w:p>
    <w:p w:rsidR="00A80523" w:rsidRPr="006F6A99" w:rsidRDefault="00A80523">
      <w:pPr>
        <w:pStyle w:val="Zkladntext"/>
        <w:rPr>
          <w:b w:val="0"/>
          <w:szCs w:val="24"/>
        </w:rPr>
      </w:pPr>
      <w:r w:rsidRPr="006F6A99">
        <w:rPr>
          <w:b w:val="0"/>
          <w:szCs w:val="24"/>
          <w:bdr w:val="single" w:sz="4" w:space="0" w:color="auto"/>
        </w:rPr>
        <w:t xml:space="preserve">     </w:t>
      </w:r>
      <w:r w:rsidRPr="006F6A99">
        <w:rPr>
          <w:b w:val="0"/>
          <w:szCs w:val="24"/>
        </w:rPr>
        <w:t xml:space="preserve">  zmena v nároku</w:t>
      </w:r>
    </w:p>
    <w:p w:rsidR="00A80523" w:rsidRPr="006F6A99" w:rsidRDefault="00A80523">
      <w:pPr>
        <w:pStyle w:val="Zkladntext"/>
        <w:rPr>
          <w:b w:val="0"/>
          <w:szCs w:val="24"/>
        </w:rPr>
      </w:pPr>
      <w:r w:rsidRPr="006F6A99">
        <w:rPr>
          <w:b w:val="0"/>
          <w:szCs w:val="24"/>
          <w:bdr w:val="single" w:sz="4" w:space="0" w:color="auto"/>
        </w:rPr>
        <w:t xml:space="preserve">     </w:t>
      </w:r>
      <w:r w:rsidRPr="006F6A99">
        <w:rPr>
          <w:b w:val="0"/>
          <w:szCs w:val="24"/>
        </w:rPr>
        <w:t xml:space="preserve">  nová služba alebo nariadenie (alebo ich zrušenie)</w:t>
      </w:r>
    </w:p>
    <w:p w:rsidR="00A80523" w:rsidRPr="006F6A99" w:rsidRDefault="00A80523">
      <w:pPr>
        <w:pStyle w:val="Zkladntext"/>
        <w:rPr>
          <w:b w:val="0"/>
          <w:szCs w:val="24"/>
        </w:rPr>
      </w:pPr>
      <w:r w:rsidRPr="006F6A99">
        <w:rPr>
          <w:b w:val="0"/>
          <w:szCs w:val="24"/>
          <w:bdr w:val="single" w:sz="4" w:space="0" w:color="auto"/>
        </w:rPr>
        <w:t xml:space="preserve">     </w:t>
      </w:r>
      <w:r w:rsidRPr="006F6A99">
        <w:rPr>
          <w:b w:val="0"/>
          <w:szCs w:val="24"/>
        </w:rPr>
        <w:t xml:space="preserve">  kombinovaný návrh</w:t>
      </w:r>
    </w:p>
    <w:p w:rsidR="00A80523" w:rsidRPr="006F6A99" w:rsidRDefault="00A80523">
      <w:pPr>
        <w:pStyle w:val="Zkladntext"/>
        <w:rPr>
          <w:b w:val="0"/>
          <w:szCs w:val="24"/>
        </w:rPr>
      </w:pPr>
      <w:r w:rsidRPr="006F6A99">
        <w:rPr>
          <w:b w:val="0"/>
          <w:szCs w:val="24"/>
          <w:bdr w:val="single" w:sz="4" w:space="0" w:color="auto"/>
        </w:rPr>
        <w:t xml:space="preserve">  </w:t>
      </w:r>
      <w:r w:rsidR="00454B57">
        <w:rPr>
          <w:b w:val="0"/>
          <w:szCs w:val="24"/>
          <w:bdr w:val="single" w:sz="4" w:space="0" w:color="auto"/>
        </w:rPr>
        <w:t>x</w:t>
      </w:r>
      <w:r w:rsidRPr="006F6A99">
        <w:rPr>
          <w:b w:val="0"/>
          <w:szCs w:val="24"/>
          <w:bdr w:val="single" w:sz="4" w:space="0" w:color="auto"/>
        </w:rPr>
        <w:t xml:space="preserve"> </w:t>
      </w:r>
      <w:r w:rsidRPr="006F6A99">
        <w:rPr>
          <w:b w:val="0"/>
          <w:szCs w:val="24"/>
        </w:rPr>
        <w:t xml:space="preserve">  iné </w:t>
      </w:r>
    </w:p>
    <w:p w:rsidR="00A80523" w:rsidRPr="006F6A99" w:rsidRDefault="00A80523">
      <w:pPr>
        <w:rPr>
          <w:lang w:val="sk-SK"/>
        </w:rPr>
      </w:pPr>
    </w:p>
    <w:p w:rsidR="00A80523" w:rsidRPr="006F6A99" w:rsidRDefault="00A80523">
      <w:pPr>
        <w:rPr>
          <w:lang w:val="sk-SK"/>
        </w:rPr>
      </w:pPr>
    </w:p>
    <w:p w:rsidR="00A80523" w:rsidRPr="006F6A99" w:rsidRDefault="00A80523">
      <w:pPr>
        <w:rPr>
          <w:lang w:val="sk-SK"/>
        </w:rPr>
      </w:pPr>
      <w:r w:rsidRPr="006F6A99">
        <w:rPr>
          <w:b/>
          <w:bCs/>
          <w:lang w:val="sk-SK"/>
        </w:rPr>
        <w:t>2.3.3. Predpoklady vývoja objemu aktivít:</w:t>
      </w:r>
    </w:p>
    <w:p w:rsidR="00A80523" w:rsidRPr="006F6A99" w:rsidRDefault="00A80523">
      <w:pPr>
        <w:rPr>
          <w:lang w:val="sk-SK"/>
        </w:rPr>
      </w:pPr>
    </w:p>
    <w:p w:rsidR="00A80523" w:rsidRPr="00E433B6" w:rsidRDefault="00E433B6" w:rsidP="00B400E5">
      <w:pPr>
        <w:jc w:val="both"/>
        <w:rPr>
          <w:i/>
          <w:lang w:val="sk-SK"/>
        </w:rPr>
      </w:pPr>
      <w:r>
        <w:rPr>
          <w:lang w:val="sk-SK"/>
        </w:rPr>
        <w:t xml:space="preserve">V nadväznosti na finálne dopracovanie Koncepcie rozvoja pôdohospodárstva SR na roky 2013 – 2020 a na úzku spoluprácu s hlavnými stavovskými organizáciami v sektore pôdohospodárstva bolo, dňa 24.5.2013 počas oficiálneho predstavenia koncepcia, podpísané </w:t>
      </w:r>
      <w:r w:rsidRPr="00E433B6">
        <w:rPr>
          <w:i/>
          <w:lang w:val="sk-SK"/>
        </w:rPr>
        <w:t xml:space="preserve">Memorandum </w:t>
      </w:r>
    </w:p>
    <w:p w:rsidR="00E433B6" w:rsidRDefault="00E433B6" w:rsidP="00E433B6">
      <w:pPr>
        <w:jc w:val="both"/>
        <w:rPr>
          <w:lang w:val="sk-SK"/>
        </w:rPr>
      </w:pPr>
      <w:r w:rsidRPr="00E433B6">
        <w:rPr>
          <w:i/>
          <w:lang w:val="sk-SK"/>
        </w:rPr>
        <w:t>o spolupráci pri realizácii vízie, zámerov a cieľov Koncepcie rozvoja pôdohospodárstva SR na roky 2013 - 2020 medzi Ministerstvom pôdohospodárstva a rozvoja vidieka SR, Slovenskou poľnohospodárskou a potravinárskou komorou a Slovenskou lesníckou komorou</w:t>
      </w:r>
      <w:r>
        <w:rPr>
          <w:lang w:val="sk-SK"/>
        </w:rPr>
        <w:t>. Toto memorandum predpokladá vyhodnocovanie napĺňania vízie, zámerov a cieľov koncepcie, a to na ročnej báze.</w:t>
      </w:r>
    </w:p>
    <w:p w:rsidR="00B20206" w:rsidRDefault="00B20206" w:rsidP="00E433B6">
      <w:pPr>
        <w:jc w:val="both"/>
        <w:rPr>
          <w:lang w:val="sk-SK"/>
        </w:rPr>
      </w:pPr>
    </w:p>
    <w:p w:rsidR="00B20206" w:rsidRPr="00E433B6" w:rsidRDefault="00B20206" w:rsidP="00E433B6">
      <w:pPr>
        <w:jc w:val="both"/>
        <w:rPr>
          <w:lang w:val="sk-SK"/>
        </w:rPr>
      </w:pPr>
      <w:r>
        <w:rPr>
          <w:lang w:val="sk-SK"/>
        </w:rPr>
        <w:t xml:space="preserve">Napĺňanie vízie, zámerov a cieľov koncepcie taktiež predpokladá prijatie Spoločnej poľnohospodárskej politiky na roky 2014 – 2020 a  schválenie Programu rozvoja vidieka SR na roky 2014 – 2020 na národnej úrovni. Následne si plnenie jednotlivých cieľov koncepcie vyžaduje vypísanie príslušných výziev na predkladanie žiadostí v rámci </w:t>
      </w:r>
      <w:r w:rsidR="003203B4">
        <w:rPr>
          <w:lang w:val="sk-SK"/>
        </w:rPr>
        <w:t>PRV SR na roky 2014 – 2020 a súbežne aj vypracovanie schém štátnej pomoci na realizáciu priorít národného záujmu. Napĺňanie cieľov koncepcie si taktiež vyžaduje zmeny legislatívnych úprav pre domáci predaj poľnohospodárskej produkcie.</w:t>
      </w:r>
    </w:p>
    <w:p w:rsidR="00A80523" w:rsidRPr="006F6A99" w:rsidRDefault="00A80523">
      <w:pPr>
        <w:jc w:val="right"/>
        <w:rPr>
          <w:sz w:val="20"/>
          <w:szCs w:val="20"/>
          <w:lang w:val="sk-SK"/>
        </w:rPr>
      </w:pPr>
      <w:r w:rsidRPr="006F6A99">
        <w:rPr>
          <w:sz w:val="20"/>
          <w:szCs w:val="20"/>
          <w:lang w:val="sk-SK"/>
        </w:rPr>
        <w:t xml:space="preserve">Tabuľka č. 3 </w:t>
      </w:r>
    </w:p>
    <w:tbl>
      <w:tblPr>
        <w:tblW w:w="14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5"/>
        <w:gridCol w:w="709"/>
        <w:gridCol w:w="850"/>
        <w:gridCol w:w="851"/>
        <w:gridCol w:w="851"/>
        <w:gridCol w:w="850"/>
        <w:gridCol w:w="851"/>
        <w:gridCol w:w="709"/>
        <w:gridCol w:w="708"/>
      </w:tblGrid>
      <w:tr w:rsidR="00607E0E" w:rsidRPr="00E433B6" w:rsidTr="00F32E16">
        <w:trPr>
          <w:cantSplit/>
          <w:trHeight w:val="70"/>
        </w:trPr>
        <w:tc>
          <w:tcPr>
            <w:tcW w:w="7685"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607E0E" w:rsidRPr="00E433B6" w:rsidRDefault="00607E0E">
            <w:pPr>
              <w:autoSpaceDE w:val="0"/>
              <w:autoSpaceDN w:val="0"/>
              <w:adjustRightInd w:val="0"/>
              <w:jc w:val="center"/>
              <w:rPr>
                <w:b/>
                <w:bCs/>
                <w:color w:val="FFFFFF"/>
                <w:sz w:val="20"/>
                <w:szCs w:val="20"/>
                <w:lang w:val="sk-SK"/>
              </w:rPr>
            </w:pPr>
            <w:r w:rsidRPr="00E433B6">
              <w:rPr>
                <w:b/>
                <w:bCs/>
                <w:color w:val="FFFFFF"/>
                <w:sz w:val="20"/>
                <w:szCs w:val="20"/>
                <w:lang w:val="sk-SK"/>
              </w:rPr>
              <w:t>Objem aktivít</w:t>
            </w:r>
          </w:p>
        </w:tc>
        <w:tc>
          <w:tcPr>
            <w:tcW w:w="6379" w:type="dxa"/>
            <w:gridSpan w:val="8"/>
            <w:tcBorders>
              <w:top w:val="single" w:sz="4" w:space="0" w:color="auto"/>
              <w:left w:val="single" w:sz="4" w:space="0" w:color="auto"/>
              <w:bottom w:val="single" w:sz="4" w:space="0" w:color="auto"/>
            </w:tcBorders>
            <w:shd w:val="clear" w:color="auto" w:fill="000000"/>
            <w:vAlign w:val="center"/>
          </w:tcPr>
          <w:p w:rsidR="00607E0E" w:rsidRPr="00E433B6" w:rsidRDefault="00607E0E">
            <w:pPr>
              <w:autoSpaceDE w:val="0"/>
              <w:autoSpaceDN w:val="0"/>
              <w:adjustRightInd w:val="0"/>
              <w:jc w:val="center"/>
              <w:rPr>
                <w:b/>
                <w:bCs/>
                <w:color w:val="FFFFFF"/>
                <w:sz w:val="20"/>
                <w:szCs w:val="20"/>
                <w:lang w:val="sk-SK"/>
              </w:rPr>
            </w:pPr>
            <w:r w:rsidRPr="00E433B6">
              <w:rPr>
                <w:b/>
                <w:bCs/>
                <w:color w:val="FFFFFF"/>
                <w:sz w:val="20"/>
                <w:szCs w:val="20"/>
                <w:lang w:val="sk-SK"/>
              </w:rPr>
              <w:t>Odhadované objemy</w:t>
            </w:r>
          </w:p>
        </w:tc>
      </w:tr>
      <w:tr w:rsidR="00590512" w:rsidRPr="00E433B6" w:rsidTr="00FF2E3C">
        <w:trPr>
          <w:cantSplit/>
          <w:trHeight w:val="70"/>
        </w:trPr>
        <w:tc>
          <w:tcPr>
            <w:tcW w:w="7685" w:type="dxa"/>
            <w:vMerge/>
            <w:tcBorders>
              <w:top w:val="single" w:sz="4" w:space="0" w:color="auto"/>
              <w:left w:val="single" w:sz="4" w:space="0" w:color="auto"/>
              <w:bottom w:val="single" w:sz="4" w:space="0" w:color="auto"/>
              <w:right w:val="single" w:sz="4" w:space="0" w:color="auto"/>
            </w:tcBorders>
          </w:tcPr>
          <w:p w:rsidR="00590512" w:rsidRPr="00E433B6" w:rsidRDefault="00590512">
            <w:pPr>
              <w:autoSpaceDE w:val="0"/>
              <w:autoSpaceDN w:val="0"/>
              <w:adjustRightInd w:val="0"/>
              <w:jc w:val="center"/>
              <w:rPr>
                <w:b/>
                <w:bCs/>
                <w:color w:val="FFFFFF"/>
                <w:sz w:val="20"/>
                <w:szCs w:val="20"/>
                <w:lang w:val="sk-SK"/>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2013</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2014</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2015</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2016</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2017</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2018</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2019</w:t>
            </w:r>
          </w:p>
        </w:tc>
        <w:tc>
          <w:tcPr>
            <w:tcW w:w="708" w:type="dxa"/>
            <w:tcBorders>
              <w:top w:val="single" w:sz="4" w:space="0" w:color="auto"/>
              <w:left w:val="single" w:sz="4" w:space="0" w:color="auto"/>
              <w:bottom w:val="single" w:sz="4" w:space="0" w:color="auto"/>
              <w:right w:val="single" w:sz="4" w:space="0" w:color="auto"/>
            </w:tcBorders>
            <w:shd w:val="clear" w:color="auto" w:fill="000000"/>
            <w:vAlign w:val="center"/>
          </w:tcPr>
          <w:p w:rsidR="00590512" w:rsidRPr="00B10972" w:rsidRDefault="00590512" w:rsidP="00FF2E3C">
            <w:pPr>
              <w:jc w:val="center"/>
              <w:rPr>
                <w:b/>
                <w:bCs/>
                <w:color w:val="FFFFFF"/>
                <w:sz w:val="20"/>
                <w:szCs w:val="20"/>
                <w:lang w:val="sk-SK"/>
              </w:rPr>
            </w:pPr>
            <w:r>
              <w:rPr>
                <w:b/>
                <w:bCs/>
                <w:color w:val="FFFFFF"/>
                <w:sz w:val="20"/>
                <w:szCs w:val="20"/>
                <w:lang w:val="sk-SK"/>
              </w:rPr>
              <w:t>2020</w:t>
            </w:r>
          </w:p>
        </w:tc>
      </w:tr>
      <w:tr w:rsidR="00E433B6"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rPr>
                <w:color w:val="000000"/>
                <w:sz w:val="20"/>
                <w:szCs w:val="20"/>
                <w:lang w:val="sk-SK"/>
              </w:rPr>
            </w:pPr>
            <w:r w:rsidRPr="00E433B6">
              <w:rPr>
                <w:color w:val="000000"/>
                <w:sz w:val="20"/>
                <w:szCs w:val="20"/>
                <w:lang w:val="sk-SK"/>
              </w:rPr>
              <w:t>Vyhodnocovanie napĺňania vízie, zámerov a cieľov koncepcie</w:t>
            </w:r>
          </w:p>
        </w:tc>
        <w:tc>
          <w:tcPr>
            <w:tcW w:w="709"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850"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851"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851"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850"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851"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709"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c>
          <w:tcPr>
            <w:tcW w:w="708" w:type="dxa"/>
            <w:tcBorders>
              <w:top w:val="single" w:sz="4" w:space="0" w:color="auto"/>
              <w:left w:val="single" w:sz="4" w:space="0" w:color="auto"/>
              <w:bottom w:val="single" w:sz="4" w:space="0" w:color="auto"/>
              <w:right w:val="single" w:sz="4" w:space="0" w:color="auto"/>
            </w:tcBorders>
          </w:tcPr>
          <w:p w:rsidR="00E433B6" w:rsidRPr="00E433B6" w:rsidRDefault="00E433B6">
            <w:pPr>
              <w:autoSpaceDE w:val="0"/>
              <w:autoSpaceDN w:val="0"/>
              <w:adjustRightInd w:val="0"/>
              <w:jc w:val="right"/>
              <w:rPr>
                <w:color w:val="000000"/>
                <w:sz w:val="20"/>
                <w:szCs w:val="20"/>
                <w:lang w:val="sk-SK"/>
              </w:rPr>
            </w:pPr>
            <w:r>
              <w:rPr>
                <w:color w:val="000000"/>
                <w:sz w:val="20"/>
                <w:szCs w:val="20"/>
                <w:lang w:val="sk-SK"/>
              </w:rPr>
              <w:t>1</w:t>
            </w:r>
          </w:p>
        </w:tc>
      </w:tr>
      <w:tr w:rsidR="00B20206"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B20206" w:rsidRDefault="00B20206" w:rsidP="00BD5C1D">
            <w:pPr>
              <w:autoSpaceDE w:val="0"/>
              <w:autoSpaceDN w:val="0"/>
              <w:adjustRightInd w:val="0"/>
              <w:rPr>
                <w:color w:val="000000"/>
                <w:sz w:val="20"/>
                <w:szCs w:val="20"/>
                <w:lang w:val="sk-SK"/>
              </w:rPr>
            </w:pPr>
            <w:r>
              <w:rPr>
                <w:color w:val="000000"/>
                <w:sz w:val="20"/>
                <w:szCs w:val="20"/>
                <w:lang w:val="sk-SK"/>
              </w:rPr>
              <w:t>Schválenie SPP EÚ na roky 2014 – 2020</w:t>
            </w:r>
          </w:p>
        </w:tc>
        <w:tc>
          <w:tcPr>
            <w:tcW w:w="709"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1</w:t>
            </w:r>
          </w:p>
        </w:tc>
        <w:tc>
          <w:tcPr>
            <w:tcW w:w="850"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9"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8"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r>
      <w:tr w:rsidR="00B20206"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B20206" w:rsidRDefault="00B20206" w:rsidP="00BD5C1D">
            <w:pPr>
              <w:autoSpaceDE w:val="0"/>
              <w:autoSpaceDN w:val="0"/>
              <w:adjustRightInd w:val="0"/>
              <w:rPr>
                <w:color w:val="000000"/>
                <w:sz w:val="20"/>
                <w:szCs w:val="20"/>
                <w:lang w:val="sk-SK"/>
              </w:rPr>
            </w:pPr>
            <w:r>
              <w:rPr>
                <w:color w:val="000000"/>
                <w:sz w:val="20"/>
                <w:szCs w:val="20"/>
                <w:lang w:val="sk-SK"/>
              </w:rPr>
              <w:t>Schválenie PRV SR na roky 2014 - 2020</w:t>
            </w:r>
          </w:p>
        </w:tc>
        <w:tc>
          <w:tcPr>
            <w:tcW w:w="709"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1</w:t>
            </w:r>
          </w:p>
        </w:tc>
        <w:tc>
          <w:tcPr>
            <w:tcW w:w="850"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9"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8" w:type="dxa"/>
            <w:tcBorders>
              <w:top w:val="single" w:sz="4" w:space="0" w:color="auto"/>
              <w:left w:val="single" w:sz="4" w:space="0" w:color="auto"/>
              <w:bottom w:val="single" w:sz="4" w:space="0" w:color="auto"/>
              <w:right w:val="single" w:sz="4" w:space="0" w:color="auto"/>
            </w:tcBorders>
          </w:tcPr>
          <w:p w:rsidR="00B20206" w:rsidRDefault="00B20206">
            <w:pPr>
              <w:autoSpaceDE w:val="0"/>
              <w:autoSpaceDN w:val="0"/>
              <w:adjustRightInd w:val="0"/>
              <w:jc w:val="right"/>
              <w:rPr>
                <w:color w:val="000000"/>
                <w:sz w:val="20"/>
                <w:szCs w:val="20"/>
                <w:lang w:val="sk-SK"/>
              </w:rPr>
            </w:pPr>
            <w:r>
              <w:rPr>
                <w:color w:val="000000"/>
                <w:sz w:val="20"/>
                <w:szCs w:val="20"/>
                <w:lang w:val="sk-SK"/>
              </w:rPr>
              <w:t>0</w:t>
            </w:r>
          </w:p>
        </w:tc>
      </w:tr>
      <w:tr w:rsidR="00BD5C1D"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BD5C1D" w:rsidRPr="00E433B6" w:rsidRDefault="00BD5C1D" w:rsidP="00BD5C1D">
            <w:pPr>
              <w:autoSpaceDE w:val="0"/>
              <w:autoSpaceDN w:val="0"/>
              <w:adjustRightInd w:val="0"/>
              <w:rPr>
                <w:color w:val="000000"/>
                <w:sz w:val="20"/>
                <w:szCs w:val="20"/>
                <w:lang w:val="sk-SK"/>
              </w:rPr>
            </w:pPr>
            <w:r>
              <w:rPr>
                <w:color w:val="000000"/>
                <w:sz w:val="20"/>
                <w:szCs w:val="20"/>
                <w:lang w:val="sk-SK"/>
              </w:rPr>
              <w:t xml:space="preserve">Vypísanie výziev </w:t>
            </w:r>
            <w:r w:rsidRPr="00BD5C1D">
              <w:rPr>
                <w:color w:val="000000"/>
                <w:sz w:val="20"/>
                <w:szCs w:val="20"/>
                <w:lang w:val="sk-SK"/>
              </w:rPr>
              <w:t>na predkladanie žiadostí o</w:t>
            </w:r>
            <w:r w:rsidR="00E64E4A">
              <w:rPr>
                <w:color w:val="000000"/>
                <w:sz w:val="20"/>
                <w:szCs w:val="20"/>
                <w:lang w:val="sk-SK"/>
              </w:rPr>
              <w:t> </w:t>
            </w:r>
            <w:r w:rsidRPr="00BD5C1D">
              <w:rPr>
                <w:color w:val="000000"/>
                <w:sz w:val="20"/>
                <w:szCs w:val="20"/>
                <w:lang w:val="sk-SK"/>
              </w:rPr>
              <w:t>NFP</w:t>
            </w:r>
            <w:r w:rsidR="00E64E4A">
              <w:rPr>
                <w:color w:val="000000"/>
                <w:sz w:val="20"/>
                <w:szCs w:val="20"/>
                <w:lang w:val="sk-SK"/>
              </w:rPr>
              <w:t xml:space="preserve"> (počet vypísaných výziev)</w:t>
            </w:r>
          </w:p>
        </w:tc>
        <w:tc>
          <w:tcPr>
            <w:tcW w:w="709" w:type="dxa"/>
            <w:tcBorders>
              <w:top w:val="single" w:sz="4" w:space="0" w:color="auto"/>
              <w:left w:val="single" w:sz="4" w:space="0" w:color="auto"/>
              <w:bottom w:val="single" w:sz="4" w:space="0" w:color="auto"/>
              <w:right w:val="single" w:sz="4" w:space="0" w:color="auto"/>
            </w:tcBorders>
          </w:tcPr>
          <w:p w:rsidR="00BD5C1D" w:rsidRDefault="00BD5C1D">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8</w:t>
            </w:r>
          </w:p>
        </w:tc>
        <w:tc>
          <w:tcPr>
            <w:tcW w:w="851"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3</w:t>
            </w:r>
          </w:p>
        </w:tc>
        <w:tc>
          <w:tcPr>
            <w:tcW w:w="851"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5</w:t>
            </w:r>
          </w:p>
        </w:tc>
        <w:tc>
          <w:tcPr>
            <w:tcW w:w="851"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1</w:t>
            </w:r>
          </w:p>
        </w:tc>
        <w:tc>
          <w:tcPr>
            <w:tcW w:w="709"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0</w:t>
            </w:r>
          </w:p>
        </w:tc>
        <w:tc>
          <w:tcPr>
            <w:tcW w:w="708" w:type="dxa"/>
            <w:tcBorders>
              <w:top w:val="single" w:sz="4" w:space="0" w:color="auto"/>
              <w:left w:val="single" w:sz="4" w:space="0" w:color="auto"/>
              <w:bottom w:val="single" w:sz="4" w:space="0" w:color="auto"/>
              <w:right w:val="single" w:sz="4" w:space="0" w:color="auto"/>
            </w:tcBorders>
          </w:tcPr>
          <w:p w:rsidR="00BD5C1D" w:rsidRDefault="00E64E4A">
            <w:pPr>
              <w:autoSpaceDE w:val="0"/>
              <w:autoSpaceDN w:val="0"/>
              <w:adjustRightInd w:val="0"/>
              <w:jc w:val="right"/>
              <w:rPr>
                <w:color w:val="000000"/>
                <w:sz w:val="20"/>
                <w:szCs w:val="20"/>
                <w:lang w:val="sk-SK"/>
              </w:rPr>
            </w:pPr>
            <w:r>
              <w:rPr>
                <w:color w:val="000000"/>
                <w:sz w:val="20"/>
                <w:szCs w:val="20"/>
                <w:lang w:val="sk-SK"/>
              </w:rPr>
              <w:t>1</w:t>
            </w:r>
          </w:p>
        </w:tc>
      </w:tr>
      <w:tr w:rsidR="00E64E4A"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E64E4A" w:rsidRDefault="00E64E4A" w:rsidP="003203B4">
            <w:pPr>
              <w:autoSpaceDE w:val="0"/>
              <w:autoSpaceDN w:val="0"/>
              <w:adjustRightInd w:val="0"/>
              <w:rPr>
                <w:color w:val="000000"/>
                <w:sz w:val="20"/>
                <w:szCs w:val="20"/>
                <w:lang w:val="sk-SK"/>
              </w:rPr>
            </w:pPr>
            <w:r>
              <w:rPr>
                <w:color w:val="000000"/>
                <w:sz w:val="20"/>
                <w:szCs w:val="20"/>
                <w:lang w:val="sk-SK"/>
              </w:rPr>
              <w:t xml:space="preserve">Vypracovanie schém štátnej pomoci pre </w:t>
            </w:r>
            <w:r w:rsidR="003203B4">
              <w:rPr>
                <w:color w:val="000000"/>
                <w:sz w:val="20"/>
                <w:szCs w:val="20"/>
                <w:lang w:val="sk-SK"/>
              </w:rPr>
              <w:t>priority</w:t>
            </w:r>
            <w:r>
              <w:rPr>
                <w:color w:val="000000"/>
                <w:sz w:val="20"/>
                <w:szCs w:val="20"/>
                <w:lang w:val="sk-SK"/>
              </w:rPr>
              <w:t xml:space="preserve"> národného záujmu (počet schém)</w:t>
            </w:r>
          </w:p>
        </w:tc>
        <w:tc>
          <w:tcPr>
            <w:tcW w:w="709"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1</w:t>
            </w:r>
          </w:p>
        </w:tc>
        <w:tc>
          <w:tcPr>
            <w:tcW w:w="850"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851"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851"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850"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851"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709"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c>
          <w:tcPr>
            <w:tcW w:w="708" w:type="dxa"/>
            <w:tcBorders>
              <w:top w:val="single" w:sz="4" w:space="0" w:color="auto"/>
              <w:left w:val="single" w:sz="4" w:space="0" w:color="auto"/>
              <w:bottom w:val="single" w:sz="4" w:space="0" w:color="auto"/>
              <w:right w:val="single" w:sz="4" w:space="0" w:color="auto"/>
            </w:tcBorders>
          </w:tcPr>
          <w:p w:rsidR="00E64E4A" w:rsidRDefault="00F32E16">
            <w:pPr>
              <w:autoSpaceDE w:val="0"/>
              <w:autoSpaceDN w:val="0"/>
              <w:adjustRightInd w:val="0"/>
              <w:jc w:val="right"/>
              <w:rPr>
                <w:color w:val="000000"/>
                <w:sz w:val="20"/>
                <w:szCs w:val="20"/>
                <w:lang w:val="sk-SK"/>
              </w:rPr>
            </w:pPr>
            <w:r>
              <w:rPr>
                <w:color w:val="000000"/>
                <w:sz w:val="20"/>
                <w:szCs w:val="20"/>
                <w:lang w:val="sk-SK"/>
              </w:rPr>
              <w:t>6</w:t>
            </w:r>
          </w:p>
        </w:tc>
      </w:tr>
      <w:tr w:rsidR="00F32E16" w:rsidRPr="00E433B6" w:rsidTr="00F32E16">
        <w:trPr>
          <w:trHeight w:val="70"/>
        </w:trPr>
        <w:tc>
          <w:tcPr>
            <w:tcW w:w="7685" w:type="dxa"/>
            <w:tcBorders>
              <w:top w:val="single" w:sz="4" w:space="0" w:color="auto"/>
              <w:left w:val="single" w:sz="4" w:space="0" w:color="auto"/>
              <w:bottom w:val="single" w:sz="4" w:space="0" w:color="auto"/>
              <w:right w:val="single" w:sz="4" w:space="0" w:color="auto"/>
            </w:tcBorders>
          </w:tcPr>
          <w:p w:rsidR="00F32E16" w:rsidRDefault="00F32E16" w:rsidP="00B20206">
            <w:pPr>
              <w:autoSpaceDE w:val="0"/>
              <w:autoSpaceDN w:val="0"/>
              <w:adjustRightInd w:val="0"/>
              <w:rPr>
                <w:color w:val="000000"/>
                <w:sz w:val="20"/>
                <w:szCs w:val="20"/>
                <w:lang w:val="sk-SK"/>
              </w:rPr>
            </w:pPr>
            <w:r>
              <w:rPr>
                <w:color w:val="000000"/>
                <w:sz w:val="20"/>
                <w:szCs w:val="20"/>
                <w:lang w:val="sk-SK"/>
              </w:rPr>
              <w:t xml:space="preserve">Zmeny legislatívnych úprav pre </w:t>
            </w:r>
            <w:r w:rsidR="00B20206">
              <w:rPr>
                <w:color w:val="000000"/>
                <w:sz w:val="20"/>
                <w:szCs w:val="20"/>
                <w:lang w:val="sk-SK"/>
              </w:rPr>
              <w:t>zjednodušenie</w:t>
            </w:r>
            <w:r>
              <w:rPr>
                <w:color w:val="000000"/>
                <w:sz w:val="20"/>
                <w:szCs w:val="20"/>
                <w:lang w:val="sk-SK"/>
              </w:rPr>
              <w:t xml:space="preserve"> </w:t>
            </w:r>
            <w:r w:rsidR="00B20206">
              <w:rPr>
                <w:color w:val="000000"/>
                <w:sz w:val="20"/>
                <w:szCs w:val="20"/>
                <w:lang w:val="sk-SK"/>
              </w:rPr>
              <w:t>predaja výrobkov z dvora (počet úprav)</w:t>
            </w:r>
          </w:p>
        </w:tc>
        <w:tc>
          <w:tcPr>
            <w:tcW w:w="709"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2</w:t>
            </w:r>
          </w:p>
        </w:tc>
        <w:tc>
          <w:tcPr>
            <w:tcW w:w="851"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0"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851"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9"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c>
          <w:tcPr>
            <w:tcW w:w="708" w:type="dxa"/>
            <w:tcBorders>
              <w:top w:val="single" w:sz="4" w:space="0" w:color="auto"/>
              <w:left w:val="single" w:sz="4" w:space="0" w:color="auto"/>
              <w:bottom w:val="single" w:sz="4" w:space="0" w:color="auto"/>
              <w:right w:val="single" w:sz="4" w:space="0" w:color="auto"/>
            </w:tcBorders>
          </w:tcPr>
          <w:p w:rsidR="00F32E16" w:rsidRDefault="00B20206">
            <w:pPr>
              <w:autoSpaceDE w:val="0"/>
              <w:autoSpaceDN w:val="0"/>
              <w:adjustRightInd w:val="0"/>
              <w:jc w:val="right"/>
              <w:rPr>
                <w:color w:val="000000"/>
                <w:sz w:val="20"/>
                <w:szCs w:val="20"/>
                <w:lang w:val="sk-SK"/>
              </w:rPr>
            </w:pPr>
            <w:r>
              <w:rPr>
                <w:color w:val="000000"/>
                <w:sz w:val="20"/>
                <w:szCs w:val="20"/>
                <w:lang w:val="sk-SK"/>
              </w:rPr>
              <w:t>0</w:t>
            </w:r>
          </w:p>
        </w:tc>
      </w:tr>
    </w:tbl>
    <w:p w:rsidR="00A80523" w:rsidRPr="006F6A99" w:rsidRDefault="00A80523">
      <w:pPr>
        <w:rPr>
          <w:lang w:val="sk-SK"/>
        </w:rPr>
      </w:pPr>
    </w:p>
    <w:p w:rsidR="00ED73EA" w:rsidRPr="006F6A99" w:rsidRDefault="00ED73EA">
      <w:pPr>
        <w:rPr>
          <w:lang w:val="sk-SK"/>
        </w:rPr>
      </w:pPr>
    </w:p>
    <w:p w:rsidR="00A80523" w:rsidRPr="006F6A99" w:rsidRDefault="00A80523">
      <w:pPr>
        <w:rPr>
          <w:b/>
          <w:bCs/>
          <w:lang w:val="sk-SK"/>
        </w:rPr>
      </w:pPr>
      <w:r w:rsidRPr="006F6A99">
        <w:rPr>
          <w:b/>
          <w:bCs/>
          <w:lang w:val="sk-SK"/>
        </w:rPr>
        <w:t>2.3.4. Výpočty vplyvov na verejné financie</w:t>
      </w:r>
    </w:p>
    <w:p w:rsidR="00A80523" w:rsidRDefault="00A80523">
      <w:pPr>
        <w:rPr>
          <w:lang w:val="sk-SK"/>
        </w:rPr>
      </w:pPr>
    </w:p>
    <w:p w:rsidR="006A32DC" w:rsidRDefault="006A32DC" w:rsidP="006A32DC">
      <w:pPr>
        <w:jc w:val="both"/>
        <w:rPr>
          <w:rFonts w:eastAsia="Calibri"/>
          <w:lang w:val="sk-SK"/>
        </w:rPr>
      </w:pPr>
      <w:r>
        <w:rPr>
          <w:rFonts w:eastAsia="Calibri"/>
          <w:lang w:val="sk-SK"/>
        </w:rPr>
        <w:t>O</w:t>
      </w:r>
      <w:r w:rsidRPr="006A32DC">
        <w:rPr>
          <w:rFonts w:eastAsia="Calibri"/>
          <w:lang w:val="sk-SK"/>
        </w:rPr>
        <w:t>patrenia a prioritné úlohy sú navrhnuté s cieľom čo najefektívnejšie prispieť napĺňaniu strategických zámerov a cieľov spoločnej poľnohospodárskej politiky a programu rozvoja vidieka na budúce programové obdobie 2014 – 2020. Súčasne plne reflektujú priority vlády Slovenskej republiky definované v rámci jej programového vyhlásenia na roky</w:t>
      </w:r>
      <w:r>
        <w:rPr>
          <w:rFonts w:eastAsia="Calibri"/>
          <w:lang w:val="sk-SK"/>
        </w:rPr>
        <w:t xml:space="preserve"> </w:t>
      </w:r>
      <w:r w:rsidRPr="006A32DC">
        <w:rPr>
          <w:rFonts w:eastAsia="Calibri"/>
          <w:lang w:val="sk-SK"/>
        </w:rPr>
        <w:t>2012 – 2016. Sú navrhnuté so strategickým úmyslom Ministerstva pôdohospodárstva a rozvoja vidieka SR optimálne čerpať zdrojové prostriedky z fondov EÚ a zároveň čo najlepšie pripraviť slovenské poľnohospodárstvo a lesníctvo na blížiace sa výzvy zefektívňovania produkcie a potreby poskytnúť spotrebiteľovi čo najvyššiu pridanú hodnotu.</w:t>
      </w:r>
    </w:p>
    <w:p w:rsidR="00723FCB" w:rsidRDefault="00723FCB" w:rsidP="006A32DC">
      <w:pPr>
        <w:jc w:val="both"/>
        <w:rPr>
          <w:rFonts w:eastAsia="Calibri"/>
          <w:lang w:val="sk-SK"/>
        </w:rPr>
      </w:pPr>
    </w:p>
    <w:p w:rsidR="006A32DC" w:rsidRDefault="006A32DC" w:rsidP="006A32DC">
      <w:pPr>
        <w:jc w:val="both"/>
        <w:rPr>
          <w:rFonts w:eastAsia="Calibri"/>
          <w:lang w:val="sk-SK"/>
        </w:rPr>
      </w:pPr>
      <w:r w:rsidRPr="006A32DC">
        <w:rPr>
          <w:rFonts w:eastAsia="Calibri"/>
          <w:lang w:val="sk-SK"/>
        </w:rPr>
        <w:lastRenderedPageBreak/>
        <w:t>Z hľadiska vplyvov navrhovaných opatrení a prioritných úloh na štátny rozpočet, tieto plne rešpektujú pokračujúcu konsolidáciu verejných financií a spolu s požiadavkami na štátny rozpočet a zároveň identifikujú pozitívne vplyvy na hospodárstvo Slovenskej republiky, najmä v oblasti zabezpečenia bezpečnosti a kvality potravín a zamestnanosti.</w:t>
      </w:r>
    </w:p>
    <w:p w:rsidR="006A32DC" w:rsidRDefault="006A32DC" w:rsidP="006A32DC">
      <w:pPr>
        <w:jc w:val="both"/>
        <w:rPr>
          <w:rFonts w:eastAsia="Calibri"/>
          <w:lang w:val="sk-SK"/>
        </w:rPr>
      </w:pPr>
    </w:p>
    <w:p w:rsidR="00ED73EA" w:rsidRDefault="006A32DC" w:rsidP="000B3364">
      <w:pPr>
        <w:jc w:val="both"/>
        <w:rPr>
          <w:rFonts w:eastAsia="Calibri"/>
          <w:lang w:val="sk-SK"/>
        </w:rPr>
      </w:pPr>
      <w:r w:rsidRPr="006A32DC">
        <w:rPr>
          <w:rFonts w:eastAsia="Calibri"/>
          <w:lang w:val="sk-SK"/>
        </w:rPr>
        <w:t>Na základe kvantifikácie náročnosti navrhovaných opatrení v rámci Koncepcie rozvoja pôdohospodárstva na roky 2013 – 2020  na zabezpečenie financovania ich realizácie sú predpokladané vplyvy na štátny rozpočet v rokoch 2013 – 2020 v celkovej výške 13 420 000 EUR. Celkové náklady na realizáciu navrhovaných opatrení a prioritných úloh</w:t>
      </w:r>
      <w:r>
        <w:rPr>
          <w:rFonts w:eastAsia="Calibri"/>
          <w:lang w:val="sk-SK"/>
        </w:rPr>
        <w:t>, vrátane spolufinancovania zo strany žiadateľa,</w:t>
      </w:r>
      <w:r w:rsidRPr="006A32DC">
        <w:rPr>
          <w:rFonts w:eastAsia="Calibri"/>
          <w:lang w:val="sk-SK"/>
        </w:rPr>
        <w:t xml:space="preserve"> sú vo výške 489 897 000 EUR.</w:t>
      </w:r>
    </w:p>
    <w:p w:rsidR="00723FCB" w:rsidRPr="000B3364" w:rsidRDefault="00723FCB" w:rsidP="000B3364">
      <w:pPr>
        <w:jc w:val="both"/>
        <w:rPr>
          <w:rFonts w:eastAsia="Calibri"/>
          <w:lang w:val="sk-SK"/>
        </w:rPr>
      </w:pPr>
    </w:p>
    <w:p w:rsidR="00DD3589" w:rsidRPr="006A32DC" w:rsidRDefault="006A32DC" w:rsidP="006A32DC">
      <w:pPr>
        <w:jc w:val="right"/>
        <w:rPr>
          <w:sz w:val="20"/>
          <w:szCs w:val="20"/>
          <w:lang w:val="sk-SK"/>
        </w:rPr>
      </w:pPr>
      <w:r w:rsidRPr="003203B4">
        <w:rPr>
          <w:sz w:val="20"/>
          <w:szCs w:val="20"/>
          <w:lang w:val="sk-SK"/>
        </w:rPr>
        <w:t xml:space="preserve">Tabuľka č. 4 </w:t>
      </w:r>
    </w:p>
    <w:tbl>
      <w:tblPr>
        <w:tblW w:w="14078" w:type="dxa"/>
        <w:tblInd w:w="70" w:type="dxa"/>
        <w:tblCellMar>
          <w:left w:w="0" w:type="dxa"/>
          <w:right w:w="0" w:type="dxa"/>
        </w:tblCellMar>
        <w:tblLook w:val="04A0" w:firstRow="1" w:lastRow="0" w:firstColumn="1" w:lastColumn="0" w:noHBand="0" w:noVBand="1"/>
      </w:tblPr>
      <w:tblGrid>
        <w:gridCol w:w="7158"/>
        <w:gridCol w:w="1460"/>
        <w:gridCol w:w="1460"/>
        <w:gridCol w:w="2000"/>
        <w:gridCol w:w="2000"/>
      </w:tblGrid>
      <w:tr w:rsidR="006A32DC" w:rsidRPr="00B10972" w:rsidTr="00B10972">
        <w:trPr>
          <w:trHeight w:val="281"/>
        </w:trPr>
        <w:tc>
          <w:tcPr>
            <w:tcW w:w="7158" w:type="dxa"/>
            <w:vMerge w:val="restart"/>
            <w:tcBorders>
              <w:top w:val="nil"/>
              <w:left w:val="nil"/>
              <w:bottom w:val="nil"/>
              <w:right w:val="nil"/>
            </w:tcBorders>
            <w:shd w:val="clear" w:color="auto" w:fill="000000"/>
            <w:tcMar>
              <w:top w:w="15" w:type="dxa"/>
              <w:left w:w="70" w:type="dxa"/>
              <w:bottom w:w="0" w:type="dxa"/>
              <w:right w:w="70" w:type="dxa"/>
            </w:tcMar>
            <w:vAlign w:val="center"/>
            <w:hideMark/>
          </w:tcPr>
          <w:p w:rsidR="006A32DC" w:rsidRPr="00B10972" w:rsidRDefault="006A32DC" w:rsidP="00DD3589">
            <w:pPr>
              <w:rPr>
                <w:color w:val="FFFFFF"/>
                <w:sz w:val="20"/>
                <w:szCs w:val="20"/>
                <w:lang w:val="sk-SK"/>
              </w:rPr>
            </w:pPr>
            <w:r w:rsidRPr="00B10972">
              <w:rPr>
                <w:b/>
                <w:bCs/>
                <w:color w:val="FFFFFF"/>
                <w:sz w:val="20"/>
                <w:szCs w:val="20"/>
                <w:lang w:val="sk-SK"/>
              </w:rPr>
              <w:t> </w:t>
            </w:r>
          </w:p>
        </w:tc>
        <w:tc>
          <w:tcPr>
            <w:tcW w:w="6920" w:type="dxa"/>
            <w:gridSpan w:val="4"/>
            <w:tcBorders>
              <w:top w:val="nil"/>
              <w:left w:val="nil"/>
              <w:bottom w:val="nil"/>
            </w:tcBorders>
            <w:shd w:val="clear" w:color="auto" w:fill="000000"/>
            <w:tcMar>
              <w:top w:w="15" w:type="dxa"/>
              <w:left w:w="70" w:type="dxa"/>
              <w:bottom w:w="0" w:type="dxa"/>
              <w:right w:w="70" w:type="dxa"/>
            </w:tcMar>
            <w:vAlign w:val="center"/>
            <w:hideMark/>
          </w:tcPr>
          <w:p w:rsidR="006A32DC" w:rsidRPr="00B10972" w:rsidRDefault="006A32DC" w:rsidP="006A32DC">
            <w:pPr>
              <w:jc w:val="center"/>
              <w:rPr>
                <w:color w:val="FFFFFF"/>
                <w:sz w:val="20"/>
                <w:szCs w:val="20"/>
                <w:lang w:val="sk-SK"/>
              </w:rPr>
            </w:pPr>
            <w:r w:rsidRPr="00B10972">
              <w:rPr>
                <w:b/>
                <w:bCs/>
                <w:color w:val="FFFFFF"/>
                <w:sz w:val="20"/>
                <w:szCs w:val="20"/>
                <w:lang w:val="sk-SK"/>
              </w:rPr>
              <w:t>Potreba financovania (v EUR)</w:t>
            </w:r>
          </w:p>
        </w:tc>
      </w:tr>
      <w:tr w:rsidR="00DD3589" w:rsidRPr="00B10972" w:rsidTr="00B10972">
        <w:trPr>
          <w:trHeight w:val="725"/>
        </w:trPr>
        <w:tc>
          <w:tcPr>
            <w:tcW w:w="7158" w:type="dxa"/>
            <w:vMerge/>
            <w:tcBorders>
              <w:top w:val="nil"/>
              <w:left w:val="nil"/>
              <w:bottom w:val="single" w:sz="4" w:space="0" w:color="auto"/>
              <w:right w:val="nil"/>
            </w:tcBorders>
            <w:shd w:val="clear" w:color="auto" w:fill="000000"/>
            <w:vAlign w:val="center"/>
            <w:hideMark/>
          </w:tcPr>
          <w:p w:rsidR="00DD3589" w:rsidRPr="00B10972" w:rsidRDefault="00DD3589" w:rsidP="00DD3589">
            <w:pPr>
              <w:rPr>
                <w:color w:val="FFFFFF"/>
                <w:sz w:val="20"/>
                <w:szCs w:val="20"/>
                <w:lang w:val="sk-SK"/>
              </w:rPr>
            </w:pPr>
          </w:p>
        </w:tc>
        <w:tc>
          <w:tcPr>
            <w:tcW w:w="1460" w:type="dxa"/>
            <w:tcBorders>
              <w:top w:val="nil"/>
              <w:left w:val="nil"/>
              <w:bottom w:val="single" w:sz="4" w:space="0" w:color="auto"/>
              <w:right w:val="nil"/>
            </w:tcBorders>
            <w:shd w:val="clear" w:color="auto" w:fill="000000"/>
            <w:tcMar>
              <w:top w:w="15" w:type="dxa"/>
              <w:left w:w="70" w:type="dxa"/>
              <w:bottom w:w="0" w:type="dxa"/>
              <w:right w:w="70" w:type="dxa"/>
            </w:tcMar>
            <w:vAlign w:val="center"/>
            <w:hideMark/>
          </w:tcPr>
          <w:p w:rsidR="00B10972" w:rsidRPr="00B10972" w:rsidRDefault="00DD3589" w:rsidP="00DD3589">
            <w:pPr>
              <w:rPr>
                <w:b/>
                <w:color w:val="FFFFFF"/>
                <w:sz w:val="20"/>
                <w:szCs w:val="20"/>
                <w:lang w:val="sk-SK"/>
              </w:rPr>
            </w:pPr>
            <w:r w:rsidRPr="00B10972">
              <w:rPr>
                <w:b/>
                <w:color w:val="FFFFFF"/>
                <w:sz w:val="20"/>
                <w:szCs w:val="20"/>
                <w:lang w:val="sk-SK"/>
              </w:rPr>
              <w:t>Celkom</w:t>
            </w:r>
          </w:p>
        </w:tc>
        <w:tc>
          <w:tcPr>
            <w:tcW w:w="1460" w:type="dxa"/>
            <w:tcBorders>
              <w:top w:val="nil"/>
              <w:left w:val="nil"/>
              <w:bottom w:val="single" w:sz="4" w:space="0" w:color="auto"/>
              <w:right w:val="nil"/>
            </w:tcBorders>
            <w:shd w:val="clear" w:color="auto" w:fill="000000"/>
            <w:tcMar>
              <w:top w:w="15" w:type="dxa"/>
              <w:left w:w="70" w:type="dxa"/>
              <w:bottom w:w="0" w:type="dxa"/>
              <w:right w:w="70" w:type="dxa"/>
            </w:tcMar>
            <w:vAlign w:val="center"/>
            <w:hideMark/>
          </w:tcPr>
          <w:p w:rsidR="00B10972" w:rsidRPr="00B10972" w:rsidRDefault="005A2EBC" w:rsidP="005A2EBC">
            <w:pPr>
              <w:jc w:val="center"/>
              <w:rPr>
                <w:color w:val="FFFFFF"/>
                <w:sz w:val="20"/>
                <w:szCs w:val="20"/>
                <w:lang w:val="sk-SK"/>
              </w:rPr>
            </w:pPr>
            <w:r>
              <w:rPr>
                <w:color w:val="FFFFFF"/>
                <w:sz w:val="20"/>
                <w:szCs w:val="20"/>
                <w:lang w:val="sk-SK"/>
              </w:rPr>
              <w:t>Čisté z</w:t>
            </w:r>
            <w:r w:rsidR="00DD3589" w:rsidRPr="00B10972">
              <w:rPr>
                <w:color w:val="FFFFFF"/>
                <w:sz w:val="20"/>
                <w:szCs w:val="20"/>
                <w:lang w:val="sk-SK"/>
              </w:rPr>
              <w:t>droje štátneho rozpočtu</w:t>
            </w:r>
          </w:p>
        </w:tc>
        <w:tc>
          <w:tcPr>
            <w:tcW w:w="2000" w:type="dxa"/>
            <w:tcBorders>
              <w:top w:val="nil"/>
              <w:left w:val="nil"/>
              <w:bottom w:val="single" w:sz="4" w:space="0" w:color="auto"/>
              <w:right w:val="nil"/>
            </w:tcBorders>
            <w:shd w:val="clear" w:color="auto" w:fill="000000"/>
            <w:tcMar>
              <w:top w:w="15" w:type="dxa"/>
              <w:left w:w="70" w:type="dxa"/>
              <w:bottom w:w="0" w:type="dxa"/>
              <w:right w:w="70" w:type="dxa"/>
            </w:tcMar>
            <w:vAlign w:val="center"/>
            <w:hideMark/>
          </w:tcPr>
          <w:p w:rsidR="00B10972" w:rsidRPr="00B10972" w:rsidRDefault="00DD3589" w:rsidP="006A32DC">
            <w:pPr>
              <w:jc w:val="center"/>
              <w:rPr>
                <w:color w:val="FFFFFF"/>
                <w:sz w:val="20"/>
                <w:szCs w:val="20"/>
                <w:lang w:val="sk-SK"/>
              </w:rPr>
            </w:pPr>
            <w:r w:rsidRPr="00B10972">
              <w:rPr>
                <w:color w:val="FFFFFF"/>
                <w:sz w:val="20"/>
                <w:szCs w:val="20"/>
                <w:lang w:val="sk-SK"/>
              </w:rPr>
              <w:t>Fondy EÚ</w:t>
            </w:r>
            <w:r w:rsidR="005A2EBC">
              <w:rPr>
                <w:color w:val="FFFFFF"/>
                <w:sz w:val="20"/>
                <w:szCs w:val="20"/>
                <w:lang w:val="sk-SK"/>
              </w:rPr>
              <w:t xml:space="preserve">         (vrátane spolufinancovania ŠR)</w:t>
            </w:r>
          </w:p>
        </w:tc>
        <w:tc>
          <w:tcPr>
            <w:tcW w:w="2000" w:type="dxa"/>
            <w:tcBorders>
              <w:top w:val="nil"/>
              <w:left w:val="nil"/>
              <w:bottom w:val="single" w:sz="4" w:space="0" w:color="auto"/>
              <w:right w:val="nil"/>
            </w:tcBorders>
            <w:shd w:val="clear" w:color="auto" w:fill="000000"/>
            <w:tcMar>
              <w:top w:w="15" w:type="dxa"/>
              <w:left w:w="70" w:type="dxa"/>
              <w:bottom w:w="0" w:type="dxa"/>
              <w:right w:w="70" w:type="dxa"/>
            </w:tcMar>
            <w:vAlign w:val="center"/>
            <w:hideMark/>
          </w:tcPr>
          <w:p w:rsidR="00B10972" w:rsidRPr="00B10972" w:rsidRDefault="00DD3589" w:rsidP="006A32DC">
            <w:pPr>
              <w:jc w:val="center"/>
              <w:rPr>
                <w:color w:val="FFFFFF"/>
                <w:sz w:val="20"/>
                <w:szCs w:val="20"/>
                <w:lang w:val="sk-SK"/>
              </w:rPr>
            </w:pPr>
            <w:r w:rsidRPr="00B10972">
              <w:rPr>
                <w:color w:val="FFFFFF"/>
                <w:sz w:val="20"/>
                <w:szCs w:val="20"/>
                <w:lang w:val="sk-SK"/>
              </w:rPr>
              <w:t>Spolufinancovanie zo strany žiadateľov</w:t>
            </w:r>
          </w:p>
        </w:tc>
      </w:tr>
      <w:tr w:rsidR="00DD3589" w:rsidRPr="006A32DC" w:rsidTr="000B3364">
        <w:trPr>
          <w:trHeight w:val="412"/>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Zvýšenie konkurencieschopnosti všetkých typov poľnohospodárstva a životaschopnosti fariem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224 249 000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112 126 000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112 126 000</w:t>
            </w:r>
          </w:p>
        </w:tc>
      </w:tr>
      <w:tr w:rsidR="00DD3589" w:rsidRPr="006A32DC" w:rsidTr="000B3364">
        <w:trPr>
          <w:trHeight w:val="206"/>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Podpora organizácie v rámci potravinového reťazca a riadenie rizík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sz w:val="20"/>
                <w:szCs w:val="20"/>
                <w:lang w:val="sk-SK"/>
              </w:rPr>
              <w:t>7 5</w:t>
            </w:r>
            <w:r w:rsidR="00DD3589" w:rsidRPr="006A32DC">
              <w:rPr>
                <w:sz w:val="20"/>
                <w:szCs w:val="20"/>
                <w:lang w:val="sk-SK"/>
              </w:rPr>
              <w:t>00 000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sz w:val="20"/>
                <w:szCs w:val="20"/>
                <w:lang w:val="sk-SK"/>
              </w:rPr>
              <w:t>7 5</w:t>
            </w:r>
            <w:r w:rsidR="00DD3589" w:rsidRPr="006A32DC">
              <w:rPr>
                <w:sz w:val="20"/>
                <w:szCs w:val="20"/>
                <w:lang w:val="sk-SK"/>
              </w:rPr>
              <w:t>00 000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r>
      <w:tr w:rsidR="00DD3589" w:rsidRPr="006A32DC" w:rsidTr="000B3364">
        <w:trPr>
          <w:trHeight w:val="212"/>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Agro-environmentálne operácie súvisiace s klímou</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sz w:val="20"/>
                <w:szCs w:val="20"/>
                <w:lang w:val="sk-SK"/>
              </w:rPr>
              <w:t>92 4</w:t>
            </w:r>
            <w:r w:rsidR="00DD3589" w:rsidRPr="006A32DC">
              <w:rPr>
                <w:sz w:val="20"/>
                <w:szCs w:val="20"/>
                <w:lang w:val="sk-SK"/>
              </w:rPr>
              <w:t>3</w:t>
            </w:r>
            <w:r>
              <w:rPr>
                <w:sz w:val="20"/>
                <w:szCs w:val="20"/>
                <w:lang w:val="sk-SK"/>
              </w:rPr>
              <w:t>8</w:t>
            </w:r>
            <w:r w:rsidR="00DD3589" w:rsidRPr="006A32DC">
              <w:rPr>
                <w:sz w:val="20"/>
                <w:szCs w:val="20"/>
                <w:lang w:val="sk-SK"/>
              </w:rPr>
              <w:t xml:space="preserve">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73 853 000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r>
      <w:tr w:rsidR="00723FCB" w:rsidRPr="006A32DC" w:rsidTr="006A32DC">
        <w:trPr>
          <w:trHeight w:val="404"/>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tcPr>
          <w:p w:rsidR="00723FCB" w:rsidRPr="006A32DC" w:rsidRDefault="00723FCB" w:rsidP="00DD3589">
            <w:pPr>
              <w:rPr>
                <w:bCs/>
                <w:sz w:val="20"/>
                <w:szCs w:val="20"/>
                <w:lang w:val="sk-SK"/>
              </w:rPr>
            </w:pPr>
            <w:r>
              <w:rPr>
                <w:bCs/>
                <w:sz w:val="20"/>
                <w:szCs w:val="20"/>
                <w:lang w:val="sk-SK"/>
              </w:rPr>
              <w:t>Dobré životné podmienky zvierat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tcPr>
          <w:p w:rsidR="00723FCB" w:rsidRPr="006A32DC" w:rsidRDefault="00723FCB" w:rsidP="00DD3589">
            <w:pPr>
              <w:jc w:val="right"/>
              <w:rPr>
                <w:sz w:val="20"/>
                <w:szCs w:val="20"/>
                <w:lang w:val="sk-SK"/>
              </w:rPr>
            </w:pPr>
            <w:r>
              <w:rPr>
                <w:sz w:val="20"/>
                <w:szCs w:val="20"/>
                <w:lang w:val="sk-SK"/>
              </w:rPr>
              <w:t>42 500 000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tcPr>
          <w:p w:rsidR="00723FCB" w:rsidRPr="006A32DC" w:rsidRDefault="00723FCB" w:rsidP="00DD3589">
            <w:pPr>
              <w:jc w:val="right"/>
              <w:rPr>
                <w:sz w:val="20"/>
                <w:szCs w:val="20"/>
                <w:lang w:val="sk-SK"/>
              </w:rPr>
            </w:pPr>
            <w:r>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tcPr>
          <w:p w:rsidR="00723FCB" w:rsidRPr="006A32DC" w:rsidRDefault="00723FCB" w:rsidP="00DD3589">
            <w:pPr>
              <w:jc w:val="right"/>
              <w:rPr>
                <w:sz w:val="20"/>
                <w:szCs w:val="20"/>
                <w:lang w:val="sk-SK"/>
              </w:rPr>
            </w:pPr>
            <w:r>
              <w:rPr>
                <w:sz w:val="20"/>
                <w:szCs w:val="20"/>
                <w:lang w:val="sk-SK"/>
              </w:rPr>
              <w:t>42 500 000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tcPr>
          <w:p w:rsidR="00723FCB" w:rsidRPr="006A32DC" w:rsidRDefault="00723FCB" w:rsidP="00DD3589">
            <w:pPr>
              <w:jc w:val="right"/>
              <w:rPr>
                <w:sz w:val="20"/>
                <w:szCs w:val="20"/>
                <w:lang w:val="sk-SK"/>
              </w:rPr>
            </w:pPr>
            <w:r>
              <w:rPr>
                <w:sz w:val="20"/>
                <w:szCs w:val="20"/>
                <w:lang w:val="sk-SK"/>
              </w:rPr>
              <w:t>0</w:t>
            </w:r>
          </w:p>
        </w:tc>
      </w:tr>
      <w:tr w:rsidR="00DD3589" w:rsidRPr="006A32DC" w:rsidTr="006A32DC">
        <w:trPr>
          <w:trHeight w:val="404"/>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Investície do rozvoja lesných oblastí</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74 375 000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37 188 000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37 188 000</w:t>
            </w:r>
          </w:p>
        </w:tc>
      </w:tr>
      <w:tr w:rsidR="00DD3589" w:rsidRPr="006A32DC" w:rsidTr="000B3364">
        <w:trPr>
          <w:trHeight w:val="404"/>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Obnova potenciálu poľnohospodárskej výroby zničeného prírodnými katastrofami a katastrofickými udalosťami a zavedenie vhodných preventívnych opatrení</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54 000 000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27 000 000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27 000 000</w:t>
            </w:r>
          </w:p>
        </w:tc>
      </w:tr>
      <w:tr w:rsidR="00DD3589" w:rsidRPr="006A32DC" w:rsidTr="000B3364">
        <w:trPr>
          <w:trHeight w:val="199"/>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Cs/>
                <w:sz w:val="20"/>
                <w:szCs w:val="20"/>
                <w:lang w:val="sk-SK"/>
              </w:rPr>
              <w:t>Podporné opatrenia národného záujmu na realizáciu priorít koncepcie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13 420 000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13 420 000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sz w:val="20"/>
                <w:szCs w:val="20"/>
                <w:lang w:val="sk-SK"/>
              </w:rPr>
              <w:t>0</w:t>
            </w:r>
          </w:p>
        </w:tc>
      </w:tr>
      <w:tr w:rsidR="00DD3589" w:rsidRPr="006A32DC" w:rsidTr="000B3364">
        <w:trPr>
          <w:trHeight w:val="310"/>
        </w:trPr>
        <w:tc>
          <w:tcPr>
            <w:tcW w:w="7158"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rPr>
                <w:sz w:val="20"/>
                <w:szCs w:val="20"/>
                <w:lang w:val="sk-SK"/>
              </w:rPr>
            </w:pPr>
            <w:r w:rsidRPr="006A32DC">
              <w:rPr>
                <w:b/>
                <w:bCs/>
                <w:sz w:val="20"/>
                <w:szCs w:val="20"/>
                <w:lang w:val="sk-SK"/>
              </w:rPr>
              <w:t>Zdrojové zabezpečenie celkom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b/>
                <w:bCs/>
                <w:sz w:val="20"/>
                <w:szCs w:val="20"/>
                <w:lang w:val="sk-SK"/>
              </w:rPr>
              <w:t>508 482</w:t>
            </w:r>
            <w:r w:rsidR="00DD3589" w:rsidRPr="006A32DC">
              <w:rPr>
                <w:b/>
                <w:bCs/>
                <w:sz w:val="20"/>
                <w:szCs w:val="20"/>
                <w:lang w:val="sk-SK"/>
              </w:rPr>
              <w:t xml:space="preserve"> 000</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DD3589" w:rsidP="00DD3589">
            <w:pPr>
              <w:jc w:val="right"/>
              <w:rPr>
                <w:sz w:val="20"/>
                <w:szCs w:val="20"/>
                <w:lang w:val="sk-SK"/>
              </w:rPr>
            </w:pPr>
            <w:r w:rsidRPr="006A32DC">
              <w:rPr>
                <w:b/>
                <w:bCs/>
                <w:sz w:val="20"/>
                <w:szCs w:val="20"/>
                <w:lang w:val="sk-SK"/>
              </w:rPr>
              <w:t>13 420 000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b/>
                <w:bCs/>
                <w:sz w:val="20"/>
                <w:szCs w:val="20"/>
                <w:lang w:val="sk-SK"/>
              </w:rPr>
              <w:t xml:space="preserve">318 </w:t>
            </w:r>
            <w:r w:rsidR="00DD3589" w:rsidRPr="006A32DC">
              <w:rPr>
                <w:b/>
                <w:bCs/>
                <w:sz w:val="20"/>
                <w:szCs w:val="20"/>
                <w:lang w:val="sk-SK"/>
              </w:rPr>
              <w:t>7</w:t>
            </w:r>
            <w:r>
              <w:rPr>
                <w:b/>
                <w:bCs/>
                <w:sz w:val="20"/>
                <w:szCs w:val="20"/>
                <w:lang w:val="sk-SK"/>
              </w:rPr>
              <w:t>52</w:t>
            </w:r>
            <w:r w:rsidR="00DD3589" w:rsidRPr="006A32DC">
              <w:rPr>
                <w:b/>
                <w:bCs/>
                <w:sz w:val="20"/>
                <w:szCs w:val="20"/>
                <w:lang w:val="sk-SK"/>
              </w:rPr>
              <w:t xml:space="preserve"> 000</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B10972" w:rsidRPr="006A32DC" w:rsidRDefault="00723FCB" w:rsidP="00DD3589">
            <w:pPr>
              <w:jc w:val="right"/>
              <w:rPr>
                <w:sz w:val="20"/>
                <w:szCs w:val="20"/>
                <w:lang w:val="sk-SK"/>
              </w:rPr>
            </w:pPr>
            <w:r>
              <w:rPr>
                <w:b/>
                <w:bCs/>
                <w:sz w:val="20"/>
                <w:szCs w:val="20"/>
                <w:lang w:val="sk-SK"/>
              </w:rPr>
              <w:t>176 310</w:t>
            </w:r>
            <w:r w:rsidR="00DD3589" w:rsidRPr="006A32DC">
              <w:rPr>
                <w:b/>
                <w:bCs/>
                <w:sz w:val="20"/>
                <w:szCs w:val="20"/>
                <w:lang w:val="sk-SK"/>
              </w:rPr>
              <w:t xml:space="preserve"> 000</w:t>
            </w:r>
          </w:p>
        </w:tc>
      </w:tr>
    </w:tbl>
    <w:p w:rsidR="00DD3589" w:rsidRDefault="00DD3589">
      <w:pPr>
        <w:rPr>
          <w:lang w:val="sk-SK"/>
        </w:rPr>
      </w:pPr>
    </w:p>
    <w:p w:rsidR="007C3F2D" w:rsidRDefault="000B3364" w:rsidP="000B3364">
      <w:pPr>
        <w:jc w:val="both"/>
        <w:rPr>
          <w:rFonts w:eastAsia="Calibri"/>
          <w:lang w:val="sk-SK"/>
        </w:rPr>
      </w:pPr>
      <w:r w:rsidRPr="000B3364">
        <w:rPr>
          <w:lang w:val="sk-SK"/>
        </w:rPr>
        <w:t xml:space="preserve">Ciele koncepcie predpokladajú taktiež </w:t>
      </w:r>
      <w:r w:rsidRPr="000B3364">
        <w:rPr>
          <w:rFonts w:eastAsia="Calibri"/>
          <w:lang w:val="sk-SK"/>
        </w:rPr>
        <w:t>zníženie prostriedkov projektovej podpory v rámci PRV SR na roky 2014 – 2020, a to z dôvodu presunu 25% z finančných prostriedkov z II. do I. piliera.  Toto zníženie finančných prostriedkov na projektové podpory bude mať za následok zníženie ich spolufinancovania z prostriedkov štátneho rozpočtu kumulatívne vo výške 134 071 428 EUR. Tieto finančné prostriedky bude efektívne použiť na financovanie národných doplatkov v rámci I. piliera.</w:t>
      </w: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0B3364" w:rsidRPr="007C3F2D" w:rsidRDefault="007C3F2D" w:rsidP="007C3F2D">
      <w:pPr>
        <w:jc w:val="right"/>
        <w:rPr>
          <w:sz w:val="20"/>
          <w:szCs w:val="20"/>
          <w:lang w:val="sk-SK"/>
        </w:rPr>
      </w:pPr>
      <w:r>
        <w:rPr>
          <w:sz w:val="20"/>
          <w:szCs w:val="20"/>
          <w:lang w:val="sk-SK"/>
        </w:rPr>
        <w:t>Tabuľka č. 5</w:t>
      </w:r>
      <w:r w:rsidRPr="003203B4">
        <w:rPr>
          <w:sz w:val="20"/>
          <w:szCs w:val="20"/>
          <w:lang w:val="sk-SK"/>
        </w:rPr>
        <w:t xml:space="preserve"> </w:t>
      </w:r>
    </w:p>
    <w:tbl>
      <w:tblPr>
        <w:tblW w:w="14078" w:type="dxa"/>
        <w:tblInd w:w="55" w:type="dxa"/>
        <w:tblCellMar>
          <w:left w:w="70" w:type="dxa"/>
          <w:right w:w="70" w:type="dxa"/>
        </w:tblCellMar>
        <w:tblLook w:val="04A0" w:firstRow="1" w:lastRow="0" w:firstColumn="1" w:lastColumn="0" w:noHBand="0" w:noVBand="1"/>
      </w:tblPr>
      <w:tblGrid>
        <w:gridCol w:w="5118"/>
        <w:gridCol w:w="1180"/>
        <w:gridCol w:w="1180"/>
        <w:gridCol w:w="1180"/>
        <w:gridCol w:w="1180"/>
        <w:gridCol w:w="1180"/>
        <w:gridCol w:w="1180"/>
        <w:gridCol w:w="820"/>
        <w:gridCol w:w="1060"/>
      </w:tblGrid>
      <w:tr w:rsidR="00FC6D0F" w:rsidRPr="007C5EF9" w:rsidTr="00FC6D0F">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000000" w:themeFill="text1"/>
            <w:noWrap/>
            <w:vAlign w:val="bottom"/>
            <w:hideMark/>
          </w:tcPr>
          <w:p w:rsidR="00723FCB" w:rsidRPr="007C5EF9" w:rsidRDefault="00723FCB">
            <w:pPr>
              <w:rPr>
                <w:b/>
                <w:bCs/>
                <w:color w:val="FFFFFF"/>
                <w:sz w:val="20"/>
                <w:szCs w:val="20"/>
                <w:lang w:val="sk-SK"/>
              </w:rPr>
            </w:pPr>
            <w:r w:rsidRPr="007C5EF9">
              <w:rPr>
                <w:b/>
                <w:bCs/>
                <w:color w:val="FFFFFF"/>
                <w:sz w:val="20"/>
                <w:szCs w:val="20"/>
                <w:lang w:val="sk-SK"/>
              </w:rPr>
              <w:t>PRV 2014-2020</w:t>
            </w:r>
            <w:r w:rsidR="007C5EF9" w:rsidRPr="007C5EF9">
              <w:rPr>
                <w:b/>
                <w:bCs/>
                <w:color w:val="FFFFFF"/>
                <w:sz w:val="20"/>
                <w:szCs w:val="20"/>
                <w:lang w:val="sk-SK"/>
              </w:rPr>
              <w:t xml:space="preserve"> (mil. EUR)</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2014</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2015</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2016</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2017</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2018</w:t>
            </w:r>
          </w:p>
        </w:tc>
        <w:tc>
          <w:tcPr>
            <w:tcW w:w="118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2019</w:t>
            </w:r>
          </w:p>
        </w:tc>
        <w:tc>
          <w:tcPr>
            <w:tcW w:w="820" w:type="dxa"/>
            <w:tcBorders>
              <w:top w:val="single" w:sz="8" w:space="0" w:color="auto"/>
              <w:left w:val="nil"/>
              <w:bottom w:val="single" w:sz="8" w:space="0" w:color="auto"/>
              <w:right w:val="single" w:sz="4" w:space="0" w:color="auto"/>
            </w:tcBorders>
            <w:shd w:val="clear" w:color="auto" w:fill="000000" w:themeFill="text1"/>
            <w:noWrap/>
            <w:vAlign w:val="bottom"/>
            <w:hideMark/>
          </w:tcPr>
          <w:p w:rsidR="00723FCB" w:rsidRPr="007C5EF9" w:rsidRDefault="00723FCB">
            <w:pPr>
              <w:jc w:val="right"/>
              <w:rPr>
                <w:b/>
                <w:bCs/>
                <w:color w:val="FFFFFF"/>
                <w:sz w:val="20"/>
                <w:szCs w:val="20"/>
                <w:lang w:val="sk-SK"/>
              </w:rPr>
            </w:pPr>
            <w:r w:rsidRPr="007C5EF9">
              <w:rPr>
                <w:b/>
                <w:bCs/>
                <w:color w:val="FFFFFF"/>
                <w:sz w:val="20"/>
                <w:szCs w:val="20"/>
                <w:lang w:val="sk-SK"/>
              </w:rPr>
              <w:t>2020</w:t>
            </w:r>
          </w:p>
        </w:tc>
        <w:tc>
          <w:tcPr>
            <w:tcW w:w="106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723FCB" w:rsidRPr="007C5EF9" w:rsidRDefault="00723FCB">
            <w:pPr>
              <w:rPr>
                <w:b/>
                <w:bCs/>
                <w:color w:val="FFFFFF"/>
                <w:sz w:val="20"/>
                <w:szCs w:val="20"/>
                <w:lang w:val="sk-SK"/>
              </w:rPr>
            </w:pPr>
            <w:r w:rsidRPr="007C5EF9">
              <w:rPr>
                <w:b/>
                <w:bCs/>
                <w:color w:val="FFFFFF"/>
                <w:sz w:val="20"/>
                <w:szCs w:val="20"/>
                <w:lang w:val="sk-SK"/>
              </w:rPr>
              <w:t>Spolu</w:t>
            </w:r>
          </w:p>
        </w:tc>
      </w:tr>
      <w:tr w:rsidR="00723FCB" w:rsidRPr="007C5EF9" w:rsidTr="00FC6D0F">
        <w:trPr>
          <w:trHeight w:val="285"/>
        </w:trPr>
        <w:tc>
          <w:tcPr>
            <w:tcW w:w="5118" w:type="dxa"/>
            <w:tcBorders>
              <w:top w:val="nil"/>
              <w:left w:val="single" w:sz="8" w:space="0" w:color="auto"/>
              <w:bottom w:val="single" w:sz="4" w:space="0" w:color="auto"/>
              <w:right w:val="single" w:sz="8" w:space="0" w:color="auto"/>
            </w:tcBorders>
            <w:shd w:val="clear" w:color="auto" w:fill="auto"/>
            <w:noWrap/>
            <w:vAlign w:val="bottom"/>
            <w:hideMark/>
          </w:tcPr>
          <w:p w:rsidR="00723FCB" w:rsidRPr="007C5EF9" w:rsidRDefault="00723FCB">
            <w:pPr>
              <w:rPr>
                <w:sz w:val="20"/>
                <w:szCs w:val="20"/>
              </w:rPr>
            </w:pPr>
            <w:r w:rsidRPr="007C5EF9">
              <w:rPr>
                <w:sz w:val="20"/>
                <w:szCs w:val="20"/>
              </w:rPr>
              <w:t>deflátor</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1,06121</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1,08243</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1,10408</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1,12616</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1,14869</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1,17166</w:t>
            </w:r>
          </w:p>
        </w:tc>
        <w:tc>
          <w:tcPr>
            <w:tcW w:w="82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1,19509</w:t>
            </w:r>
          </w:p>
        </w:tc>
        <w:tc>
          <w:tcPr>
            <w:tcW w:w="1060" w:type="dxa"/>
            <w:tcBorders>
              <w:top w:val="nil"/>
              <w:left w:val="nil"/>
              <w:bottom w:val="single" w:sz="4" w:space="0" w:color="auto"/>
              <w:right w:val="single" w:sz="8" w:space="0" w:color="auto"/>
            </w:tcBorders>
            <w:shd w:val="clear" w:color="auto" w:fill="auto"/>
            <w:noWrap/>
            <w:vAlign w:val="bottom"/>
            <w:hideMark/>
          </w:tcPr>
          <w:p w:rsidR="00723FCB" w:rsidRPr="007C5EF9" w:rsidRDefault="00723FCB">
            <w:pPr>
              <w:rPr>
                <w:sz w:val="20"/>
                <w:szCs w:val="20"/>
              </w:rPr>
            </w:pPr>
            <w:r w:rsidRPr="007C5EF9">
              <w:rPr>
                <w:sz w:val="20"/>
                <w:szCs w:val="20"/>
              </w:rPr>
              <w:t> </w:t>
            </w:r>
          </w:p>
        </w:tc>
      </w:tr>
      <w:tr w:rsidR="00723FCB" w:rsidRPr="007C5EF9" w:rsidTr="00FC6D0F">
        <w:trPr>
          <w:trHeight w:val="315"/>
        </w:trPr>
        <w:tc>
          <w:tcPr>
            <w:tcW w:w="5118" w:type="dxa"/>
            <w:tcBorders>
              <w:top w:val="nil"/>
              <w:left w:val="single" w:sz="8" w:space="0" w:color="auto"/>
              <w:bottom w:val="nil"/>
              <w:right w:val="single" w:sz="8" w:space="0" w:color="auto"/>
            </w:tcBorders>
            <w:shd w:val="clear" w:color="auto" w:fill="auto"/>
            <w:noWrap/>
            <w:vAlign w:val="bottom"/>
            <w:hideMark/>
          </w:tcPr>
          <w:p w:rsidR="00723FCB" w:rsidRPr="007C5EF9" w:rsidRDefault="00723FCB">
            <w:pPr>
              <w:rPr>
                <w:sz w:val="20"/>
                <w:szCs w:val="20"/>
              </w:rPr>
            </w:pPr>
            <w:r w:rsidRPr="007C5EF9">
              <w:rPr>
                <w:sz w:val="20"/>
                <w:szCs w:val="20"/>
              </w:rPr>
              <w:t>stále ceny 2011</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255,50</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250,20</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244,90</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239,80</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234,80</w:t>
            </w:r>
          </w:p>
        </w:tc>
        <w:tc>
          <w:tcPr>
            <w:tcW w:w="118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229,80</w:t>
            </w:r>
          </w:p>
        </w:tc>
        <w:tc>
          <w:tcPr>
            <w:tcW w:w="820" w:type="dxa"/>
            <w:tcBorders>
              <w:top w:val="nil"/>
              <w:left w:val="nil"/>
              <w:bottom w:val="nil"/>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224,90</w:t>
            </w:r>
          </w:p>
        </w:tc>
        <w:tc>
          <w:tcPr>
            <w:tcW w:w="1060" w:type="dxa"/>
            <w:tcBorders>
              <w:top w:val="nil"/>
              <w:left w:val="nil"/>
              <w:bottom w:val="nil"/>
              <w:right w:val="single" w:sz="8"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1 679,90</w:t>
            </w:r>
          </w:p>
        </w:tc>
      </w:tr>
      <w:tr w:rsidR="00723FCB" w:rsidRPr="007C5EF9" w:rsidTr="00FC6D0F">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3FCB" w:rsidRPr="007C5EF9" w:rsidRDefault="00723FCB">
            <w:pPr>
              <w:rPr>
                <w:sz w:val="20"/>
                <w:szCs w:val="20"/>
              </w:rPr>
            </w:pPr>
            <w:r w:rsidRPr="007C5EF9">
              <w:rPr>
                <w:sz w:val="20"/>
                <w:szCs w:val="20"/>
              </w:rPr>
              <w:t>bežné ceny</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271,14</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270,82</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270,39</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270,05</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269,71</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269,25</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268,78</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1 890,14</w:t>
            </w:r>
          </w:p>
        </w:tc>
      </w:tr>
      <w:tr w:rsidR="00723FCB" w:rsidRPr="007C5EF9" w:rsidTr="00FC6D0F">
        <w:trPr>
          <w:trHeight w:val="285"/>
        </w:trPr>
        <w:tc>
          <w:tcPr>
            <w:tcW w:w="5118" w:type="dxa"/>
            <w:vMerge w:val="restart"/>
            <w:tcBorders>
              <w:top w:val="nil"/>
              <w:left w:val="single" w:sz="8" w:space="0" w:color="auto"/>
              <w:bottom w:val="nil"/>
              <w:right w:val="single" w:sz="8" w:space="0" w:color="auto"/>
            </w:tcBorders>
            <w:shd w:val="clear" w:color="auto" w:fill="auto"/>
            <w:noWrap/>
            <w:vAlign w:val="center"/>
            <w:hideMark/>
          </w:tcPr>
          <w:p w:rsidR="00723FCB" w:rsidRPr="007C5EF9" w:rsidRDefault="00723FCB">
            <w:pPr>
              <w:rPr>
                <w:sz w:val="20"/>
                <w:szCs w:val="20"/>
              </w:rPr>
            </w:pPr>
            <w:r w:rsidRPr="007C5EF9">
              <w:rPr>
                <w:sz w:val="20"/>
                <w:szCs w:val="20"/>
              </w:rPr>
              <w:t>prenos do I. piliera</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25%</w:t>
            </w:r>
          </w:p>
        </w:tc>
        <w:tc>
          <w:tcPr>
            <w:tcW w:w="82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0%</w:t>
            </w:r>
          </w:p>
        </w:tc>
        <w:tc>
          <w:tcPr>
            <w:tcW w:w="1060" w:type="dxa"/>
            <w:tcBorders>
              <w:top w:val="nil"/>
              <w:left w:val="nil"/>
              <w:bottom w:val="single" w:sz="4" w:space="0" w:color="auto"/>
              <w:right w:val="single" w:sz="8" w:space="0" w:color="auto"/>
            </w:tcBorders>
            <w:shd w:val="clear" w:color="auto" w:fill="auto"/>
            <w:noWrap/>
            <w:vAlign w:val="bottom"/>
            <w:hideMark/>
          </w:tcPr>
          <w:p w:rsidR="00723FCB" w:rsidRPr="007C5EF9" w:rsidRDefault="00723FCB">
            <w:pPr>
              <w:rPr>
                <w:sz w:val="20"/>
                <w:szCs w:val="20"/>
              </w:rPr>
            </w:pPr>
            <w:r w:rsidRPr="007C5EF9">
              <w:rPr>
                <w:sz w:val="20"/>
                <w:szCs w:val="20"/>
              </w:rPr>
              <w:t> </w:t>
            </w:r>
          </w:p>
        </w:tc>
      </w:tr>
      <w:tr w:rsidR="00723FCB" w:rsidRPr="007C5EF9" w:rsidTr="00FC6D0F">
        <w:trPr>
          <w:trHeight w:val="330"/>
        </w:trPr>
        <w:tc>
          <w:tcPr>
            <w:tcW w:w="5118" w:type="dxa"/>
            <w:vMerge/>
            <w:tcBorders>
              <w:top w:val="nil"/>
              <w:left w:val="single" w:sz="8" w:space="0" w:color="auto"/>
              <w:bottom w:val="nil"/>
              <w:right w:val="single" w:sz="8" w:space="0" w:color="auto"/>
            </w:tcBorders>
            <w:vAlign w:val="center"/>
            <w:hideMark/>
          </w:tcPr>
          <w:p w:rsidR="00723FCB" w:rsidRPr="007C5EF9" w:rsidRDefault="00723FCB">
            <w:pPr>
              <w:rPr>
                <w:sz w:val="20"/>
                <w:szCs w:val="20"/>
              </w:rPr>
            </w:pP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67,78</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67,71</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67,60</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67,51</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67,43</w:t>
            </w:r>
          </w:p>
        </w:tc>
        <w:tc>
          <w:tcPr>
            <w:tcW w:w="118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67,31</w:t>
            </w:r>
          </w:p>
        </w:tc>
        <w:tc>
          <w:tcPr>
            <w:tcW w:w="820" w:type="dxa"/>
            <w:tcBorders>
              <w:top w:val="nil"/>
              <w:left w:val="nil"/>
              <w:bottom w:val="single" w:sz="4" w:space="0" w:color="auto"/>
              <w:right w:val="single" w:sz="4" w:space="0" w:color="auto"/>
            </w:tcBorders>
            <w:shd w:val="clear" w:color="auto" w:fill="auto"/>
            <w:noWrap/>
            <w:vAlign w:val="bottom"/>
            <w:hideMark/>
          </w:tcPr>
          <w:p w:rsidR="00723FCB" w:rsidRPr="007C5EF9" w:rsidRDefault="00723FCB">
            <w:pPr>
              <w:jc w:val="right"/>
              <w:rPr>
                <w:sz w:val="20"/>
                <w:szCs w:val="20"/>
              </w:rPr>
            </w:pPr>
            <w:r w:rsidRPr="007C5EF9">
              <w:rPr>
                <w:sz w:val="20"/>
                <w:szCs w:val="20"/>
              </w:rPr>
              <w:t>0,00</w:t>
            </w:r>
          </w:p>
        </w:tc>
        <w:tc>
          <w:tcPr>
            <w:tcW w:w="1060" w:type="dxa"/>
            <w:tcBorders>
              <w:top w:val="nil"/>
              <w:left w:val="nil"/>
              <w:bottom w:val="single" w:sz="4" w:space="0" w:color="auto"/>
              <w:right w:val="single" w:sz="8" w:space="0" w:color="auto"/>
            </w:tcBorders>
            <w:shd w:val="clear" w:color="auto" w:fill="auto"/>
            <w:noWrap/>
            <w:vAlign w:val="bottom"/>
            <w:hideMark/>
          </w:tcPr>
          <w:p w:rsidR="00723FCB" w:rsidRPr="007C5EF9" w:rsidRDefault="00723FCB">
            <w:pPr>
              <w:jc w:val="right"/>
              <w:rPr>
                <w:b/>
                <w:bCs/>
                <w:sz w:val="20"/>
                <w:szCs w:val="20"/>
              </w:rPr>
            </w:pPr>
            <w:r w:rsidRPr="007C5EF9">
              <w:rPr>
                <w:b/>
                <w:bCs/>
                <w:sz w:val="20"/>
                <w:szCs w:val="20"/>
              </w:rPr>
              <w:t>405,34</w:t>
            </w:r>
          </w:p>
        </w:tc>
      </w:tr>
      <w:tr w:rsidR="00723FCB" w:rsidRPr="007C5EF9" w:rsidTr="007C5EF9">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23FCB" w:rsidRPr="007C5EF9" w:rsidRDefault="00723FCB">
            <w:pPr>
              <w:rPr>
                <w:b/>
                <w:bCs/>
                <w:sz w:val="20"/>
                <w:szCs w:val="20"/>
              </w:rPr>
            </w:pPr>
            <w:r w:rsidRPr="007C5EF9">
              <w:rPr>
                <w:b/>
                <w:bCs/>
                <w:sz w:val="20"/>
                <w:szCs w:val="20"/>
              </w:rPr>
              <w:t>PRV s presunom</w:t>
            </w: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820" w:type="dxa"/>
            <w:tcBorders>
              <w:top w:val="nil"/>
              <w:left w:val="nil"/>
              <w:bottom w:val="nil"/>
              <w:right w:val="nil"/>
            </w:tcBorders>
            <w:shd w:val="clear" w:color="auto" w:fill="F2F2F2" w:themeFill="background1" w:themeFillShade="F2"/>
            <w:noWrap/>
            <w:vAlign w:val="bottom"/>
            <w:hideMark/>
          </w:tcPr>
          <w:p w:rsidR="00723FCB" w:rsidRPr="007C5EF9" w:rsidRDefault="00723FCB">
            <w:pPr>
              <w:rPr>
                <w:sz w:val="20"/>
                <w:szCs w:val="20"/>
              </w:rPr>
            </w:pPr>
          </w:p>
        </w:tc>
        <w:tc>
          <w:tcPr>
            <w:tcW w:w="1060" w:type="dxa"/>
            <w:tcBorders>
              <w:top w:val="nil"/>
              <w:left w:val="nil"/>
              <w:bottom w:val="nil"/>
              <w:right w:val="single" w:sz="8" w:space="0" w:color="auto"/>
            </w:tcBorders>
            <w:shd w:val="clear" w:color="auto" w:fill="F2F2F2" w:themeFill="background1" w:themeFillShade="F2"/>
            <w:noWrap/>
            <w:vAlign w:val="bottom"/>
            <w:hideMark/>
          </w:tcPr>
          <w:p w:rsidR="00723FCB" w:rsidRPr="007C5EF9" w:rsidRDefault="00723FCB">
            <w:pPr>
              <w:rPr>
                <w:sz w:val="20"/>
                <w:szCs w:val="20"/>
              </w:rPr>
            </w:pPr>
            <w:r w:rsidRPr="007C5EF9">
              <w:rPr>
                <w:sz w:val="20"/>
                <w:szCs w:val="20"/>
              </w:rPr>
              <w:t> </w:t>
            </w:r>
          </w:p>
        </w:tc>
      </w:tr>
      <w:tr w:rsidR="00723FCB" w:rsidRPr="007C5EF9" w:rsidTr="007C5EF9">
        <w:trPr>
          <w:trHeight w:val="300"/>
        </w:trPr>
        <w:tc>
          <w:tcPr>
            <w:tcW w:w="5118"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3FCB" w:rsidRPr="007C5EF9" w:rsidRDefault="00723FCB">
            <w:pPr>
              <w:rPr>
                <w:sz w:val="20"/>
                <w:szCs w:val="20"/>
              </w:rPr>
            </w:pPr>
            <w:r w:rsidRPr="007C5EF9">
              <w:rPr>
                <w:sz w:val="20"/>
                <w:szCs w:val="20"/>
              </w:rPr>
              <w:t>zostatok po presune</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203,35</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203,12</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202,79</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202,54</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202,28</w:t>
            </w:r>
          </w:p>
        </w:tc>
        <w:tc>
          <w:tcPr>
            <w:tcW w:w="118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201,94</w:t>
            </w:r>
          </w:p>
        </w:tc>
        <w:tc>
          <w:tcPr>
            <w:tcW w:w="820"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268,78</w:t>
            </w:r>
          </w:p>
        </w:tc>
        <w:tc>
          <w:tcPr>
            <w:tcW w:w="1060" w:type="dxa"/>
            <w:tcBorders>
              <w:top w:val="single" w:sz="8" w:space="0" w:color="auto"/>
              <w:left w:val="nil"/>
              <w:bottom w:val="single" w:sz="4" w:space="0" w:color="auto"/>
              <w:right w:val="single" w:sz="8"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1 484,80</w:t>
            </w:r>
          </w:p>
        </w:tc>
      </w:tr>
      <w:tr w:rsidR="00723FCB" w:rsidRPr="007C5EF9" w:rsidTr="007C5EF9">
        <w:trPr>
          <w:trHeight w:val="315"/>
        </w:trPr>
        <w:tc>
          <w:tcPr>
            <w:tcW w:w="5118" w:type="dxa"/>
            <w:tcBorders>
              <w:top w:val="nil"/>
              <w:left w:val="single" w:sz="8" w:space="0" w:color="auto"/>
              <w:bottom w:val="nil"/>
              <w:right w:val="single" w:sz="8" w:space="0" w:color="auto"/>
            </w:tcBorders>
            <w:shd w:val="clear" w:color="auto" w:fill="F2F2F2" w:themeFill="background1" w:themeFillShade="F2"/>
            <w:noWrap/>
            <w:vAlign w:val="bottom"/>
            <w:hideMark/>
          </w:tcPr>
          <w:p w:rsidR="00723FCB" w:rsidRPr="007C5EF9" w:rsidRDefault="00723FCB">
            <w:pPr>
              <w:rPr>
                <w:sz w:val="20"/>
                <w:szCs w:val="20"/>
              </w:rPr>
            </w:pPr>
            <w:r w:rsidRPr="007C5EF9">
              <w:rPr>
                <w:sz w:val="20"/>
                <w:szCs w:val="20"/>
              </w:rPr>
              <w:t>ŠR (min.24,855%)</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67,26</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67,18</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67,08</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66,99</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66,91</w:t>
            </w:r>
          </w:p>
        </w:tc>
        <w:tc>
          <w:tcPr>
            <w:tcW w:w="118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66,79</w:t>
            </w:r>
          </w:p>
        </w:tc>
        <w:tc>
          <w:tcPr>
            <w:tcW w:w="820" w:type="dxa"/>
            <w:tcBorders>
              <w:top w:val="nil"/>
              <w:left w:val="nil"/>
              <w:bottom w:val="nil"/>
              <w:right w:val="single" w:sz="4"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88,90</w:t>
            </w:r>
          </w:p>
        </w:tc>
        <w:tc>
          <w:tcPr>
            <w:tcW w:w="1060" w:type="dxa"/>
            <w:tcBorders>
              <w:top w:val="nil"/>
              <w:left w:val="nil"/>
              <w:bottom w:val="nil"/>
              <w:right w:val="single" w:sz="8" w:space="0" w:color="auto"/>
            </w:tcBorders>
            <w:shd w:val="clear" w:color="auto" w:fill="F2F2F2" w:themeFill="background1" w:themeFillShade="F2"/>
            <w:noWrap/>
            <w:vAlign w:val="bottom"/>
            <w:hideMark/>
          </w:tcPr>
          <w:p w:rsidR="00723FCB" w:rsidRPr="007C5EF9" w:rsidRDefault="00723FCB">
            <w:pPr>
              <w:jc w:val="right"/>
              <w:rPr>
                <w:sz w:val="20"/>
                <w:szCs w:val="20"/>
              </w:rPr>
            </w:pPr>
            <w:r w:rsidRPr="007C5EF9">
              <w:rPr>
                <w:sz w:val="20"/>
                <w:szCs w:val="20"/>
              </w:rPr>
              <w:t>491,11</w:t>
            </w:r>
          </w:p>
        </w:tc>
      </w:tr>
      <w:tr w:rsidR="00723FCB" w:rsidRPr="007C5EF9" w:rsidTr="007C5EF9">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23FCB" w:rsidRPr="007C5EF9" w:rsidRDefault="00723FCB">
            <w:pPr>
              <w:rPr>
                <w:sz w:val="20"/>
                <w:szCs w:val="20"/>
              </w:rPr>
            </w:pPr>
            <w:r w:rsidRPr="007C5EF9">
              <w:rPr>
                <w:sz w:val="20"/>
                <w:szCs w:val="20"/>
              </w:rPr>
              <w:t xml:space="preserve">PRV </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270,62</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270,30</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269,87</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269,53</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269,19</w:t>
            </w:r>
          </w:p>
        </w:tc>
        <w:tc>
          <w:tcPr>
            <w:tcW w:w="118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268,73</w:t>
            </w:r>
          </w:p>
        </w:tc>
        <w:tc>
          <w:tcPr>
            <w:tcW w:w="82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357,68</w:t>
            </w:r>
          </w:p>
        </w:tc>
        <w:tc>
          <w:tcPr>
            <w:tcW w:w="106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723FCB" w:rsidRPr="007C5EF9" w:rsidRDefault="00723FCB">
            <w:pPr>
              <w:jc w:val="right"/>
              <w:rPr>
                <w:b/>
                <w:bCs/>
                <w:sz w:val="20"/>
                <w:szCs w:val="20"/>
              </w:rPr>
            </w:pPr>
            <w:r w:rsidRPr="007C5EF9">
              <w:rPr>
                <w:b/>
                <w:bCs/>
                <w:sz w:val="20"/>
                <w:szCs w:val="20"/>
              </w:rPr>
              <w:t>1 975,91</w:t>
            </w:r>
          </w:p>
        </w:tc>
      </w:tr>
      <w:tr w:rsidR="00723FCB" w:rsidRPr="007C5EF9" w:rsidTr="007C5EF9">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23FCB" w:rsidRPr="007C5EF9" w:rsidRDefault="00723FCB">
            <w:pPr>
              <w:rPr>
                <w:b/>
                <w:bCs/>
                <w:sz w:val="20"/>
                <w:szCs w:val="20"/>
              </w:rPr>
            </w:pPr>
            <w:r w:rsidRPr="007C5EF9">
              <w:rPr>
                <w:b/>
                <w:bCs/>
                <w:sz w:val="20"/>
                <w:szCs w:val="20"/>
              </w:rPr>
              <w:t>PRV bez presunu</w:t>
            </w: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18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820" w:type="dxa"/>
            <w:tcBorders>
              <w:top w:val="nil"/>
              <w:left w:val="nil"/>
              <w:bottom w:val="nil"/>
              <w:right w:val="nil"/>
            </w:tcBorders>
            <w:shd w:val="clear" w:color="auto" w:fill="D9D9D9" w:themeFill="background1" w:themeFillShade="D9"/>
            <w:noWrap/>
            <w:vAlign w:val="bottom"/>
            <w:hideMark/>
          </w:tcPr>
          <w:p w:rsidR="00723FCB" w:rsidRPr="007C5EF9" w:rsidRDefault="00723FCB">
            <w:pPr>
              <w:rPr>
                <w:sz w:val="20"/>
                <w:szCs w:val="20"/>
              </w:rPr>
            </w:pPr>
          </w:p>
        </w:tc>
        <w:tc>
          <w:tcPr>
            <w:tcW w:w="1060" w:type="dxa"/>
            <w:tcBorders>
              <w:top w:val="nil"/>
              <w:left w:val="nil"/>
              <w:bottom w:val="nil"/>
              <w:right w:val="single" w:sz="8" w:space="0" w:color="auto"/>
            </w:tcBorders>
            <w:shd w:val="clear" w:color="auto" w:fill="D9D9D9" w:themeFill="background1" w:themeFillShade="D9"/>
            <w:noWrap/>
            <w:vAlign w:val="bottom"/>
            <w:hideMark/>
          </w:tcPr>
          <w:p w:rsidR="00723FCB" w:rsidRPr="007C5EF9" w:rsidRDefault="00723FCB">
            <w:pPr>
              <w:rPr>
                <w:sz w:val="20"/>
                <w:szCs w:val="20"/>
              </w:rPr>
            </w:pPr>
            <w:r w:rsidRPr="007C5EF9">
              <w:rPr>
                <w:sz w:val="20"/>
                <w:szCs w:val="20"/>
              </w:rPr>
              <w:t> </w:t>
            </w:r>
          </w:p>
        </w:tc>
      </w:tr>
      <w:tr w:rsidR="00723FCB" w:rsidRPr="007C5EF9" w:rsidTr="007C5EF9">
        <w:trPr>
          <w:trHeight w:val="300"/>
        </w:trPr>
        <w:tc>
          <w:tcPr>
            <w:tcW w:w="5118"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723FCB" w:rsidRPr="007C5EF9" w:rsidRDefault="00723FCB">
            <w:pPr>
              <w:rPr>
                <w:i/>
                <w:iCs/>
                <w:sz w:val="20"/>
                <w:szCs w:val="20"/>
              </w:rPr>
            </w:pPr>
            <w:r w:rsidRPr="007C5EF9">
              <w:rPr>
                <w:i/>
                <w:iCs/>
                <w:sz w:val="20"/>
                <w:szCs w:val="20"/>
              </w:rPr>
              <w:t>EPFRV</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271,14</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270,82</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270,39</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270,05</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269,71</w:t>
            </w:r>
          </w:p>
        </w:tc>
        <w:tc>
          <w:tcPr>
            <w:tcW w:w="11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269,25</w:t>
            </w:r>
          </w:p>
        </w:tc>
        <w:tc>
          <w:tcPr>
            <w:tcW w:w="82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268,78</w:t>
            </w:r>
          </w:p>
        </w:tc>
        <w:tc>
          <w:tcPr>
            <w:tcW w:w="1060"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1890,14</w:t>
            </w:r>
          </w:p>
        </w:tc>
      </w:tr>
      <w:tr w:rsidR="00723FCB" w:rsidRPr="007C5EF9" w:rsidTr="007C5EF9">
        <w:trPr>
          <w:trHeight w:val="315"/>
        </w:trPr>
        <w:tc>
          <w:tcPr>
            <w:tcW w:w="5118" w:type="dxa"/>
            <w:tcBorders>
              <w:top w:val="nil"/>
              <w:left w:val="single" w:sz="8" w:space="0" w:color="auto"/>
              <w:bottom w:val="nil"/>
              <w:right w:val="single" w:sz="8" w:space="0" w:color="auto"/>
            </w:tcBorders>
            <w:shd w:val="clear" w:color="auto" w:fill="D9D9D9" w:themeFill="background1" w:themeFillShade="D9"/>
            <w:noWrap/>
            <w:vAlign w:val="bottom"/>
            <w:hideMark/>
          </w:tcPr>
          <w:p w:rsidR="00723FCB" w:rsidRPr="007C5EF9" w:rsidRDefault="00723FCB">
            <w:pPr>
              <w:rPr>
                <w:i/>
                <w:iCs/>
                <w:sz w:val="20"/>
                <w:szCs w:val="20"/>
              </w:rPr>
            </w:pPr>
            <w:r w:rsidRPr="007C5EF9">
              <w:rPr>
                <w:i/>
                <w:iCs/>
                <w:sz w:val="20"/>
                <w:szCs w:val="20"/>
              </w:rPr>
              <w:t>ŠR (min.24,855%)</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89,68</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89,58</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89,43</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89,32</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89,21</w:t>
            </w:r>
          </w:p>
        </w:tc>
        <w:tc>
          <w:tcPr>
            <w:tcW w:w="118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89,06</w:t>
            </w:r>
          </w:p>
        </w:tc>
        <w:tc>
          <w:tcPr>
            <w:tcW w:w="820" w:type="dxa"/>
            <w:tcBorders>
              <w:top w:val="nil"/>
              <w:left w:val="nil"/>
              <w:bottom w:val="nil"/>
              <w:right w:val="single" w:sz="4"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88,90</w:t>
            </w:r>
          </w:p>
        </w:tc>
        <w:tc>
          <w:tcPr>
            <w:tcW w:w="1060" w:type="dxa"/>
            <w:tcBorders>
              <w:top w:val="nil"/>
              <w:left w:val="nil"/>
              <w:bottom w:val="nil"/>
              <w:right w:val="single" w:sz="8" w:space="0" w:color="auto"/>
            </w:tcBorders>
            <w:shd w:val="clear" w:color="auto" w:fill="D9D9D9" w:themeFill="background1" w:themeFillShade="D9"/>
            <w:noWrap/>
            <w:vAlign w:val="bottom"/>
            <w:hideMark/>
          </w:tcPr>
          <w:p w:rsidR="00723FCB" w:rsidRPr="007C5EF9" w:rsidRDefault="00723FCB">
            <w:pPr>
              <w:jc w:val="right"/>
              <w:rPr>
                <w:sz w:val="20"/>
                <w:szCs w:val="20"/>
              </w:rPr>
            </w:pPr>
            <w:r w:rsidRPr="007C5EF9">
              <w:rPr>
                <w:sz w:val="20"/>
                <w:szCs w:val="20"/>
              </w:rPr>
              <w:t>625,18</w:t>
            </w:r>
          </w:p>
        </w:tc>
      </w:tr>
      <w:tr w:rsidR="00723FCB" w:rsidRPr="007C5EF9" w:rsidTr="007C5EF9">
        <w:trPr>
          <w:trHeight w:val="330"/>
        </w:trPr>
        <w:tc>
          <w:tcPr>
            <w:tcW w:w="51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23FCB" w:rsidRPr="007C5EF9" w:rsidRDefault="00723FCB">
            <w:pPr>
              <w:rPr>
                <w:sz w:val="20"/>
                <w:szCs w:val="20"/>
              </w:rPr>
            </w:pPr>
            <w:r w:rsidRPr="007C5EF9">
              <w:rPr>
                <w:sz w:val="20"/>
                <w:szCs w:val="20"/>
              </w:rPr>
              <w:t>PRV</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360,82</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360,40</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359,82</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359,37</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358,92</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358,31</w:t>
            </w:r>
          </w:p>
        </w:tc>
        <w:tc>
          <w:tcPr>
            <w:tcW w:w="82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357,68</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723FCB" w:rsidRPr="007C5EF9" w:rsidRDefault="00723FCB">
            <w:pPr>
              <w:jc w:val="right"/>
              <w:rPr>
                <w:b/>
                <w:bCs/>
                <w:sz w:val="20"/>
                <w:szCs w:val="20"/>
              </w:rPr>
            </w:pPr>
            <w:r w:rsidRPr="007C5EF9">
              <w:rPr>
                <w:b/>
                <w:bCs/>
                <w:sz w:val="20"/>
                <w:szCs w:val="20"/>
              </w:rPr>
              <w:t>2 515,32</w:t>
            </w:r>
          </w:p>
        </w:tc>
      </w:tr>
    </w:tbl>
    <w:p w:rsidR="00C6017A" w:rsidRDefault="00C6017A" w:rsidP="000B3364">
      <w:pPr>
        <w:jc w:val="both"/>
        <w:rPr>
          <w:lang w:val="sk-SK"/>
        </w:rPr>
      </w:pPr>
    </w:p>
    <w:p w:rsidR="0009117D" w:rsidRDefault="006C4F3C" w:rsidP="000B3364">
      <w:pPr>
        <w:jc w:val="both"/>
        <w:rPr>
          <w:rFonts w:eastAsia="Calibri"/>
          <w:lang w:val="sk-SK"/>
        </w:rPr>
      </w:pPr>
      <w:r w:rsidRPr="006C4F3C">
        <w:rPr>
          <w:rFonts w:eastAsia="Calibri"/>
          <w:lang w:val="sk-SK"/>
        </w:rPr>
        <w:t>Koncepcia predpokladá, že realizáciou opatrení na zvýšenie produkčných ukazovateľov rastlinnej a živočíšnej výroby a na obnovu funkcií lesa dôjde k zvýšeniu zamestnanosti v poľnohospodárstve, potravinárstve a lesníctve kumulatívne o 18 674 pracovných miest (do celkového počtu nárastu pracovných miest je vypočítaný aj nárast zamestnanosti z dôvodu zvýšenia početnosti hydiny v roku 2012</w:t>
      </w:r>
      <w:r>
        <w:rPr>
          <w:rFonts w:eastAsia="Calibri"/>
          <w:lang w:val="sk-SK"/>
        </w:rPr>
        <w:t xml:space="preserve"> – 15 pracovných miest</w:t>
      </w:r>
      <w:r w:rsidRPr="006C4F3C">
        <w:rPr>
          <w:rFonts w:eastAsia="Calibri"/>
          <w:lang w:val="sk-SK"/>
        </w:rPr>
        <w:t>). Pracovné miesta vytvorené v lesníctve sú aktuálne po dobu realizácie projektov (2014 – 2017). Rast zamestnanosti v ostatných oblastiach pokladáme za pozitívny efekt zlepšujúcich sa produkčných ukazovateľov poľnohospodárskej prvovýroby a spracovateľského priemyslu. Máme za to, že rast celkovej zamestnanosti v pôdohospodárstve bude najviac ovplyvnený relatívnou protichodnosťou cieľov v oblasti jednotlivých sektorov pôdohospodárstva. Na jednej strane požadujeme rast produkčných ukazovateľov, ktorých hlavným parametrom je rast produktivity práce, na strane druhej požadujeme rast zamestnanosti. Je teda zrejmé, že projektovaný nárast zamestnanosti reprezentuje prírastok produkčných parametrov, ktorý nie je možné vykryť rastom produktivity práce.</w:t>
      </w: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FC6D0F" w:rsidRDefault="00FC6D0F" w:rsidP="000B3364">
      <w:pPr>
        <w:jc w:val="both"/>
        <w:rPr>
          <w:rFonts w:eastAsia="Calibri"/>
          <w:lang w:val="sk-SK"/>
        </w:rPr>
      </w:pPr>
    </w:p>
    <w:p w:rsidR="00C10E18" w:rsidRDefault="00C10E18" w:rsidP="000B3364">
      <w:pPr>
        <w:jc w:val="both"/>
        <w:rPr>
          <w:rFonts w:eastAsia="Calibri"/>
          <w:lang w:val="sk-SK"/>
        </w:rPr>
      </w:pPr>
    </w:p>
    <w:p w:rsidR="00C10E18" w:rsidRDefault="00C10E18" w:rsidP="000B3364">
      <w:pPr>
        <w:jc w:val="both"/>
        <w:rPr>
          <w:rFonts w:eastAsia="Calibri"/>
          <w:lang w:val="sk-SK"/>
        </w:rPr>
      </w:pPr>
    </w:p>
    <w:p w:rsidR="00C10E18" w:rsidRDefault="00C10E18" w:rsidP="000B3364">
      <w:pPr>
        <w:jc w:val="both"/>
        <w:rPr>
          <w:rFonts w:eastAsia="Calibri"/>
          <w:lang w:val="sk-SK"/>
        </w:rPr>
      </w:pPr>
    </w:p>
    <w:p w:rsidR="00FC6D0F" w:rsidRDefault="00FC6D0F" w:rsidP="000B3364">
      <w:pPr>
        <w:jc w:val="both"/>
        <w:rPr>
          <w:lang w:val="sk-SK"/>
        </w:rPr>
      </w:pPr>
    </w:p>
    <w:p w:rsidR="0009117D" w:rsidRPr="0009117D" w:rsidRDefault="0009117D" w:rsidP="0009117D">
      <w:pPr>
        <w:jc w:val="right"/>
        <w:rPr>
          <w:sz w:val="20"/>
          <w:szCs w:val="20"/>
          <w:lang w:val="sk-SK"/>
        </w:rPr>
      </w:pPr>
      <w:r>
        <w:rPr>
          <w:sz w:val="20"/>
          <w:szCs w:val="20"/>
          <w:lang w:val="sk-SK"/>
        </w:rPr>
        <w:t>Tabuľka č. 6</w:t>
      </w:r>
    </w:p>
    <w:tbl>
      <w:tblPr>
        <w:tblW w:w="14042" w:type="dxa"/>
        <w:tblInd w:w="55" w:type="dxa"/>
        <w:tblCellMar>
          <w:left w:w="70" w:type="dxa"/>
          <w:right w:w="70" w:type="dxa"/>
        </w:tblCellMar>
        <w:tblLook w:val="04A0" w:firstRow="1" w:lastRow="0" w:firstColumn="1" w:lastColumn="0" w:noHBand="0" w:noVBand="1"/>
      </w:tblPr>
      <w:tblGrid>
        <w:gridCol w:w="5402"/>
        <w:gridCol w:w="960"/>
        <w:gridCol w:w="960"/>
        <w:gridCol w:w="960"/>
        <w:gridCol w:w="960"/>
        <w:gridCol w:w="960"/>
        <w:gridCol w:w="960"/>
        <w:gridCol w:w="960"/>
        <w:gridCol w:w="960"/>
        <w:gridCol w:w="960"/>
      </w:tblGrid>
      <w:tr w:rsidR="0009117D" w:rsidRPr="0009117D" w:rsidTr="0009117D">
        <w:trPr>
          <w:trHeight w:val="255"/>
        </w:trPr>
        <w:tc>
          <w:tcPr>
            <w:tcW w:w="5402"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09117D" w:rsidRPr="0009117D" w:rsidRDefault="0009117D">
            <w:pPr>
              <w:rPr>
                <w:b/>
                <w:bCs/>
                <w:color w:val="FFFFFF"/>
                <w:sz w:val="20"/>
                <w:szCs w:val="20"/>
                <w:lang w:val="sk-SK"/>
              </w:rPr>
            </w:pPr>
            <w:r w:rsidRPr="0009117D">
              <w:rPr>
                <w:b/>
                <w:bCs/>
                <w:color w:val="FFFFFF"/>
                <w:sz w:val="20"/>
                <w:szCs w:val="20"/>
                <w:lang w:val="sk-SK"/>
              </w:rPr>
              <w:t>Dodatočný počet zamestnancov v osobách</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2013</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2014</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2015</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2016</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2017</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2018</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2019</w:t>
            </w:r>
          </w:p>
        </w:tc>
        <w:tc>
          <w:tcPr>
            <w:tcW w:w="960" w:type="dxa"/>
            <w:tcBorders>
              <w:top w:val="single" w:sz="8" w:space="0" w:color="auto"/>
              <w:left w:val="nil"/>
              <w:bottom w:val="single" w:sz="4" w:space="0" w:color="auto"/>
              <w:right w:val="nil"/>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2020</w:t>
            </w:r>
          </w:p>
        </w:tc>
        <w:tc>
          <w:tcPr>
            <w:tcW w:w="960" w:type="dxa"/>
            <w:tcBorders>
              <w:top w:val="single" w:sz="8" w:space="0" w:color="auto"/>
              <w:left w:val="single" w:sz="8" w:space="0" w:color="auto"/>
              <w:bottom w:val="single" w:sz="4" w:space="0" w:color="auto"/>
              <w:right w:val="single" w:sz="8" w:space="0" w:color="auto"/>
            </w:tcBorders>
            <w:shd w:val="clear" w:color="000000" w:fill="000000"/>
            <w:noWrap/>
            <w:vAlign w:val="bottom"/>
            <w:hideMark/>
          </w:tcPr>
          <w:p w:rsidR="0009117D" w:rsidRPr="0009117D" w:rsidRDefault="0009117D">
            <w:pPr>
              <w:jc w:val="center"/>
              <w:rPr>
                <w:b/>
                <w:bCs/>
                <w:color w:val="FFFFFF"/>
                <w:sz w:val="20"/>
                <w:szCs w:val="20"/>
                <w:lang w:val="sk-SK"/>
              </w:rPr>
            </w:pPr>
            <w:r w:rsidRPr="0009117D">
              <w:rPr>
                <w:b/>
                <w:bCs/>
                <w:color w:val="FFFFFF"/>
                <w:sz w:val="20"/>
                <w:szCs w:val="20"/>
                <w:lang w:val="sk-SK"/>
              </w:rPr>
              <w:t>Spolu</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prvovýroba ošípaných</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59</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78</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261</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61</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630</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prvovýroba hydiny</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35</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spracovanie mäsa</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98</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326</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617</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653</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457</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311</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261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2 723</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produkcia JRTO</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72</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72</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produkcia zemiakov</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-49</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14</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35</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15</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7</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52</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produkcia zeleniny</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142</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2 130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1 463</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1 248</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150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150</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1 617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6 900</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produkcia ovocia mierneho pásma</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662</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1 126</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955</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584</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304</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465</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466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4 562</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starostlivosť o drobné vodné toky</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1 800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1 800</w:t>
            </w:r>
          </w:p>
        </w:tc>
      </w:tr>
      <w:tr w:rsidR="0009117D" w:rsidRPr="0009117D" w:rsidTr="0009117D">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rsidR="0009117D" w:rsidRPr="0009117D" w:rsidRDefault="0009117D">
            <w:pPr>
              <w:rPr>
                <w:color w:val="000000"/>
                <w:sz w:val="20"/>
                <w:szCs w:val="20"/>
                <w:lang w:val="sk-SK"/>
              </w:rPr>
            </w:pPr>
            <w:r w:rsidRPr="0009117D">
              <w:rPr>
                <w:color w:val="000000"/>
                <w:sz w:val="20"/>
                <w:szCs w:val="20"/>
                <w:lang w:val="sk-SK"/>
              </w:rPr>
              <w:t>obnova funkcií lesov</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1 885</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nil"/>
              <w:bottom w:val="single" w:sz="4" w:space="0" w:color="auto"/>
              <w:right w:val="nil"/>
            </w:tcBorders>
            <w:shd w:val="clear" w:color="auto" w:fill="auto"/>
            <w:noWrap/>
            <w:vAlign w:val="bottom"/>
            <w:hideMark/>
          </w:tcPr>
          <w:p w:rsidR="0009117D" w:rsidRPr="0009117D" w:rsidRDefault="0009117D">
            <w:pPr>
              <w:jc w:val="right"/>
              <w:rPr>
                <w:color w:val="000000"/>
                <w:sz w:val="20"/>
                <w:szCs w:val="20"/>
                <w:lang w:val="sk-SK"/>
              </w:rPr>
            </w:pPr>
            <w:r w:rsidRPr="0009117D">
              <w:rPr>
                <w:color w:val="000000"/>
                <w:sz w:val="20"/>
                <w:szCs w:val="20"/>
                <w:lang w:val="sk-SK"/>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9117D" w:rsidRPr="0009117D" w:rsidRDefault="0009117D">
            <w:pPr>
              <w:jc w:val="right"/>
              <w:rPr>
                <w:b/>
                <w:bCs/>
                <w:color w:val="000000"/>
                <w:sz w:val="20"/>
                <w:szCs w:val="20"/>
                <w:lang w:val="sk-SK"/>
              </w:rPr>
            </w:pPr>
            <w:r w:rsidRPr="0009117D">
              <w:rPr>
                <w:b/>
                <w:bCs/>
                <w:color w:val="000000"/>
                <w:sz w:val="20"/>
                <w:szCs w:val="20"/>
                <w:lang w:val="sk-SK"/>
              </w:rPr>
              <w:t>1 885</w:t>
            </w:r>
          </w:p>
        </w:tc>
      </w:tr>
      <w:tr w:rsidR="0009117D" w:rsidRPr="0009117D" w:rsidTr="0009117D">
        <w:trPr>
          <w:trHeight w:val="270"/>
        </w:trPr>
        <w:tc>
          <w:tcPr>
            <w:tcW w:w="5402" w:type="dxa"/>
            <w:tcBorders>
              <w:top w:val="nil"/>
              <w:left w:val="single" w:sz="8" w:space="0" w:color="auto"/>
              <w:bottom w:val="single" w:sz="8" w:space="0" w:color="auto"/>
              <w:right w:val="single" w:sz="4" w:space="0" w:color="auto"/>
            </w:tcBorders>
            <w:shd w:val="clear" w:color="000000" w:fill="000000"/>
            <w:noWrap/>
            <w:vAlign w:val="bottom"/>
            <w:hideMark/>
          </w:tcPr>
          <w:p w:rsidR="0009117D" w:rsidRPr="0009117D" w:rsidRDefault="0009117D">
            <w:pPr>
              <w:rPr>
                <w:b/>
                <w:bCs/>
                <w:color w:val="FFFFFF"/>
                <w:sz w:val="20"/>
                <w:szCs w:val="20"/>
                <w:lang w:val="sk-SK"/>
              </w:rPr>
            </w:pPr>
            <w:r w:rsidRPr="0009117D">
              <w:rPr>
                <w:b/>
                <w:bCs/>
                <w:color w:val="FFFFFF"/>
                <w:sz w:val="20"/>
                <w:szCs w:val="20"/>
                <w:lang w:val="sk-SK"/>
              </w:rPr>
              <w:t>Spolu</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23</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4 657</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3 704</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3 154</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2 757</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989</w:t>
            </w:r>
          </w:p>
        </w:tc>
        <w:tc>
          <w:tcPr>
            <w:tcW w:w="960" w:type="dxa"/>
            <w:tcBorders>
              <w:top w:val="nil"/>
              <w:left w:val="nil"/>
              <w:bottom w:val="single" w:sz="8" w:space="0" w:color="auto"/>
              <w:right w:val="single" w:sz="4"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1 001</w:t>
            </w:r>
          </w:p>
        </w:tc>
        <w:tc>
          <w:tcPr>
            <w:tcW w:w="960" w:type="dxa"/>
            <w:tcBorders>
              <w:top w:val="nil"/>
              <w:left w:val="nil"/>
              <w:bottom w:val="single" w:sz="8" w:space="0" w:color="auto"/>
              <w:right w:val="nil"/>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2 374</w:t>
            </w:r>
          </w:p>
        </w:tc>
        <w:tc>
          <w:tcPr>
            <w:tcW w:w="960" w:type="dxa"/>
            <w:tcBorders>
              <w:top w:val="nil"/>
              <w:left w:val="single" w:sz="8" w:space="0" w:color="auto"/>
              <w:bottom w:val="single" w:sz="8" w:space="0" w:color="auto"/>
              <w:right w:val="single" w:sz="8" w:space="0" w:color="auto"/>
            </w:tcBorders>
            <w:shd w:val="clear" w:color="000000" w:fill="000000"/>
            <w:noWrap/>
            <w:vAlign w:val="bottom"/>
            <w:hideMark/>
          </w:tcPr>
          <w:p w:rsidR="0009117D" w:rsidRPr="0009117D" w:rsidRDefault="0009117D">
            <w:pPr>
              <w:jc w:val="right"/>
              <w:rPr>
                <w:b/>
                <w:bCs/>
                <w:color w:val="FFFFFF"/>
                <w:sz w:val="20"/>
                <w:szCs w:val="20"/>
                <w:lang w:val="sk-SK"/>
              </w:rPr>
            </w:pPr>
            <w:r w:rsidRPr="0009117D">
              <w:rPr>
                <w:b/>
                <w:bCs/>
                <w:color w:val="FFFFFF"/>
                <w:sz w:val="20"/>
                <w:szCs w:val="20"/>
                <w:lang w:val="sk-SK"/>
              </w:rPr>
              <w:t>18 659</w:t>
            </w:r>
          </w:p>
        </w:tc>
      </w:tr>
    </w:tbl>
    <w:p w:rsidR="00DD3589" w:rsidRDefault="00DD3589">
      <w:pPr>
        <w:rPr>
          <w:lang w:val="sk-SK"/>
        </w:rPr>
      </w:pPr>
    </w:p>
    <w:p w:rsidR="00C10E18" w:rsidRDefault="00C10E18">
      <w:pPr>
        <w:rPr>
          <w:lang w:val="sk-SK"/>
        </w:rPr>
      </w:pPr>
    </w:p>
    <w:p w:rsidR="00C10E18" w:rsidRDefault="00C10E18">
      <w:pPr>
        <w:rPr>
          <w:lang w:val="sk-SK"/>
        </w:rPr>
      </w:pPr>
    </w:p>
    <w:p w:rsidR="00C10E18" w:rsidRDefault="00C10E18">
      <w:pPr>
        <w:rPr>
          <w:lang w:val="sk-SK"/>
        </w:rPr>
      </w:pPr>
    </w:p>
    <w:p w:rsidR="00ED73EA" w:rsidRPr="006F6A99" w:rsidRDefault="00ED73EA">
      <w:pPr>
        <w:rPr>
          <w:lang w:val="sk-SK"/>
        </w:rPr>
      </w:pPr>
    </w:p>
    <w:p w:rsidR="00A80523" w:rsidRPr="003203B4" w:rsidRDefault="00D90604" w:rsidP="003203B4">
      <w:pPr>
        <w:jc w:val="right"/>
        <w:rPr>
          <w:sz w:val="20"/>
          <w:szCs w:val="20"/>
          <w:lang w:val="sk-SK"/>
        </w:rPr>
      </w:pPr>
      <w:r>
        <w:rPr>
          <w:sz w:val="20"/>
          <w:szCs w:val="20"/>
          <w:lang w:val="sk-SK"/>
        </w:rPr>
        <w:t>Tabuľka č. 7</w:t>
      </w:r>
      <w:r w:rsidR="00A80523" w:rsidRPr="003203B4">
        <w:rPr>
          <w:sz w:val="20"/>
          <w:szCs w:val="20"/>
          <w:lang w:val="sk-SK"/>
        </w:rPr>
        <w:t xml:space="preserve"> </w:t>
      </w:r>
    </w:p>
    <w:tbl>
      <w:tblPr>
        <w:tblW w:w="14019" w:type="dxa"/>
        <w:tblInd w:w="55" w:type="dxa"/>
        <w:tblCellMar>
          <w:left w:w="70" w:type="dxa"/>
          <w:right w:w="70" w:type="dxa"/>
        </w:tblCellMar>
        <w:tblLook w:val="04A0" w:firstRow="1" w:lastRow="0" w:firstColumn="1" w:lastColumn="0" w:noHBand="0" w:noVBand="1"/>
      </w:tblPr>
      <w:tblGrid>
        <w:gridCol w:w="3559"/>
        <w:gridCol w:w="920"/>
        <w:gridCol w:w="1180"/>
        <w:gridCol w:w="1040"/>
        <w:gridCol w:w="1220"/>
        <w:gridCol w:w="1220"/>
        <w:gridCol w:w="1220"/>
        <w:gridCol w:w="1220"/>
        <w:gridCol w:w="1220"/>
        <w:gridCol w:w="1220"/>
      </w:tblGrid>
      <w:tr w:rsidR="00D90604" w:rsidTr="00D90604">
        <w:trPr>
          <w:trHeight w:val="270"/>
        </w:trPr>
        <w:tc>
          <w:tcPr>
            <w:tcW w:w="3559"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rsidR="00D90604" w:rsidRDefault="00D90604">
            <w:pPr>
              <w:jc w:val="center"/>
              <w:rPr>
                <w:b/>
                <w:bCs/>
                <w:color w:val="FFFFFF"/>
                <w:sz w:val="20"/>
                <w:szCs w:val="20"/>
              </w:rPr>
            </w:pPr>
            <w:r>
              <w:rPr>
                <w:b/>
                <w:bCs/>
                <w:color w:val="FFFFFF"/>
                <w:sz w:val="20"/>
                <w:szCs w:val="20"/>
              </w:rPr>
              <w:t>Príjmy (v eurách)</w:t>
            </w:r>
          </w:p>
        </w:tc>
        <w:tc>
          <w:tcPr>
            <w:tcW w:w="10460" w:type="dxa"/>
            <w:gridSpan w:val="9"/>
            <w:tcBorders>
              <w:top w:val="nil"/>
              <w:left w:val="nil"/>
              <w:bottom w:val="nil"/>
              <w:right w:val="nil"/>
            </w:tcBorders>
            <w:shd w:val="clear" w:color="000000" w:fill="000000"/>
            <w:vAlign w:val="center"/>
            <w:hideMark/>
          </w:tcPr>
          <w:p w:rsidR="00D90604" w:rsidRDefault="00D90604">
            <w:pPr>
              <w:jc w:val="center"/>
              <w:rPr>
                <w:b/>
                <w:bCs/>
                <w:color w:val="FFFFFF"/>
                <w:sz w:val="20"/>
                <w:szCs w:val="20"/>
              </w:rPr>
            </w:pPr>
            <w:r>
              <w:rPr>
                <w:b/>
                <w:bCs/>
                <w:color w:val="FFFFFF"/>
                <w:sz w:val="20"/>
                <w:szCs w:val="20"/>
              </w:rPr>
              <w:t>Vplyv na rozpočet verejnej správy</w:t>
            </w:r>
          </w:p>
        </w:tc>
      </w:tr>
      <w:tr w:rsidR="00590512" w:rsidTr="00D90604">
        <w:trPr>
          <w:trHeight w:val="270"/>
        </w:trPr>
        <w:tc>
          <w:tcPr>
            <w:tcW w:w="3559" w:type="dxa"/>
            <w:vMerge/>
            <w:tcBorders>
              <w:top w:val="single" w:sz="8" w:space="0" w:color="auto"/>
              <w:left w:val="single" w:sz="8" w:space="0" w:color="auto"/>
              <w:bottom w:val="single" w:sz="8" w:space="0" w:color="000000"/>
              <w:right w:val="single" w:sz="8" w:space="0" w:color="auto"/>
            </w:tcBorders>
            <w:vAlign w:val="center"/>
            <w:hideMark/>
          </w:tcPr>
          <w:p w:rsidR="00590512" w:rsidRDefault="00590512">
            <w:pPr>
              <w:rPr>
                <w:b/>
                <w:bCs/>
                <w:color w:val="FFFFFF"/>
                <w:sz w:val="20"/>
                <w:szCs w:val="20"/>
              </w:rPr>
            </w:pPr>
          </w:p>
        </w:tc>
        <w:tc>
          <w:tcPr>
            <w:tcW w:w="9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2013</w:t>
            </w:r>
          </w:p>
        </w:tc>
        <w:tc>
          <w:tcPr>
            <w:tcW w:w="118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2014</w:t>
            </w:r>
          </w:p>
        </w:tc>
        <w:tc>
          <w:tcPr>
            <w:tcW w:w="104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2015</w:t>
            </w:r>
          </w:p>
        </w:tc>
        <w:tc>
          <w:tcPr>
            <w:tcW w:w="12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2016</w:t>
            </w:r>
          </w:p>
        </w:tc>
        <w:tc>
          <w:tcPr>
            <w:tcW w:w="12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2017</w:t>
            </w:r>
          </w:p>
        </w:tc>
        <w:tc>
          <w:tcPr>
            <w:tcW w:w="12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2018</w:t>
            </w:r>
          </w:p>
        </w:tc>
        <w:tc>
          <w:tcPr>
            <w:tcW w:w="12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2019</w:t>
            </w:r>
          </w:p>
        </w:tc>
        <w:tc>
          <w:tcPr>
            <w:tcW w:w="1220" w:type="dxa"/>
            <w:tcBorders>
              <w:top w:val="nil"/>
              <w:left w:val="nil"/>
              <w:bottom w:val="single" w:sz="8" w:space="0" w:color="auto"/>
              <w:right w:val="single" w:sz="8"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2020</w:t>
            </w:r>
          </w:p>
        </w:tc>
        <w:tc>
          <w:tcPr>
            <w:tcW w:w="1220" w:type="dxa"/>
            <w:tcBorders>
              <w:top w:val="nil"/>
              <w:left w:val="nil"/>
              <w:bottom w:val="single" w:sz="8" w:space="0" w:color="auto"/>
              <w:right w:val="single" w:sz="8" w:space="0" w:color="auto"/>
            </w:tcBorders>
            <w:shd w:val="clear" w:color="000000" w:fill="000000"/>
            <w:vAlign w:val="center"/>
            <w:hideMark/>
          </w:tcPr>
          <w:p w:rsidR="00590512" w:rsidRDefault="00590512">
            <w:pPr>
              <w:jc w:val="center"/>
              <w:rPr>
                <w:b/>
                <w:bCs/>
                <w:color w:val="FFFFFF"/>
                <w:sz w:val="20"/>
                <w:szCs w:val="20"/>
              </w:rPr>
            </w:pPr>
            <w:r>
              <w:rPr>
                <w:b/>
                <w:bCs/>
                <w:color w:val="FFFFFF"/>
                <w:sz w:val="20"/>
                <w:szCs w:val="20"/>
              </w:rPr>
              <w:t>SPOLU</w:t>
            </w:r>
          </w:p>
        </w:tc>
      </w:tr>
      <w:tr w:rsidR="00D90604" w:rsidTr="00FC6D0F">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D90604" w:rsidRDefault="00D90604">
            <w:pPr>
              <w:rPr>
                <w:b/>
                <w:bCs/>
                <w:color w:val="000000"/>
                <w:sz w:val="20"/>
                <w:szCs w:val="20"/>
              </w:rPr>
            </w:pPr>
            <w:r>
              <w:rPr>
                <w:b/>
                <w:bCs/>
                <w:color w:val="000000"/>
                <w:sz w:val="20"/>
                <w:szCs w:val="20"/>
              </w:rPr>
              <w:t>Daňové príjmy (100)</w:t>
            </w:r>
            <w:r>
              <w:rPr>
                <w:b/>
                <w:bCs/>
                <w:color w:val="000000"/>
                <w:sz w:val="20"/>
                <w:szCs w:val="20"/>
                <w:vertAlign w:val="superscript"/>
              </w:rPr>
              <w:t>1</w:t>
            </w:r>
          </w:p>
        </w:tc>
        <w:tc>
          <w:tcPr>
            <w:tcW w:w="9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18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r>
      <w:tr w:rsidR="00D90604" w:rsidTr="00FC6D0F">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D90604" w:rsidRDefault="00D90604">
            <w:pPr>
              <w:rPr>
                <w:b/>
                <w:bCs/>
                <w:color w:val="000000"/>
                <w:sz w:val="20"/>
                <w:szCs w:val="20"/>
              </w:rPr>
            </w:pPr>
            <w:r>
              <w:rPr>
                <w:b/>
                <w:bCs/>
                <w:color w:val="000000"/>
                <w:sz w:val="20"/>
                <w:szCs w:val="20"/>
              </w:rPr>
              <w:t>Nedaňové príjmy (200)</w:t>
            </w:r>
            <w:r>
              <w:rPr>
                <w:b/>
                <w:bCs/>
                <w:color w:val="000000"/>
                <w:sz w:val="20"/>
                <w:szCs w:val="20"/>
                <w:vertAlign w:val="superscript"/>
              </w:rPr>
              <w:t>1</w:t>
            </w:r>
          </w:p>
        </w:tc>
        <w:tc>
          <w:tcPr>
            <w:tcW w:w="9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18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D90604" w:rsidRDefault="00FC6D0F">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tcPr>
          <w:p w:rsidR="00FC6D0F" w:rsidRDefault="00FC6D0F" w:rsidP="00FC6D0F">
            <w:pPr>
              <w:jc w:val="center"/>
              <w:rPr>
                <w:b/>
                <w:bCs/>
                <w:color w:val="000000"/>
                <w:sz w:val="20"/>
                <w:szCs w:val="20"/>
              </w:rPr>
            </w:pPr>
            <w:r>
              <w:rPr>
                <w:b/>
                <w:bCs/>
                <w:color w:val="000000"/>
                <w:sz w:val="20"/>
                <w:szCs w:val="20"/>
              </w:rPr>
              <w:t>0</w:t>
            </w:r>
          </w:p>
        </w:tc>
      </w:tr>
      <w:tr w:rsidR="00D90604" w:rsidTr="00D90604">
        <w:trPr>
          <w:trHeight w:val="33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D90604" w:rsidRDefault="00D90604">
            <w:pPr>
              <w:rPr>
                <w:b/>
                <w:bCs/>
                <w:color w:val="000000"/>
                <w:sz w:val="20"/>
                <w:szCs w:val="20"/>
              </w:rPr>
            </w:pPr>
            <w:r>
              <w:rPr>
                <w:b/>
                <w:bCs/>
                <w:color w:val="000000"/>
                <w:sz w:val="20"/>
                <w:szCs w:val="20"/>
              </w:rPr>
              <w:t>Granty a transfery (300)</w:t>
            </w:r>
            <w:r>
              <w:rPr>
                <w:b/>
                <w:bCs/>
                <w:color w:val="000000"/>
                <w:sz w:val="20"/>
                <w:szCs w:val="20"/>
                <w:vertAlign w:val="superscript"/>
              </w:rPr>
              <w:t>1</w:t>
            </w:r>
          </w:p>
        </w:tc>
        <w:tc>
          <w:tcPr>
            <w:tcW w:w="9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18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c>
          <w:tcPr>
            <w:tcW w:w="1220" w:type="dxa"/>
            <w:tcBorders>
              <w:top w:val="nil"/>
              <w:left w:val="nil"/>
              <w:bottom w:val="single" w:sz="8" w:space="0" w:color="auto"/>
              <w:right w:val="single" w:sz="8" w:space="0" w:color="auto"/>
            </w:tcBorders>
            <w:shd w:val="clear" w:color="auto" w:fill="auto"/>
            <w:vAlign w:val="center"/>
            <w:hideMark/>
          </w:tcPr>
          <w:p w:rsidR="00D90604" w:rsidRDefault="00D90604">
            <w:pPr>
              <w:jc w:val="center"/>
              <w:rPr>
                <w:b/>
                <w:bCs/>
                <w:color w:val="000000"/>
                <w:sz w:val="20"/>
                <w:szCs w:val="20"/>
              </w:rPr>
            </w:pPr>
            <w:r>
              <w:rPr>
                <w:b/>
                <w:bCs/>
                <w:color w:val="000000"/>
                <w:sz w:val="20"/>
                <w:szCs w:val="20"/>
              </w:rPr>
              <w:t>0</w:t>
            </w:r>
          </w:p>
        </w:tc>
      </w:tr>
      <w:tr w:rsidR="00D90604" w:rsidTr="00D90604">
        <w:trPr>
          <w:trHeight w:val="52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D90604" w:rsidRDefault="00D90604">
            <w:pPr>
              <w:rPr>
                <w:b/>
                <w:bCs/>
                <w:color w:val="000000"/>
                <w:sz w:val="20"/>
                <w:szCs w:val="20"/>
              </w:rPr>
            </w:pPr>
            <w:r>
              <w:rPr>
                <w:b/>
                <w:bCs/>
                <w:color w:val="000000"/>
                <w:sz w:val="20"/>
                <w:szCs w:val="20"/>
              </w:rPr>
              <w:t>Príjmy z transakcií s finančnými aktívami a finančnými pasívami (400)</w:t>
            </w:r>
          </w:p>
        </w:tc>
        <w:tc>
          <w:tcPr>
            <w:tcW w:w="9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18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04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r>
      <w:tr w:rsidR="00D90604" w:rsidTr="00D90604">
        <w:trPr>
          <w:trHeight w:val="52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D90604" w:rsidRDefault="00D90604">
            <w:pPr>
              <w:rPr>
                <w:b/>
                <w:bCs/>
                <w:color w:val="000000"/>
                <w:sz w:val="20"/>
                <w:szCs w:val="20"/>
              </w:rPr>
            </w:pPr>
            <w:r>
              <w:rPr>
                <w:b/>
                <w:bCs/>
                <w:color w:val="000000"/>
                <w:sz w:val="20"/>
                <w:szCs w:val="20"/>
              </w:rPr>
              <w:t>Prijaté úvery, pôžičky a návratné finančné výpomoci (500)</w:t>
            </w:r>
          </w:p>
        </w:tc>
        <w:tc>
          <w:tcPr>
            <w:tcW w:w="9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18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04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c>
          <w:tcPr>
            <w:tcW w:w="1220" w:type="dxa"/>
            <w:tcBorders>
              <w:top w:val="nil"/>
              <w:left w:val="nil"/>
              <w:bottom w:val="single" w:sz="8" w:space="0" w:color="auto"/>
              <w:right w:val="single" w:sz="8" w:space="0" w:color="auto"/>
            </w:tcBorders>
            <w:shd w:val="clear" w:color="000000" w:fill="FFFF99"/>
            <w:vAlign w:val="center"/>
            <w:hideMark/>
          </w:tcPr>
          <w:p w:rsidR="00D90604" w:rsidRDefault="00D90604">
            <w:pPr>
              <w:jc w:val="center"/>
              <w:rPr>
                <w:b/>
                <w:bCs/>
                <w:color w:val="000000"/>
                <w:sz w:val="20"/>
                <w:szCs w:val="20"/>
              </w:rPr>
            </w:pPr>
            <w:r>
              <w:rPr>
                <w:b/>
                <w:bCs/>
                <w:color w:val="000000"/>
                <w:sz w:val="20"/>
                <w:szCs w:val="20"/>
              </w:rPr>
              <w:t> </w:t>
            </w:r>
          </w:p>
        </w:tc>
      </w:tr>
      <w:tr w:rsidR="00D90604" w:rsidTr="00D90604">
        <w:trPr>
          <w:trHeight w:val="270"/>
        </w:trPr>
        <w:tc>
          <w:tcPr>
            <w:tcW w:w="3559" w:type="dxa"/>
            <w:tcBorders>
              <w:top w:val="nil"/>
              <w:left w:val="single" w:sz="8" w:space="0" w:color="auto"/>
              <w:bottom w:val="single" w:sz="8" w:space="0" w:color="auto"/>
              <w:right w:val="single" w:sz="8" w:space="0" w:color="auto"/>
            </w:tcBorders>
            <w:shd w:val="clear" w:color="000000" w:fill="000000"/>
            <w:vAlign w:val="center"/>
            <w:hideMark/>
          </w:tcPr>
          <w:p w:rsidR="00D90604" w:rsidRDefault="00D90604">
            <w:pPr>
              <w:rPr>
                <w:b/>
                <w:bCs/>
                <w:color w:val="FFFFFF"/>
                <w:sz w:val="20"/>
                <w:szCs w:val="20"/>
              </w:rPr>
            </w:pPr>
            <w:r>
              <w:rPr>
                <w:b/>
                <w:bCs/>
                <w:color w:val="FFFFFF"/>
                <w:sz w:val="20"/>
                <w:szCs w:val="20"/>
              </w:rPr>
              <w:t>Dopad na príjmy verejnej správy celkom</w:t>
            </w:r>
          </w:p>
        </w:tc>
        <w:tc>
          <w:tcPr>
            <w:tcW w:w="9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r>
              <w:rPr>
                <w:b/>
                <w:bCs/>
                <w:color w:val="FFFFFF"/>
                <w:sz w:val="20"/>
                <w:szCs w:val="20"/>
              </w:rPr>
              <w:t>1</w:t>
            </w:r>
          </w:p>
        </w:tc>
        <w:tc>
          <w:tcPr>
            <w:tcW w:w="118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04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c>
          <w:tcPr>
            <w:tcW w:w="1220" w:type="dxa"/>
            <w:tcBorders>
              <w:top w:val="nil"/>
              <w:left w:val="nil"/>
              <w:bottom w:val="single" w:sz="8" w:space="0" w:color="auto"/>
              <w:right w:val="single" w:sz="8" w:space="0" w:color="auto"/>
            </w:tcBorders>
            <w:shd w:val="clear" w:color="000000" w:fill="000000"/>
            <w:vAlign w:val="center"/>
            <w:hideMark/>
          </w:tcPr>
          <w:p w:rsidR="00D90604" w:rsidRDefault="00D90604">
            <w:pPr>
              <w:jc w:val="center"/>
              <w:rPr>
                <w:b/>
                <w:bCs/>
                <w:color w:val="FFFFFF"/>
                <w:sz w:val="20"/>
                <w:szCs w:val="20"/>
              </w:rPr>
            </w:pPr>
          </w:p>
        </w:tc>
      </w:tr>
    </w:tbl>
    <w:p w:rsidR="004E460A" w:rsidRPr="00C10E18" w:rsidRDefault="00A80523">
      <w:pPr>
        <w:pStyle w:val="Zkladntext"/>
        <w:tabs>
          <w:tab w:val="num" w:pos="1080"/>
        </w:tabs>
        <w:jc w:val="both"/>
        <w:rPr>
          <w:b w:val="0"/>
          <w:bCs/>
          <w:sz w:val="20"/>
        </w:rPr>
      </w:pPr>
      <w:r w:rsidRPr="006F6A99">
        <w:rPr>
          <w:b w:val="0"/>
          <w:bCs/>
          <w:sz w:val="20"/>
        </w:rPr>
        <w:t xml:space="preserve">1 –  príjmy rozpísať až do položiek </w:t>
      </w:r>
      <w:r w:rsidR="00C10E18">
        <w:rPr>
          <w:b w:val="0"/>
          <w:bCs/>
          <w:sz w:val="20"/>
        </w:rPr>
        <w:t>platnej ekonomickej klasifikáci</w:t>
      </w:r>
    </w:p>
    <w:p w:rsidR="004E460A" w:rsidRDefault="004E460A">
      <w:pPr>
        <w:pStyle w:val="Zkladntext"/>
        <w:tabs>
          <w:tab w:val="num" w:pos="1080"/>
        </w:tabs>
        <w:jc w:val="both"/>
        <w:rPr>
          <w:b w:val="0"/>
          <w:bCs/>
        </w:rPr>
      </w:pPr>
    </w:p>
    <w:p w:rsidR="00C10E18" w:rsidRDefault="00C10E18">
      <w:pPr>
        <w:pStyle w:val="Zkladntext"/>
        <w:tabs>
          <w:tab w:val="num" w:pos="1080"/>
        </w:tabs>
        <w:jc w:val="both"/>
        <w:rPr>
          <w:b w:val="0"/>
          <w:bCs/>
        </w:rPr>
      </w:pPr>
    </w:p>
    <w:p w:rsidR="00C10E18" w:rsidRDefault="00C10E18">
      <w:pPr>
        <w:pStyle w:val="Zkladntext"/>
        <w:tabs>
          <w:tab w:val="num" w:pos="1080"/>
        </w:tabs>
        <w:jc w:val="both"/>
        <w:rPr>
          <w:b w:val="0"/>
          <w:bCs/>
        </w:rPr>
      </w:pPr>
    </w:p>
    <w:p w:rsidR="00C10E18" w:rsidRDefault="00C10E18">
      <w:pPr>
        <w:pStyle w:val="Zkladntext"/>
        <w:tabs>
          <w:tab w:val="num" w:pos="1080"/>
        </w:tabs>
        <w:jc w:val="both"/>
        <w:rPr>
          <w:b w:val="0"/>
          <w:bCs/>
        </w:rPr>
      </w:pPr>
    </w:p>
    <w:p w:rsidR="004E460A" w:rsidRPr="006F6A99" w:rsidRDefault="004E460A">
      <w:pPr>
        <w:pStyle w:val="Zkladntext"/>
        <w:tabs>
          <w:tab w:val="num" w:pos="1080"/>
        </w:tabs>
        <w:jc w:val="both"/>
        <w:rPr>
          <w:b w:val="0"/>
          <w:bCs/>
        </w:rPr>
      </w:pPr>
    </w:p>
    <w:p w:rsidR="00A80523" w:rsidRPr="00ED73EA" w:rsidRDefault="00ED73EA" w:rsidP="00ED73EA">
      <w:pPr>
        <w:jc w:val="right"/>
        <w:rPr>
          <w:sz w:val="20"/>
          <w:szCs w:val="20"/>
          <w:lang w:val="sk-SK"/>
        </w:rPr>
      </w:pPr>
      <w:r>
        <w:rPr>
          <w:sz w:val="20"/>
          <w:szCs w:val="20"/>
          <w:lang w:val="sk-SK"/>
        </w:rPr>
        <w:t xml:space="preserve"> Tabuľka č. 8</w:t>
      </w:r>
      <w:r w:rsidR="00A80523" w:rsidRPr="00ED73EA">
        <w:rPr>
          <w:sz w:val="20"/>
          <w:szCs w:val="20"/>
          <w:lang w:val="sk-SK"/>
        </w:rPr>
        <w:t xml:space="preserve"> </w:t>
      </w:r>
    </w:p>
    <w:tbl>
      <w:tblPr>
        <w:tblW w:w="14529" w:type="dxa"/>
        <w:tblInd w:w="55" w:type="dxa"/>
        <w:tblCellMar>
          <w:left w:w="70" w:type="dxa"/>
          <w:right w:w="70" w:type="dxa"/>
        </w:tblCellMar>
        <w:tblLook w:val="04A0" w:firstRow="1" w:lastRow="0" w:firstColumn="1" w:lastColumn="0" w:noHBand="0" w:noVBand="1"/>
      </w:tblPr>
      <w:tblGrid>
        <w:gridCol w:w="4693"/>
        <w:gridCol w:w="960"/>
        <w:gridCol w:w="1040"/>
        <w:gridCol w:w="1260"/>
        <w:gridCol w:w="1276"/>
        <w:gridCol w:w="1040"/>
        <w:gridCol w:w="1040"/>
        <w:gridCol w:w="1040"/>
        <w:gridCol w:w="1040"/>
        <w:gridCol w:w="1140"/>
      </w:tblGrid>
      <w:tr w:rsidR="00ED73EA" w:rsidTr="005A2EBC">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ED73EA" w:rsidRDefault="00ED73EA">
            <w:pPr>
              <w:jc w:val="center"/>
              <w:rPr>
                <w:b/>
                <w:bCs/>
                <w:color w:val="FFFFFF"/>
                <w:sz w:val="20"/>
                <w:szCs w:val="20"/>
              </w:rPr>
            </w:pPr>
            <w:r>
              <w:rPr>
                <w:b/>
                <w:bCs/>
                <w:color w:val="FFFFFF"/>
                <w:sz w:val="20"/>
                <w:szCs w:val="20"/>
              </w:rPr>
              <w:t>Výdavky (v eurách)</w:t>
            </w:r>
          </w:p>
        </w:tc>
        <w:tc>
          <w:tcPr>
            <w:tcW w:w="9836" w:type="dxa"/>
            <w:gridSpan w:val="9"/>
            <w:tcBorders>
              <w:top w:val="nil"/>
              <w:left w:val="nil"/>
              <w:bottom w:val="single" w:sz="4" w:space="0" w:color="auto"/>
              <w:right w:val="nil"/>
            </w:tcBorders>
            <w:shd w:val="clear" w:color="000000" w:fill="000000"/>
            <w:vAlign w:val="center"/>
            <w:hideMark/>
          </w:tcPr>
          <w:p w:rsidR="00ED73EA" w:rsidRDefault="00ED73EA">
            <w:pPr>
              <w:jc w:val="center"/>
              <w:rPr>
                <w:b/>
                <w:bCs/>
                <w:color w:val="FFFFFF"/>
                <w:sz w:val="20"/>
                <w:szCs w:val="20"/>
              </w:rPr>
            </w:pPr>
            <w:r>
              <w:rPr>
                <w:b/>
                <w:bCs/>
                <w:color w:val="FFFFFF"/>
                <w:sz w:val="20"/>
                <w:szCs w:val="20"/>
              </w:rPr>
              <w:t>Vplyv na rozpočet verejnej správy</w:t>
            </w:r>
          </w:p>
        </w:tc>
      </w:tr>
      <w:tr w:rsidR="00590512" w:rsidTr="005A2EBC">
        <w:trPr>
          <w:trHeight w:val="25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590512" w:rsidRDefault="00590512">
            <w:pPr>
              <w:rPr>
                <w:b/>
                <w:bCs/>
                <w:color w:val="FFFFFF"/>
                <w:sz w:val="20"/>
                <w:szCs w:val="20"/>
              </w:rPr>
            </w:pP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2013</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2014</w:t>
            </w:r>
          </w:p>
        </w:tc>
        <w:tc>
          <w:tcPr>
            <w:tcW w:w="12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2015</w:t>
            </w:r>
          </w:p>
        </w:tc>
        <w:tc>
          <w:tcPr>
            <w:tcW w:w="1276"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2016</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2017</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2018</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2019</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2020</w:t>
            </w:r>
          </w:p>
        </w:tc>
        <w:tc>
          <w:tcPr>
            <w:tcW w:w="1140" w:type="dxa"/>
            <w:tcBorders>
              <w:top w:val="nil"/>
              <w:left w:val="nil"/>
              <w:bottom w:val="single" w:sz="4" w:space="0" w:color="auto"/>
              <w:right w:val="single" w:sz="4" w:space="0" w:color="auto"/>
            </w:tcBorders>
            <w:shd w:val="clear" w:color="000000" w:fill="000000"/>
            <w:vAlign w:val="center"/>
            <w:hideMark/>
          </w:tcPr>
          <w:p w:rsidR="00590512" w:rsidRDefault="00590512">
            <w:pPr>
              <w:jc w:val="center"/>
              <w:rPr>
                <w:b/>
                <w:bCs/>
                <w:color w:val="FFFFFF"/>
                <w:sz w:val="20"/>
                <w:szCs w:val="20"/>
              </w:rPr>
            </w:pPr>
            <w:r>
              <w:rPr>
                <w:b/>
                <w:bCs/>
                <w:color w:val="FFFFFF"/>
                <w:sz w:val="20"/>
                <w:szCs w:val="20"/>
              </w:rPr>
              <w:t>SPOLU</w:t>
            </w:r>
          </w:p>
        </w:tc>
      </w:tr>
      <w:tr w:rsidR="00C10E18" w:rsidRPr="00FC6D0F"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10E18" w:rsidRDefault="00C10E18">
            <w:pPr>
              <w:rPr>
                <w:b/>
                <w:bCs/>
                <w:color w:val="000000"/>
                <w:sz w:val="20"/>
                <w:szCs w:val="20"/>
              </w:rPr>
            </w:pPr>
            <w:r>
              <w:rPr>
                <w:b/>
                <w:bCs/>
                <w:color w:val="000000"/>
                <w:sz w:val="20"/>
                <w:szCs w:val="20"/>
              </w:rPr>
              <w:t>Bežné výdavky (600)</w:t>
            </w:r>
          </w:p>
        </w:tc>
        <w:tc>
          <w:tcPr>
            <w:tcW w:w="96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C10E18" w:rsidRPr="00C10E18" w:rsidRDefault="00C10E18" w:rsidP="00C10E18">
            <w:pPr>
              <w:jc w:val="center"/>
              <w:rPr>
                <w:bCs/>
                <w:color w:val="000000"/>
                <w:sz w:val="20"/>
                <w:szCs w:val="20"/>
              </w:rPr>
            </w:pPr>
            <w:r>
              <w:rPr>
                <w:bCs/>
                <w:color w:val="000000"/>
                <w:sz w:val="20"/>
                <w:szCs w:val="20"/>
              </w:rPr>
              <w:t>0</w:t>
            </w:r>
          </w:p>
        </w:tc>
      </w:tr>
      <w:tr w:rsidR="00ED73EA" w:rsidTr="005A2EBC">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Mzdy, platy, služobné príjmy a ostatné osobné vyrovnania (610)</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ED73EA"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Poistné a príspevok do poisťovní (620)</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ED73EA" w:rsidTr="005A2EBC">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Tovary a služby (630)</w:t>
            </w:r>
            <w:r>
              <w:rPr>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ED73EA" w:rsidTr="005A2EBC">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Bežné transfery (640)</w:t>
            </w:r>
            <w:r>
              <w:rPr>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ED73EA" w:rsidTr="005A2EBC">
        <w:trPr>
          <w:trHeight w:val="5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Splácanie úrokov a ostatné platby súvisiace s úvermi, pôžičkami a NFV (650)</w:t>
            </w:r>
            <w:r>
              <w:rPr>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2121B8"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121B8" w:rsidRDefault="002121B8">
            <w:pPr>
              <w:rPr>
                <w:b/>
                <w:bCs/>
                <w:color w:val="000000"/>
                <w:sz w:val="20"/>
                <w:szCs w:val="20"/>
              </w:rPr>
            </w:pPr>
            <w:r>
              <w:rPr>
                <w:b/>
                <w:bCs/>
                <w:color w:val="000000"/>
                <w:sz w:val="20"/>
                <w:szCs w:val="20"/>
              </w:rPr>
              <w:t>Kapitálové výdavky (700)</w:t>
            </w:r>
          </w:p>
        </w:tc>
        <w:tc>
          <w:tcPr>
            <w:tcW w:w="96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2 933 000</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47 327 119</w:t>
            </w:r>
          </w:p>
        </w:tc>
        <w:tc>
          <w:tcPr>
            <w:tcW w:w="126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81 221 130</w:t>
            </w:r>
          </w:p>
        </w:tc>
        <w:tc>
          <w:tcPr>
            <w:tcW w:w="1276"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90 878 030</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70 608 392</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63 646 868</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75 309 748</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35 911 143</w:t>
            </w:r>
          </w:p>
        </w:tc>
        <w:tc>
          <w:tcPr>
            <w:tcW w:w="11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467 835 428</w:t>
            </w:r>
          </w:p>
        </w:tc>
      </w:tr>
      <w:tr w:rsidR="002121B8" w:rsidTr="005A2EBC">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121B8" w:rsidRDefault="002121B8">
            <w:pPr>
              <w:rPr>
                <w:color w:val="000000"/>
                <w:sz w:val="20"/>
                <w:szCs w:val="20"/>
              </w:rPr>
            </w:pPr>
            <w:r>
              <w:rPr>
                <w:color w:val="000000"/>
                <w:sz w:val="20"/>
                <w:szCs w:val="20"/>
              </w:rPr>
              <w:t xml:space="preserve">  Obstarávanie kapitálových aktív (710)</w:t>
            </w:r>
            <w:r>
              <w:rPr>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2 933 000</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47 327 119</w:t>
            </w:r>
          </w:p>
        </w:tc>
        <w:tc>
          <w:tcPr>
            <w:tcW w:w="126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81 221 130</w:t>
            </w:r>
          </w:p>
        </w:tc>
        <w:tc>
          <w:tcPr>
            <w:tcW w:w="1276"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90 878 030</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70 608 392</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63 646 868</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75 309 748</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35 911 143</w:t>
            </w:r>
          </w:p>
        </w:tc>
        <w:tc>
          <w:tcPr>
            <w:tcW w:w="11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467 835 428</w:t>
            </w:r>
          </w:p>
        </w:tc>
      </w:tr>
      <w:tr w:rsidR="00ED73EA" w:rsidTr="005A2EBC">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color w:val="000000"/>
                <w:sz w:val="20"/>
                <w:szCs w:val="20"/>
              </w:rPr>
              <w:t xml:space="preserve">  Kapitálové transfery (720)</w:t>
            </w:r>
            <w:r>
              <w:rPr>
                <w:color w:val="000000"/>
                <w:sz w:val="20"/>
                <w:szCs w:val="20"/>
                <w:vertAlign w:val="superscript"/>
              </w:rPr>
              <w:t>2</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color w:val="000000"/>
                <w:sz w:val="20"/>
                <w:szCs w:val="20"/>
              </w:rPr>
            </w:pPr>
            <w:r>
              <w:rPr>
                <w:color w:val="000000"/>
                <w:sz w:val="20"/>
                <w:szCs w:val="20"/>
              </w:rPr>
              <w:t>0</w:t>
            </w:r>
          </w:p>
        </w:tc>
      </w:tr>
      <w:tr w:rsidR="00ED73EA" w:rsidTr="005A2EBC">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b/>
                <w:bCs/>
                <w:color w:val="000000"/>
                <w:sz w:val="20"/>
                <w:szCs w:val="20"/>
              </w:rPr>
            </w:pPr>
            <w:r>
              <w:rPr>
                <w:b/>
                <w:bCs/>
                <w:color w:val="000000"/>
                <w:sz w:val="20"/>
                <w:szCs w:val="20"/>
              </w:rPr>
              <w:t>Výdavky z transakcií s finančnými aktívami a finančnými pasívami (800)</w:t>
            </w:r>
          </w:p>
        </w:tc>
        <w:tc>
          <w:tcPr>
            <w:tcW w:w="96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26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276"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000000" w:fill="FFFF99"/>
            <w:vAlign w:val="center"/>
            <w:hideMark/>
          </w:tcPr>
          <w:p w:rsidR="00ED73EA" w:rsidRDefault="00ED73EA">
            <w:pPr>
              <w:jc w:val="center"/>
              <w:rPr>
                <w:b/>
                <w:bCs/>
                <w:color w:val="000000"/>
                <w:sz w:val="20"/>
                <w:szCs w:val="20"/>
              </w:rPr>
            </w:pPr>
            <w:r>
              <w:rPr>
                <w:b/>
                <w:bCs/>
                <w:color w:val="000000"/>
                <w:sz w:val="20"/>
                <w:szCs w:val="20"/>
              </w:rPr>
              <w:t> </w:t>
            </w:r>
          </w:p>
        </w:tc>
      </w:tr>
      <w:tr w:rsidR="00590512" w:rsidTr="005A2EBC">
        <w:trPr>
          <w:trHeight w:val="255"/>
        </w:trPr>
        <w:tc>
          <w:tcPr>
            <w:tcW w:w="4693" w:type="dxa"/>
            <w:tcBorders>
              <w:top w:val="nil"/>
              <w:left w:val="single" w:sz="4" w:space="0" w:color="auto"/>
              <w:bottom w:val="single" w:sz="4" w:space="0" w:color="auto"/>
              <w:right w:val="single" w:sz="4" w:space="0" w:color="auto"/>
            </w:tcBorders>
            <w:shd w:val="clear" w:color="000000" w:fill="000000"/>
            <w:vAlign w:val="center"/>
            <w:hideMark/>
          </w:tcPr>
          <w:p w:rsidR="00590512" w:rsidRDefault="00590512">
            <w:pPr>
              <w:rPr>
                <w:b/>
                <w:bCs/>
                <w:color w:val="FFFFFF"/>
                <w:sz w:val="20"/>
                <w:szCs w:val="20"/>
              </w:rPr>
            </w:pPr>
            <w:r>
              <w:rPr>
                <w:b/>
                <w:bCs/>
                <w:color w:val="FFFFFF"/>
                <w:sz w:val="20"/>
                <w:szCs w:val="20"/>
              </w:rPr>
              <w:t>Dopad na výdavky verejnej správy celkom</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2013</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2014</w:t>
            </w:r>
          </w:p>
        </w:tc>
        <w:tc>
          <w:tcPr>
            <w:tcW w:w="12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2015</w:t>
            </w:r>
          </w:p>
        </w:tc>
        <w:tc>
          <w:tcPr>
            <w:tcW w:w="1276"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2016</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2017</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2018</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2019</w:t>
            </w:r>
          </w:p>
        </w:tc>
        <w:tc>
          <w:tcPr>
            <w:tcW w:w="104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2020</w:t>
            </w:r>
          </w:p>
        </w:tc>
        <w:tc>
          <w:tcPr>
            <w:tcW w:w="1140" w:type="dxa"/>
            <w:tcBorders>
              <w:top w:val="nil"/>
              <w:left w:val="nil"/>
              <w:bottom w:val="single" w:sz="4" w:space="0" w:color="auto"/>
              <w:right w:val="single" w:sz="4" w:space="0" w:color="auto"/>
            </w:tcBorders>
            <w:shd w:val="clear" w:color="000000" w:fill="000000"/>
            <w:vAlign w:val="center"/>
            <w:hideMark/>
          </w:tcPr>
          <w:p w:rsidR="00590512" w:rsidRDefault="00590512" w:rsidP="00B10972">
            <w:pPr>
              <w:jc w:val="center"/>
              <w:rPr>
                <w:b/>
                <w:bCs/>
                <w:color w:val="FFFFFF"/>
                <w:sz w:val="20"/>
                <w:szCs w:val="20"/>
              </w:rPr>
            </w:pPr>
            <w:r>
              <w:rPr>
                <w:b/>
                <w:bCs/>
                <w:color w:val="FFFFFF"/>
                <w:sz w:val="20"/>
                <w:szCs w:val="20"/>
              </w:rPr>
              <w:t>SPOLU</w:t>
            </w:r>
          </w:p>
        </w:tc>
      </w:tr>
      <w:tr w:rsidR="002121B8"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121B8" w:rsidRDefault="002121B8">
            <w:pPr>
              <w:rPr>
                <w:b/>
                <w:bCs/>
                <w:color w:val="000000"/>
                <w:sz w:val="20"/>
                <w:szCs w:val="20"/>
              </w:rPr>
            </w:pPr>
            <w:r>
              <w:rPr>
                <w:b/>
                <w:bCs/>
                <w:color w:val="000000"/>
                <w:sz w:val="20"/>
                <w:szCs w:val="20"/>
              </w:rPr>
              <w:t xml:space="preserve">  z toho výdavky na ŠR</w:t>
            </w:r>
          </w:p>
        </w:tc>
        <w:tc>
          <w:tcPr>
            <w:tcW w:w="96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2 933 000</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47 327 119</w:t>
            </w:r>
          </w:p>
        </w:tc>
        <w:tc>
          <w:tcPr>
            <w:tcW w:w="126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81 221 130</w:t>
            </w:r>
          </w:p>
        </w:tc>
        <w:tc>
          <w:tcPr>
            <w:tcW w:w="1276"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90 878 030</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70 608 392</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63 646 868</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75 309 748</w:t>
            </w:r>
          </w:p>
        </w:tc>
        <w:tc>
          <w:tcPr>
            <w:tcW w:w="10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35 911 143</w:t>
            </w:r>
          </w:p>
        </w:tc>
        <w:tc>
          <w:tcPr>
            <w:tcW w:w="1140" w:type="dxa"/>
            <w:tcBorders>
              <w:top w:val="nil"/>
              <w:left w:val="nil"/>
              <w:bottom w:val="single" w:sz="4" w:space="0" w:color="auto"/>
              <w:right w:val="single" w:sz="4" w:space="0" w:color="auto"/>
            </w:tcBorders>
            <w:shd w:val="clear" w:color="auto" w:fill="auto"/>
            <w:vAlign w:val="center"/>
            <w:hideMark/>
          </w:tcPr>
          <w:p w:rsidR="002121B8" w:rsidRDefault="002121B8" w:rsidP="00E70DA5">
            <w:pPr>
              <w:jc w:val="right"/>
              <w:rPr>
                <w:b/>
                <w:bCs/>
                <w:color w:val="000000"/>
                <w:sz w:val="20"/>
                <w:szCs w:val="20"/>
              </w:rPr>
            </w:pPr>
            <w:r>
              <w:rPr>
                <w:b/>
                <w:bCs/>
                <w:color w:val="000000"/>
                <w:sz w:val="20"/>
                <w:szCs w:val="20"/>
              </w:rPr>
              <w:t>467 835 428</w:t>
            </w:r>
          </w:p>
        </w:tc>
      </w:tr>
      <w:tr w:rsidR="00ED73EA"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bCs/>
                <w:color w:val="000000"/>
                <w:sz w:val="20"/>
                <w:szCs w:val="20"/>
              </w:rPr>
              <w:t xml:space="preserve">        Bežné výdavky</w:t>
            </w:r>
            <w:r>
              <w:rPr>
                <w:b/>
                <w:bCs/>
                <w:color w:val="000000"/>
                <w:sz w:val="20"/>
                <w:szCs w:val="20"/>
              </w:rPr>
              <w:t xml:space="preserve"> </w:t>
            </w:r>
            <w:r>
              <w:rPr>
                <w:color w:val="000000"/>
                <w:sz w:val="20"/>
                <w:szCs w:val="20"/>
              </w:rPr>
              <w:t>(600)</w:t>
            </w:r>
            <w:r>
              <w:rPr>
                <w:b/>
                <w:bCs/>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r>
      <w:tr w:rsidR="00ED73EA" w:rsidTr="005A2EBC">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b/>
                <w:bCs/>
                <w:color w:val="000000"/>
                <w:sz w:val="20"/>
                <w:szCs w:val="20"/>
              </w:rPr>
            </w:pPr>
            <w:r>
              <w:rPr>
                <w:b/>
                <w:bCs/>
                <w:color w:val="000000"/>
                <w:sz w:val="20"/>
                <w:szCs w:val="20"/>
              </w:rPr>
              <w:t xml:space="preserve">               </w:t>
            </w:r>
            <w:r>
              <w:rPr>
                <w:color w:val="000000"/>
                <w:sz w:val="20"/>
                <w:szCs w:val="20"/>
              </w:rPr>
              <w:t xml:space="preserve"> Mzdy, platy, služobné príjmy a ostatné osobné vyrovnania (610)</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r>
      <w:tr w:rsidR="002121B8" w:rsidTr="005A2EBC">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121B8" w:rsidRDefault="002121B8">
            <w:pPr>
              <w:rPr>
                <w:color w:val="000000"/>
                <w:sz w:val="20"/>
                <w:szCs w:val="20"/>
              </w:rPr>
            </w:pPr>
            <w:r>
              <w:rPr>
                <w:bCs/>
                <w:color w:val="000000"/>
                <w:sz w:val="20"/>
                <w:szCs w:val="20"/>
              </w:rPr>
              <w:t xml:space="preserve">        Kapitálové výdavky (700)</w:t>
            </w:r>
          </w:p>
        </w:tc>
        <w:tc>
          <w:tcPr>
            <w:tcW w:w="96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2 933 000</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47 327 119</w:t>
            </w:r>
          </w:p>
        </w:tc>
        <w:tc>
          <w:tcPr>
            <w:tcW w:w="126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81 221 130</w:t>
            </w:r>
          </w:p>
        </w:tc>
        <w:tc>
          <w:tcPr>
            <w:tcW w:w="1276"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90 878 030</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70 608 392</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63 646 868</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75 309 748</w:t>
            </w:r>
          </w:p>
        </w:tc>
        <w:tc>
          <w:tcPr>
            <w:tcW w:w="10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35 911 143</w:t>
            </w:r>
          </w:p>
        </w:tc>
        <w:tc>
          <w:tcPr>
            <w:tcW w:w="1140" w:type="dxa"/>
            <w:tcBorders>
              <w:top w:val="nil"/>
              <w:left w:val="nil"/>
              <w:bottom w:val="single" w:sz="4" w:space="0" w:color="auto"/>
              <w:right w:val="single" w:sz="4" w:space="0" w:color="auto"/>
            </w:tcBorders>
            <w:shd w:val="clear" w:color="auto" w:fill="auto"/>
            <w:vAlign w:val="center"/>
            <w:hideMark/>
          </w:tcPr>
          <w:p w:rsidR="002121B8" w:rsidRPr="002121B8" w:rsidRDefault="002121B8" w:rsidP="00E70DA5">
            <w:pPr>
              <w:jc w:val="right"/>
              <w:rPr>
                <w:bCs/>
                <w:color w:val="000000"/>
                <w:sz w:val="20"/>
                <w:szCs w:val="20"/>
              </w:rPr>
            </w:pPr>
            <w:r w:rsidRPr="002121B8">
              <w:rPr>
                <w:bCs/>
                <w:color w:val="000000"/>
                <w:sz w:val="20"/>
                <w:szCs w:val="20"/>
              </w:rPr>
              <w:t>467 835 428</w:t>
            </w:r>
          </w:p>
        </w:tc>
      </w:tr>
      <w:tr w:rsidR="00ED73EA" w:rsidTr="005A2EBC">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D73EA" w:rsidRDefault="00ED73EA">
            <w:pPr>
              <w:rPr>
                <w:color w:val="000000"/>
                <w:sz w:val="20"/>
                <w:szCs w:val="20"/>
              </w:rPr>
            </w:pPr>
            <w:r>
              <w:rPr>
                <w:bCs/>
                <w:color w:val="000000"/>
                <w:sz w:val="20"/>
                <w:szCs w:val="20"/>
              </w:rPr>
              <w:t xml:space="preserve">        Výdavky z transakcií s finančnými aktívami a finančnými pasívami (800)</w:t>
            </w:r>
          </w:p>
        </w:tc>
        <w:tc>
          <w:tcPr>
            <w:tcW w:w="9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ED73EA" w:rsidRDefault="00ED73EA">
            <w:pPr>
              <w:jc w:val="center"/>
              <w:rPr>
                <w:b/>
                <w:bCs/>
                <w:color w:val="000000"/>
                <w:sz w:val="20"/>
                <w:szCs w:val="20"/>
              </w:rPr>
            </w:pPr>
            <w:r>
              <w:rPr>
                <w:b/>
                <w:bCs/>
                <w:color w:val="000000"/>
                <w:sz w:val="20"/>
                <w:szCs w:val="20"/>
              </w:rPr>
              <w:t>0</w:t>
            </w:r>
          </w:p>
        </w:tc>
      </w:tr>
    </w:tbl>
    <w:p w:rsidR="00BA53DC" w:rsidRDefault="00A80523" w:rsidP="00ED73EA">
      <w:pPr>
        <w:pStyle w:val="Zkladntext"/>
        <w:tabs>
          <w:tab w:val="num" w:pos="1080"/>
        </w:tabs>
        <w:jc w:val="both"/>
        <w:rPr>
          <w:b w:val="0"/>
          <w:bCs/>
          <w:sz w:val="20"/>
        </w:rPr>
      </w:pPr>
      <w:r w:rsidRPr="006964CB">
        <w:rPr>
          <w:b w:val="0"/>
          <w:bCs/>
          <w:sz w:val="20"/>
        </w:rPr>
        <w:t>2 –  výdavky rozpísať až do položiek platnej ekonomickej klasifikácie</w:t>
      </w:r>
    </w:p>
    <w:p w:rsidR="004E460A" w:rsidRDefault="004E460A"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FC6D0F" w:rsidRDefault="00FC6D0F" w:rsidP="004E460A">
      <w:pPr>
        <w:rPr>
          <w:sz w:val="20"/>
          <w:szCs w:val="20"/>
          <w:lang w:val="sk-SK"/>
        </w:rPr>
      </w:pPr>
    </w:p>
    <w:p w:rsidR="00A80523" w:rsidRPr="00103E59" w:rsidRDefault="00FC6D0F" w:rsidP="00FC6D0F">
      <w:pPr>
        <w:jc w:val="right"/>
        <w:rPr>
          <w:sz w:val="20"/>
          <w:szCs w:val="20"/>
          <w:lang w:val="sk-SK"/>
        </w:rPr>
      </w:pPr>
      <w:r>
        <w:rPr>
          <w:sz w:val="20"/>
          <w:szCs w:val="20"/>
          <w:lang w:val="sk-SK"/>
        </w:rPr>
        <w:t>Tabuľka č. 9</w:t>
      </w:r>
      <w:r w:rsidR="00103E59" w:rsidRPr="00ED73EA">
        <w:rPr>
          <w:sz w:val="20"/>
          <w:szCs w:val="20"/>
          <w:lang w:val="sk-SK"/>
        </w:rPr>
        <w:t xml:space="preserve"> </w:t>
      </w:r>
    </w:p>
    <w:tbl>
      <w:tblPr>
        <w:tblW w:w="14042" w:type="dxa"/>
        <w:tblInd w:w="55" w:type="dxa"/>
        <w:tblCellMar>
          <w:left w:w="70" w:type="dxa"/>
          <w:right w:w="70" w:type="dxa"/>
        </w:tblCellMar>
        <w:tblLook w:val="04A0" w:firstRow="1" w:lastRow="0" w:firstColumn="1" w:lastColumn="0" w:noHBand="0" w:noVBand="1"/>
      </w:tblPr>
      <w:tblGrid>
        <w:gridCol w:w="5402"/>
        <w:gridCol w:w="960"/>
        <w:gridCol w:w="960"/>
        <w:gridCol w:w="960"/>
        <w:gridCol w:w="960"/>
        <w:gridCol w:w="960"/>
        <w:gridCol w:w="960"/>
        <w:gridCol w:w="960"/>
        <w:gridCol w:w="960"/>
        <w:gridCol w:w="960"/>
      </w:tblGrid>
      <w:tr w:rsidR="00103E59" w:rsidTr="00103E59">
        <w:trPr>
          <w:cantSplit/>
          <w:trHeight w:val="255"/>
        </w:trPr>
        <w:tc>
          <w:tcPr>
            <w:tcW w:w="5402"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Zamestnanosť</w:t>
            </w:r>
          </w:p>
        </w:tc>
        <w:tc>
          <w:tcPr>
            <w:tcW w:w="8640" w:type="dxa"/>
            <w:gridSpan w:val="9"/>
            <w:tcBorders>
              <w:top w:val="single" w:sz="4" w:space="0" w:color="auto"/>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Vplyv na rozpočet verejnej správy</w:t>
            </w:r>
          </w:p>
        </w:tc>
      </w:tr>
      <w:tr w:rsidR="00590512" w:rsidTr="00103E59">
        <w:trPr>
          <w:trHeight w:val="255"/>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590512" w:rsidRDefault="00590512">
            <w:pPr>
              <w:rPr>
                <w:b/>
                <w:bCs/>
                <w:color w:val="FFFFFF"/>
                <w:sz w:val="20"/>
                <w:szCs w:val="20"/>
              </w:rPr>
            </w:pP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2013</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2014</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2015</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2016</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2017</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2018</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2019</w:t>
            </w:r>
          </w:p>
        </w:tc>
        <w:tc>
          <w:tcPr>
            <w:tcW w:w="960" w:type="dxa"/>
            <w:tcBorders>
              <w:top w:val="nil"/>
              <w:left w:val="nil"/>
              <w:bottom w:val="single" w:sz="4" w:space="0" w:color="auto"/>
              <w:right w:val="single" w:sz="4" w:space="0" w:color="auto"/>
            </w:tcBorders>
            <w:shd w:val="clear" w:color="000000" w:fill="000000"/>
            <w:vAlign w:val="center"/>
            <w:hideMark/>
          </w:tcPr>
          <w:p w:rsidR="00590512" w:rsidRPr="00B10972" w:rsidRDefault="00590512" w:rsidP="00FF2E3C">
            <w:pPr>
              <w:jc w:val="center"/>
              <w:rPr>
                <w:b/>
                <w:bCs/>
                <w:color w:val="FFFFFF"/>
                <w:sz w:val="20"/>
                <w:szCs w:val="20"/>
                <w:lang w:val="sk-SK"/>
              </w:rPr>
            </w:pPr>
            <w:r>
              <w:rPr>
                <w:b/>
                <w:bCs/>
                <w:color w:val="FFFFFF"/>
                <w:sz w:val="20"/>
                <w:szCs w:val="20"/>
                <w:lang w:val="sk-SK"/>
              </w:rPr>
              <w:t>2020</w:t>
            </w:r>
          </w:p>
        </w:tc>
        <w:tc>
          <w:tcPr>
            <w:tcW w:w="960" w:type="dxa"/>
            <w:tcBorders>
              <w:top w:val="nil"/>
              <w:left w:val="nil"/>
              <w:bottom w:val="single" w:sz="4" w:space="0" w:color="auto"/>
              <w:right w:val="single" w:sz="4" w:space="0" w:color="auto"/>
            </w:tcBorders>
            <w:shd w:val="clear" w:color="000000" w:fill="000000"/>
            <w:vAlign w:val="center"/>
            <w:hideMark/>
          </w:tcPr>
          <w:p w:rsidR="00590512" w:rsidRDefault="00590512">
            <w:pPr>
              <w:jc w:val="center"/>
              <w:rPr>
                <w:b/>
                <w:bCs/>
                <w:color w:val="FFFFFF"/>
                <w:sz w:val="20"/>
                <w:szCs w:val="20"/>
              </w:rPr>
            </w:pPr>
            <w:r>
              <w:rPr>
                <w:b/>
                <w:bCs/>
                <w:color w:val="FFFFFF"/>
                <w:sz w:val="20"/>
                <w:szCs w:val="20"/>
              </w:rPr>
              <w:t>SPOLU</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Počet zamestnancov celkom*</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 xml:space="preserve">   z toho vplyv na ŠR</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Priemerný mzdový výdavok (v eurách)*</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 xml:space="preserve">   z toho vplyv na ŠR</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000000" w:fill="000000"/>
            <w:vAlign w:val="center"/>
            <w:hideMark/>
          </w:tcPr>
          <w:p w:rsidR="00103E59" w:rsidRDefault="00103E59">
            <w:pPr>
              <w:rPr>
                <w:b/>
                <w:bCs/>
                <w:color w:val="FFFFFF"/>
                <w:sz w:val="20"/>
                <w:szCs w:val="20"/>
              </w:rPr>
            </w:pPr>
            <w:r>
              <w:rPr>
                <w:b/>
                <w:bCs/>
                <w:color w:val="FFFFFF"/>
                <w:sz w:val="20"/>
                <w:szCs w:val="20"/>
              </w:rPr>
              <w:t>Osobné výdavky celkom (v eurách)</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c>
          <w:tcPr>
            <w:tcW w:w="960" w:type="dxa"/>
            <w:tcBorders>
              <w:top w:val="nil"/>
              <w:left w:val="nil"/>
              <w:bottom w:val="single" w:sz="4" w:space="0" w:color="auto"/>
              <w:right w:val="single" w:sz="4" w:space="0" w:color="auto"/>
            </w:tcBorders>
            <w:shd w:val="clear" w:color="000000" w:fill="000000"/>
            <w:vAlign w:val="center"/>
            <w:hideMark/>
          </w:tcPr>
          <w:p w:rsidR="00103E59" w:rsidRDefault="00103E59">
            <w:pPr>
              <w:jc w:val="center"/>
              <w:rPr>
                <w:b/>
                <w:bCs/>
                <w:color w:val="FFFFFF"/>
                <w:sz w:val="20"/>
                <w:szCs w:val="20"/>
              </w:rPr>
            </w:pPr>
            <w:r>
              <w:rPr>
                <w:b/>
                <w:bCs/>
                <w:color w:val="FFFFFF"/>
                <w:sz w:val="20"/>
                <w:szCs w:val="20"/>
              </w:rPr>
              <w:t> </w:t>
            </w:r>
          </w:p>
        </w:tc>
      </w:tr>
      <w:tr w:rsidR="00103E59" w:rsidTr="00103E59">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 xml:space="preserve">Mzdy, platy, služobné príjmy a ostatné osobné vyrovnania (610)* </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 xml:space="preserve">   z toho vplyv na ŠR</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Poistné a príspevok do poisťovní (620)*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b/>
                <w:bCs/>
                <w:color w:val="000000"/>
                <w:sz w:val="20"/>
                <w:szCs w:val="20"/>
              </w:rPr>
            </w:pPr>
            <w:r>
              <w:rPr>
                <w:b/>
                <w:bCs/>
                <w:color w:val="000000"/>
                <w:sz w:val="20"/>
                <w:szCs w:val="20"/>
              </w:rPr>
              <w:t>0</w:t>
            </w:r>
          </w:p>
        </w:tc>
      </w:tr>
      <w:tr w:rsidR="00103E59" w:rsidTr="00103E59">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3E59" w:rsidRDefault="00103E59">
            <w:pPr>
              <w:rPr>
                <w:b/>
                <w:bCs/>
                <w:color w:val="000000"/>
                <w:sz w:val="20"/>
                <w:szCs w:val="20"/>
              </w:rPr>
            </w:pPr>
            <w:r>
              <w:rPr>
                <w:b/>
                <w:bCs/>
                <w:color w:val="000000"/>
                <w:sz w:val="20"/>
                <w:szCs w:val="20"/>
              </w:rPr>
              <w:t xml:space="preserve">   z toho vplyv na ŠR</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103E59" w:rsidRDefault="00103E59">
            <w:pPr>
              <w:jc w:val="center"/>
              <w:rPr>
                <w:color w:val="000000"/>
                <w:sz w:val="20"/>
                <w:szCs w:val="20"/>
              </w:rPr>
            </w:pPr>
            <w:r>
              <w:rPr>
                <w:color w:val="000000"/>
                <w:sz w:val="20"/>
                <w:szCs w:val="20"/>
              </w:rPr>
              <w:t>0</w:t>
            </w:r>
          </w:p>
        </w:tc>
      </w:tr>
    </w:tbl>
    <w:p w:rsidR="00BA53DC" w:rsidRPr="006F6A99" w:rsidRDefault="00BA53DC">
      <w:pPr>
        <w:rPr>
          <w:b/>
          <w:bCs/>
          <w:lang w:val="sk-SK"/>
        </w:rPr>
        <w:sectPr w:rsidR="00BA53DC" w:rsidRPr="006F6A99" w:rsidSect="00565D44">
          <w:headerReference w:type="default" r:id="rId8"/>
          <w:footerReference w:type="even" r:id="rId9"/>
          <w:footerReference w:type="default" r:id="rId10"/>
          <w:footerReference w:type="first" r:id="rId11"/>
          <w:pgSz w:w="16838" w:h="11906" w:orient="landscape"/>
          <w:pgMar w:top="709" w:right="1418" w:bottom="851" w:left="1418" w:header="709" w:footer="709" w:gutter="0"/>
          <w:pgNumType w:start="3"/>
          <w:cols w:space="708"/>
          <w:docGrid w:linePitch="360"/>
        </w:sectPr>
      </w:pPr>
      <w:r w:rsidRPr="006964CB">
        <w:rPr>
          <w:b/>
          <w:bCs/>
          <w:lang w:val="sk-SK"/>
        </w:rPr>
        <w:t>* počet zamestnancov</w:t>
      </w:r>
      <w:r w:rsidR="00E31840" w:rsidRPr="006964CB">
        <w:rPr>
          <w:b/>
          <w:bCs/>
          <w:lang w:val="sk-SK"/>
        </w:rPr>
        <w:t>,  mzdy a poistné rozpísať</w:t>
      </w:r>
      <w:r w:rsidRPr="006964CB">
        <w:rPr>
          <w:b/>
          <w:bCs/>
          <w:lang w:val="sk-SK"/>
        </w:rPr>
        <w:t xml:space="preserve"> podľa spôsobu odmeňovania (napr. policajti, colníci ...)</w:t>
      </w:r>
    </w:p>
    <w:p w:rsidR="00A80523" w:rsidRPr="006F6A99" w:rsidRDefault="00A80523">
      <w:pPr>
        <w:rPr>
          <w:lang w:val="sk-SK"/>
        </w:rPr>
      </w:pPr>
    </w:p>
    <w:sectPr w:rsidR="00A80523" w:rsidRPr="006F6A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89" w:rsidRDefault="000B2989">
      <w:r>
        <w:separator/>
      </w:r>
    </w:p>
  </w:endnote>
  <w:endnote w:type="continuationSeparator" w:id="0">
    <w:p w:rsidR="000B2989" w:rsidRDefault="000B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0" w:rsidRDefault="003E656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E6560" w:rsidRDefault="003E656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0" w:rsidRDefault="003E656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72468">
      <w:rPr>
        <w:rStyle w:val="slostrany"/>
        <w:noProof/>
      </w:rPr>
      <w:t>4</w:t>
    </w:r>
    <w:r>
      <w:rPr>
        <w:rStyle w:val="slostrany"/>
      </w:rPr>
      <w:fldChar w:fldCharType="end"/>
    </w:r>
  </w:p>
  <w:p w:rsidR="003E6560" w:rsidRDefault="003E656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0" w:rsidRDefault="003E6560">
    <w:pPr>
      <w:pStyle w:val="Pta"/>
      <w:jc w:val="right"/>
    </w:pPr>
    <w:r>
      <w:fldChar w:fldCharType="begin"/>
    </w:r>
    <w:r>
      <w:instrText>PAGE   \* MERGEFORMAT</w:instrText>
    </w:r>
    <w:r>
      <w:fldChar w:fldCharType="separate"/>
    </w:r>
    <w:r w:rsidRPr="003203B4">
      <w:rPr>
        <w:noProof/>
        <w:lang w:val="sk-SK"/>
      </w:rPr>
      <w:t>1</w:t>
    </w:r>
    <w:r>
      <w:fldChar w:fldCharType="end"/>
    </w:r>
  </w:p>
  <w:p w:rsidR="003E6560" w:rsidRDefault="003E65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89" w:rsidRDefault="000B2989">
      <w:r>
        <w:separator/>
      </w:r>
    </w:p>
  </w:footnote>
  <w:footnote w:type="continuationSeparator" w:id="0">
    <w:p w:rsidR="000B2989" w:rsidRDefault="000B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60" w:rsidRDefault="003E6560">
    <w:pPr>
      <w:pStyle w:val="Hlavika"/>
      <w:jc w:val="right"/>
      <w:rPr>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3405672D"/>
    <w:multiLevelType w:val="hybridMultilevel"/>
    <w:tmpl w:val="DCB46C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D12712"/>
    <w:multiLevelType w:val="hybridMultilevel"/>
    <w:tmpl w:val="93661344"/>
    <w:lvl w:ilvl="0" w:tplc="1FE27210">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4A0C7ED4"/>
    <w:multiLevelType w:val="hybridMultilevel"/>
    <w:tmpl w:val="7F88049A"/>
    <w:lvl w:ilvl="0" w:tplc="528E8478">
      <w:start w:val="1"/>
      <w:numFmt w:val="bullet"/>
      <w:pStyle w:val="Action"/>
      <w:lvlText w:val=""/>
      <w:lvlJc w:val="left"/>
      <w:pPr>
        <w:tabs>
          <w:tab w:val="num" w:pos="1211"/>
        </w:tabs>
        <w:ind w:left="1211" w:hanging="360"/>
      </w:pPr>
      <w:rPr>
        <w:rFonts w:ascii="Symbol" w:hAnsi="Symbol" w:cs="Symbol"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cs="Wingdings" w:hint="default"/>
      </w:rPr>
    </w:lvl>
    <w:lvl w:ilvl="3" w:tplc="04090001">
      <w:start w:val="1"/>
      <w:numFmt w:val="bullet"/>
      <w:lvlText w:val=""/>
      <w:lvlJc w:val="left"/>
      <w:pPr>
        <w:tabs>
          <w:tab w:val="num" w:pos="3371"/>
        </w:tabs>
        <w:ind w:left="3371" w:hanging="360"/>
      </w:pPr>
      <w:rPr>
        <w:rFonts w:ascii="Symbol" w:hAnsi="Symbol" w:cs="Symbol"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cs="Wingdings" w:hint="default"/>
      </w:rPr>
    </w:lvl>
    <w:lvl w:ilvl="6" w:tplc="04090001">
      <w:start w:val="1"/>
      <w:numFmt w:val="bullet"/>
      <w:lvlText w:val=""/>
      <w:lvlJc w:val="left"/>
      <w:pPr>
        <w:tabs>
          <w:tab w:val="num" w:pos="5531"/>
        </w:tabs>
        <w:ind w:left="5531" w:hanging="360"/>
      </w:pPr>
      <w:rPr>
        <w:rFonts w:ascii="Symbol" w:hAnsi="Symbol" w:cs="Symbol"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cs="Wingdings" w:hint="default"/>
      </w:rPr>
    </w:lvl>
  </w:abstractNum>
  <w:abstractNum w:abstractNumId="5">
    <w:nsid w:val="7AD92A4C"/>
    <w:multiLevelType w:val="hybridMultilevel"/>
    <w:tmpl w:val="A76EC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1F"/>
    <w:rsid w:val="0009117D"/>
    <w:rsid w:val="000A7891"/>
    <w:rsid w:val="000B2989"/>
    <w:rsid w:val="000B3364"/>
    <w:rsid w:val="000E63A1"/>
    <w:rsid w:val="00103E59"/>
    <w:rsid w:val="00106829"/>
    <w:rsid w:val="001506BD"/>
    <w:rsid w:val="001602FC"/>
    <w:rsid w:val="00185424"/>
    <w:rsid w:val="001B06DA"/>
    <w:rsid w:val="001D4CF3"/>
    <w:rsid w:val="001E0B15"/>
    <w:rsid w:val="002121B8"/>
    <w:rsid w:val="0023307C"/>
    <w:rsid w:val="002C319A"/>
    <w:rsid w:val="00301007"/>
    <w:rsid w:val="003203B4"/>
    <w:rsid w:val="003B05EE"/>
    <w:rsid w:val="003E6560"/>
    <w:rsid w:val="004271D0"/>
    <w:rsid w:val="00454B57"/>
    <w:rsid w:val="00471349"/>
    <w:rsid w:val="004A2BCE"/>
    <w:rsid w:val="004B5614"/>
    <w:rsid w:val="004E18BE"/>
    <w:rsid w:val="004E460A"/>
    <w:rsid w:val="0054704A"/>
    <w:rsid w:val="00555F96"/>
    <w:rsid w:val="00565D44"/>
    <w:rsid w:val="0057715A"/>
    <w:rsid w:val="00582E97"/>
    <w:rsid w:val="00590512"/>
    <w:rsid w:val="005943B2"/>
    <w:rsid w:val="005A2EBC"/>
    <w:rsid w:val="005D1192"/>
    <w:rsid w:val="005F4F8E"/>
    <w:rsid w:val="00607E0E"/>
    <w:rsid w:val="00655485"/>
    <w:rsid w:val="00692208"/>
    <w:rsid w:val="006964CB"/>
    <w:rsid w:val="006A32DC"/>
    <w:rsid w:val="006B063E"/>
    <w:rsid w:val="006C4F3C"/>
    <w:rsid w:val="006F6A99"/>
    <w:rsid w:val="00723FCB"/>
    <w:rsid w:val="00742886"/>
    <w:rsid w:val="00773F5E"/>
    <w:rsid w:val="00776C9D"/>
    <w:rsid w:val="007816B6"/>
    <w:rsid w:val="007C3F2D"/>
    <w:rsid w:val="007C5EF9"/>
    <w:rsid w:val="008417B8"/>
    <w:rsid w:val="00894012"/>
    <w:rsid w:val="008B0E1F"/>
    <w:rsid w:val="00976C45"/>
    <w:rsid w:val="00982042"/>
    <w:rsid w:val="00982222"/>
    <w:rsid w:val="009A417F"/>
    <w:rsid w:val="009A714B"/>
    <w:rsid w:val="009F1A74"/>
    <w:rsid w:val="00A11EA2"/>
    <w:rsid w:val="00A2704F"/>
    <w:rsid w:val="00A62FDE"/>
    <w:rsid w:val="00A80523"/>
    <w:rsid w:val="00A85094"/>
    <w:rsid w:val="00B02390"/>
    <w:rsid w:val="00B059DB"/>
    <w:rsid w:val="00B10972"/>
    <w:rsid w:val="00B20206"/>
    <w:rsid w:val="00B400E5"/>
    <w:rsid w:val="00BA53DC"/>
    <w:rsid w:val="00BB56A4"/>
    <w:rsid w:val="00BD5C1D"/>
    <w:rsid w:val="00BE1330"/>
    <w:rsid w:val="00C10E18"/>
    <w:rsid w:val="00C223CC"/>
    <w:rsid w:val="00C6017A"/>
    <w:rsid w:val="00C72468"/>
    <w:rsid w:val="00D46417"/>
    <w:rsid w:val="00D505AD"/>
    <w:rsid w:val="00D55571"/>
    <w:rsid w:val="00D82201"/>
    <w:rsid w:val="00D90604"/>
    <w:rsid w:val="00DD3589"/>
    <w:rsid w:val="00E0548F"/>
    <w:rsid w:val="00E20386"/>
    <w:rsid w:val="00E31840"/>
    <w:rsid w:val="00E433B6"/>
    <w:rsid w:val="00E64E4A"/>
    <w:rsid w:val="00ED3928"/>
    <w:rsid w:val="00ED3EF9"/>
    <w:rsid w:val="00ED73EA"/>
    <w:rsid w:val="00F14ED1"/>
    <w:rsid w:val="00F21719"/>
    <w:rsid w:val="00F32E16"/>
    <w:rsid w:val="00F93FC4"/>
    <w:rsid w:val="00FA1DCB"/>
    <w:rsid w:val="00FB0B8B"/>
    <w:rsid w:val="00FC6D0F"/>
    <w:rsid w:val="00FD5BB3"/>
    <w:rsid w:val="00FF2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en-US"/>
    </w:rPr>
  </w:style>
  <w:style w:type="paragraph" w:styleId="Nadpis4">
    <w:name w:val="heading 4"/>
    <w:basedOn w:val="Normlny"/>
    <w:next w:val="Normlny"/>
    <w:qFormat/>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BodyText21">
    <w:name w:val="Body Text 21"/>
    <w:basedOn w:val="Normlny"/>
    <w:pPr>
      <w:overflowPunct w:val="0"/>
      <w:autoSpaceDE w:val="0"/>
      <w:autoSpaceDN w:val="0"/>
      <w:adjustRightInd w:val="0"/>
      <w:jc w:val="both"/>
      <w:textAlignment w:val="baseline"/>
    </w:pPr>
    <w:rPr>
      <w:szCs w:val="20"/>
      <w:lang w:val="sk-SK"/>
    </w:rPr>
  </w:style>
  <w:style w:type="paragraph" w:styleId="Zkladntext">
    <w:name w:val="Body Text"/>
    <w:basedOn w:val="Normlny"/>
    <w:rPr>
      <w:b/>
      <w:szCs w:val="20"/>
      <w:lang w:val="sk-SK"/>
    </w:rPr>
  </w:style>
  <w:style w:type="paragraph" w:styleId="Zarkazkladnhotextu">
    <w:name w:val="Body Text Indent"/>
    <w:basedOn w:val="Normlny"/>
    <w:pPr>
      <w:spacing w:after="120"/>
      <w:ind w:left="540"/>
    </w:pPr>
    <w:rPr>
      <w:rFonts w:ascii="Verdana" w:hAnsi="Verdana"/>
      <w:lang w:eastAsia="en-US"/>
    </w:rPr>
  </w:style>
  <w:style w:type="paragraph" w:styleId="Nzov">
    <w:name w:val="Title"/>
    <w:basedOn w:val="Normlny"/>
    <w:qFormat/>
    <w:pPr>
      <w:jc w:val="center"/>
    </w:pPr>
    <w:rPr>
      <w:sz w:val="28"/>
      <w:szCs w:val="20"/>
      <w:lang w:val="sk-SK"/>
    </w:rPr>
  </w:style>
  <w:style w:type="paragraph" w:styleId="Pta">
    <w:name w:val="footer"/>
    <w:basedOn w:val="Normlny"/>
    <w:link w:val="PtaChar"/>
    <w:uiPriority w:val="99"/>
    <w:pPr>
      <w:widowControl w:val="0"/>
      <w:tabs>
        <w:tab w:val="center" w:pos="4536"/>
        <w:tab w:val="right" w:pos="9072"/>
      </w:tabs>
    </w:pPr>
    <w:rPr>
      <w:sz w:val="20"/>
      <w:szCs w:val="20"/>
      <w:lang w:val="en-GB" w:eastAsia="en-US"/>
    </w:rPr>
  </w:style>
  <w:style w:type="paragraph" w:customStyle="1" w:styleId="Action">
    <w:name w:val="Action"/>
    <w:basedOn w:val="Zkladntext"/>
    <w:pPr>
      <w:numPr>
        <w:numId w:val="1"/>
      </w:numPr>
      <w:spacing w:after="120" w:line="240" w:lineRule="atLeast"/>
      <w:ind w:left="1208" w:hanging="357"/>
      <w:jc w:val="both"/>
    </w:pPr>
    <w:rPr>
      <w:rFonts w:ascii="Verdana" w:hAnsi="Verdana" w:cs="Verdana"/>
      <w:b w:val="0"/>
      <w:i/>
      <w:iCs/>
      <w:sz w:val="22"/>
      <w:szCs w:val="22"/>
      <w:lang w:eastAsia="en-US"/>
    </w:rPr>
  </w:style>
  <w:style w:type="paragraph" w:styleId="Zarkazkladnhotextu3">
    <w:name w:val="Body Text Indent 3"/>
    <w:basedOn w:val="Normlny"/>
    <w:pPr>
      <w:spacing w:after="120"/>
      <w:ind w:left="283"/>
    </w:pPr>
    <w:rPr>
      <w:sz w:val="16"/>
      <w:szCs w:val="16"/>
      <w:lang w:val="sk-SK"/>
    </w:rPr>
  </w:style>
  <w:style w:type="character" w:customStyle="1" w:styleId="StyleHeading4UnderlineChar">
    <w:name w:val="Style Heading 4 + Underline Char"/>
    <w:rPr>
      <w:rFonts w:ascii="Verdana" w:hAnsi="Verdana" w:cs="Verdana"/>
      <w:kern w:val="20"/>
      <w:sz w:val="22"/>
      <w:szCs w:val="22"/>
      <w:u w:val="single"/>
      <w:lang w:val="en-US" w:eastAsia="en-US"/>
    </w:rPr>
  </w:style>
  <w:style w:type="paragraph" w:styleId="Hlavika">
    <w:name w:val="header"/>
    <w:basedOn w:val="Normlny"/>
    <w:pPr>
      <w:tabs>
        <w:tab w:val="center" w:pos="4536"/>
        <w:tab w:val="right" w:pos="9072"/>
      </w:tabs>
    </w:pPr>
  </w:style>
  <w:style w:type="character" w:customStyle="1" w:styleId="PtaChar">
    <w:name w:val="Päta Char"/>
    <w:link w:val="Pta"/>
    <w:uiPriority w:val="99"/>
    <w:rsid w:val="003B05EE"/>
    <w:rPr>
      <w:lang w:val="en-GB" w:eastAsia="en-US"/>
    </w:rPr>
  </w:style>
  <w:style w:type="paragraph" w:styleId="Odsekzoznamu">
    <w:name w:val="List Paragraph"/>
    <w:basedOn w:val="Normlny"/>
    <w:uiPriority w:val="34"/>
    <w:qFormat/>
    <w:rsid w:val="001602FC"/>
    <w:pPr>
      <w:spacing w:after="200"/>
      <w:ind w:left="720"/>
      <w:contextualSpacing/>
    </w:pPr>
    <w:rPr>
      <w:rFonts w:ascii="Calibri" w:eastAsia="Calibri" w:hAnsi="Calibri"/>
      <w:sz w:val="22"/>
      <w:szCs w:val="22"/>
      <w:lang w:val="sk-SK" w:eastAsia="en-US"/>
    </w:rPr>
  </w:style>
  <w:style w:type="paragraph" w:styleId="Textbubliny">
    <w:name w:val="Balloon Text"/>
    <w:basedOn w:val="Normlny"/>
    <w:link w:val="TextbublinyChar"/>
    <w:rsid w:val="00565D44"/>
    <w:rPr>
      <w:rFonts w:ascii="Tahoma" w:hAnsi="Tahoma" w:cs="Tahoma"/>
      <w:sz w:val="16"/>
      <w:szCs w:val="16"/>
    </w:rPr>
  </w:style>
  <w:style w:type="character" w:customStyle="1" w:styleId="TextbublinyChar">
    <w:name w:val="Text bubliny Char"/>
    <w:link w:val="Textbubliny"/>
    <w:rsid w:val="00565D4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en-US"/>
    </w:rPr>
  </w:style>
  <w:style w:type="paragraph" w:styleId="Nadpis4">
    <w:name w:val="heading 4"/>
    <w:basedOn w:val="Normlny"/>
    <w:next w:val="Normlny"/>
    <w:qFormat/>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customStyle="1" w:styleId="BodyText21">
    <w:name w:val="Body Text 21"/>
    <w:basedOn w:val="Normlny"/>
    <w:pPr>
      <w:overflowPunct w:val="0"/>
      <w:autoSpaceDE w:val="0"/>
      <w:autoSpaceDN w:val="0"/>
      <w:adjustRightInd w:val="0"/>
      <w:jc w:val="both"/>
      <w:textAlignment w:val="baseline"/>
    </w:pPr>
    <w:rPr>
      <w:szCs w:val="20"/>
      <w:lang w:val="sk-SK"/>
    </w:rPr>
  </w:style>
  <w:style w:type="paragraph" w:styleId="Zkladntext">
    <w:name w:val="Body Text"/>
    <w:basedOn w:val="Normlny"/>
    <w:rPr>
      <w:b/>
      <w:szCs w:val="20"/>
      <w:lang w:val="sk-SK"/>
    </w:rPr>
  </w:style>
  <w:style w:type="paragraph" w:styleId="Zarkazkladnhotextu">
    <w:name w:val="Body Text Indent"/>
    <w:basedOn w:val="Normlny"/>
    <w:pPr>
      <w:spacing w:after="120"/>
      <w:ind w:left="540"/>
    </w:pPr>
    <w:rPr>
      <w:rFonts w:ascii="Verdana" w:hAnsi="Verdana"/>
      <w:lang w:eastAsia="en-US"/>
    </w:rPr>
  </w:style>
  <w:style w:type="paragraph" w:styleId="Nzov">
    <w:name w:val="Title"/>
    <w:basedOn w:val="Normlny"/>
    <w:qFormat/>
    <w:pPr>
      <w:jc w:val="center"/>
    </w:pPr>
    <w:rPr>
      <w:sz w:val="28"/>
      <w:szCs w:val="20"/>
      <w:lang w:val="sk-SK"/>
    </w:rPr>
  </w:style>
  <w:style w:type="paragraph" w:styleId="Pta">
    <w:name w:val="footer"/>
    <w:basedOn w:val="Normlny"/>
    <w:link w:val="PtaChar"/>
    <w:uiPriority w:val="99"/>
    <w:pPr>
      <w:widowControl w:val="0"/>
      <w:tabs>
        <w:tab w:val="center" w:pos="4536"/>
        <w:tab w:val="right" w:pos="9072"/>
      </w:tabs>
    </w:pPr>
    <w:rPr>
      <w:sz w:val="20"/>
      <w:szCs w:val="20"/>
      <w:lang w:val="en-GB" w:eastAsia="en-US"/>
    </w:rPr>
  </w:style>
  <w:style w:type="paragraph" w:customStyle="1" w:styleId="Action">
    <w:name w:val="Action"/>
    <w:basedOn w:val="Zkladntext"/>
    <w:pPr>
      <w:numPr>
        <w:numId w:val="1"/>
      </w:numPr>
      <w:spacing w:after="120" w:line="240" w:lineRule="atLeast"/>
      <w:ind w:left="1208" w:hanging="357"/>
      <w:jc w:val="both"/>
    </w:pPr>
    <w:rPr>
      <w:rFonts w:ascii="Verdana" w:hAnsi="Verdana" w:cs="Verdana"/>
      <w:b w:val="0"/>
      <w:i/>
      <w:iCs/>
      <w:sz w:val="22"/>
      <w:szCs w:val="22"/>
      <w:lang w:eastAsia="en-US"/>
    </w:rPr>
  </w:style>
  <w:style w:type="paragraph" w:styleId="Zarkazkladnhotextu3">
    <w:name w:val="Body Text Indent 3"/>
    <w:basedOn w:val="Normlny"/>
    <w:pPr>
      <w:spacing w:after="120"/>
      <w:ind w:left="283"/>
    </w:pPr>
    <w:rPr>
      <w:sz w:val="16"/>
      <w:szCs w:val="16"/>
      <w:lang w:val="sk-SK"/>
    </w:rPr>
  </w:style>
  <w:style w:type="character" w:customStyle="1" w:styleId="StyleHeading4UnderlineChar">
    <w:name w:val="Style Heading 4 + Underline Char"/>
    <w:rPr>
      <w:rFonts w:ascii="Verdana" w:hAnsi="Verdana" w:cs="Verdana"/>
      <w:kern w:val="20"/>
      <w:sz w:val="22"/>
      <w:szCs w:val="22"/>
      <w:u w:val="single"/>
      <w:lang w:val="en-US" w:eastAsia="en-US"/>
    </w:rPr>
  </w:style>
  <w:style w:type="paragraph" w:styleId="Hlavika">
    <w:name w:val="header"/>
    <w:basedOn w:val="Normlny"/>
    <w:pPr>
      <w:tabs>
        <w:tab w:val="center" w:pos="4536"/>
        <w:tab w:val="right" w:pos="9072"/>
      </w:tabs>
    </w:pPr>
  </w:style>
  <w:style w:type="character" w:customStyle="1" w:styleId="PtaChar">
    <w:name w:val="Päta Char"/>
    <w:link w:val="Pta"/>
    <w:uiPriority w:val="99"/>
    <w:rsid w:val="003B05EE"/>
    <w:rPr>
      <w:lang w:val="en-GB" w:eastAsia="en-US"/>
    </w:rPr>
  </w:style>
  <w:style w:type="paragraph" w:styleId="Odsekzoznamu">
    <w:name w:val="List Paragraph"/>
    <w:basedOn w:val="Normlny"/>
    <w:uiPriority w:val="34"/>
    <w:qFormat/>
    <w:rsid w:val="001602FC"/>
    <w:pPr>
      <w:spacing w:after="200"/>
      <w:ind w:left="720"/>
      <w:contextualSpacing/>
    </w:pPr>
    <w:rPr>
      <w:rFonts w:ascii="Calibri" w:eastAsia="Calibri" w:hAnsi="Calibri"/>
      <w:sz w:val="22"/>
      <w:szCs w:val="22"/>
      <w:lang w:val="sk-SK" w:eastAsia="en-US"/>
    </w:rPr>
  </w:style>
  <w:style w:type="paragraph" w:styleId="Textbubliny">
    <w:name w:val="Balloon Text"/>
    <w:basedOn w:val="Normlny"/>
    <w:link w:val="TextbublinyChar"/>
    <w:rsid w:val="00565D44"/>
    <w:rPr>
      <w:rFonts w:ascii="Tahoma" w:hAnsi="Tahoma" w:cs="Tahoma"/>
      <w:sz w:val="16"/>
      <w:szCs w:val="16"/>
    </w:rPr>
  </w:style>
  <w:style w:type="character" w:customStyle="1" w:styleId="TextbublinyChar">
    <w:name w:val="Text bubliny Char"/>
    <w:link w:val="Textbubliny"/>
    <w:rsid w:val="00565D4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052">
      <w:bodyDiv w:val="1"/>
      <w:marLeft w:val="0"/>
      <w:marRight w:val="0"/>
      <w:marTop w:val="0"/>
      <w:marBottom w:val="0"/>
      <w:divBdr>
        <w:top w:val="none" w:sz="0" w:space="0" w:color="auto"/>
        <w:left w:val="none" w:sz="0" w:space="0" w:color="auto"/>
        <w:bottom w:val="none" w:sz="0" w:space="0" w:color="auto"/>
        <w:right w:val="none" w:sz="0" w:space="0" w:color="auto"/>
      </w:divBdr>
    </w:div>
    <w:div w:id="154541987">
      <w:bodyDiv w:val="1"/>
      <w:marLeft w:val="0"/>
      <w:marRight w:val="0"/>
      <w:marTop w:val="0"/>
      <w:marBottom w:val="0"/>
      <w:divBdr>
        <w:top w:val="none" w:sz="0" w:space="0" w:color="auto"/>
        <w:left w:val="none" w:sz="0" w:space="0" w:color="auto"/>
        <w:bottom w:val="none" w:sz="0" w:space="0" w:color="auto"/>
        <w:right w:val="none" w:sz="0" w:space="0" w:color="auto"/>
      </w:divBdr>
    </w:div>
    <w:div w:id="420838486">
      <w:bodyDiv w:val="1"/>
      <w:marLeft w:val="0"/>
      <w:marRight w:val="0"/>
      <w:marTop w:val="0"/>
      <w:marBottom w:val="0"/>
      <w:divBdr>
        <w:top w:val="none" w:sz="0" w:space="0" w:color="auto"/>
        <w:left w:val="none" w:sz="0" w:space="0" w:color="auto"/>
        <w:bottom w:val="none" w:sz="0" w:space="0" w:color="auto"/>
        <w:right w:val="none" w:sz="0" w:space="0" w:color="auto"/>
      </w:divBdr>
    </w:div>
    <w:div w:id="531500267">
      <w:bodyDiv w:val="1"/>
      <w:marLeft w:val="0"/>
      <w:marRight w:val="0"/>
      <w:marTop w:val="0"/>
      <w:marBottom w:val="0"/>
      <w:divBdr>
        <w:top w:val="none" w:sz="0" w:space="0" w:color="auto"/>
        <w:left w:val="none" w:sz="0" w:space="0" w:color="auto"/>
        <w:bottom w:val="none" w:sz="0" w:space="0" w:color="auto"/>
        <w:right w:val="none" w:sz="0" w:space="0" w:color="auto"/>
      </w:divBdr>
    </w:div>
    <w:div w:id="724648463">
      <w:bodyDiv w:val="1"/>
      <w:marLeft w:val="0"/>
      <w:marRight w:val="0"/>
      <w:marTop w:val="0"/>
      <w:marBottom w:val="0"/>
      <w:divBdr>
        <w:top w:val="none" w:sz="0" w:space="0" w:color="auto"/>
        <w:left w:val="none" w:sz="0" w:space="0" w:color="auto"/>
        <w:bottom w:val="none" w:sz="0" w:space="0" w:color="auto"/>
        <w:right w:val="none" w:sz="0" w:space="0" w:color="auto"/>
      </w:divBdr>
    </w:div>
    <w:div w:id="745876790">
      <w:bodyDiv w:val="1"/>
      <w:marLeft w:val="0"/>
      <w:marRight w:val="0"/>
      <w:marTop w:val="0"/>
      <w:marBottom w:val="0"/>
      <w:divBdr>
        <w:top w:val="none" w:sz="0" w:space="0" w:color="auto"/>
        <w:left w:val="none" w:sz="0" w:space="0" w:color="auto"/>
        <w:bottom w:val="none" w:sz="0" w:space="0" w:color="auto"/>
        <w:right w:val="none" w:sz="0" w:space="0" w:color="auto"/>
      </w:divBdr>
    </w:div>
    <w:div w:id="869073996">
      <w:bodyDiv w:val="1"/>
      <w:marLeft w:val="0"/>
      <w:marRight w:val="0"/>
      <w:marTop w:val="0"/>
      <w:marBottom w:val="0"/>
      <w:divBdr>
        <w:top w:val="none" w:sz="0" w:space="0" w:color="auto"/>
        <w:left w:val="none" w:sz="0" w:space="0" w:color="auto"/>
        <w:bottom w:val="none" w:sz="0" w:space="0" w:color="auto"/>
        <w:right w:val="none" w:sz="0" w:space="0" w:color="auto"/>
      </w:divBdr>
    </w:div>
    <w:div w:id="942037780">
      <w:bodyDiv w:val="1"/>
      <w:marLeft w:val="0"/>
      <w:marRight w:val="0"/>
      <w:marTop w:val="0"/>
      <w:marBottom w:val="0"/>
      <w:divBdr>
        <w:top w:val="none" w:sz="0" w:space="0" w:color="auto"/>
        <w:left w:val="none" w:sz="0" w:space="0" w:color="auto"/>
        <w:bottom w:val="none" w:sz="0" w:space="0" w:color="auto"/>
        <w:right w:val="none" w:sz="0" w:space="0" w:color="auto"/>
      </w:divBdr>
    </w:div>
    <w:div w:id="1150487596">
      <w:bodyDiv w:val="1"/>
      <w:marLeft w:val="0"/>
      <w:marRight w:val="0"/>
      <w:marTop w:val="0"/>
      <w:marBottom w:val="0"/>
      <w:divBdr>
        <w:top w:val="none" w:sz="0" w:space="0" w:color="auto"/>
        <w:left w:val="none" w:sz="0" w:space="0" w:color="auto"/>
        <w:bottom w:val="none" w:sz="0" w:space="0" w:color="auto"/>
        <w:right w:val="none" w:sz="0" w:space="0" w:color="auto"/>
      </w:divBdr>
    </w:div>
    <w:div w:id="1176502893">
      <w:bodyDiv w:val="1"/>
      <w:marLeft w:val="0"/>
      <w:marRight w:val="0"/>
      <w:marTop w:val="0"/>
      <w:marBottom w:val="0"/>
      <w:divBdr>
        <w:top w:val="none" w:sz="0" w:space="0" w:color="auto"/>
        <w:left w:val="none" w:sz="0" w:space="0" w:color="auto"/>
        <w:bottom w:val="none" w:sz="0" w:space="0" w:color="auto"/>
        <w:right w:val="none" w:sz="0" w:space="0" w:color="auto"/>
      </w:divBdr>
    </w:div>
    <w:div w:id="1197280328">
      <w:bodyDiv w:val="1"/>
      <w:marLeft w:val="0"/>
      <w:marRight w:val="0"/>
      <w:marTop w:val="0"/>
      <w:marBottom w:val="0"/>
      <w:divBdr>
        <w:top w:val="none" w:sz="0" w:space="0" w:color="auto"/>
        <w:left w:val="none" w:sz="0" w:space="0" w:color="auto"/>
        <w:bottom w:val="none" w:sz="0" w:space="0" w:color="auto"/>
        <w:right w:val="none" w:sz="0" w:space="0" w:color="auto"/>
      </w:divBdr>
    </w:div>
    <w:div w:id="1206674467">
      <w:bodyDiv w:val="1"/>
      <w:marLeft w:val="0"/>
      <w:marRight w:val="0"/>
      <w:marTop w:val="0"/>
      <w:marBottom w:val="0"/>
      <w:divBdr>
        <w:top w:val="none" w:sz="0" w:space="0" w:color="auto"/>
        <w:left w:val="none" w:sz="0" w:space="0" w:color="auto"/>
        <w:bottom w:val="none" w:sz="0" w:space="0" w:color="auto"/>
        <w:right w:val="none" w:sz="0" w:space="0" w:color="auto"/>
      </w:divBdr>
    </w:div>
    <w:div w:id="1349794848">
      <w:bodyDiv w:val="1"/>
      <w:marLeft w:val="0"/>
      <w:marRight w:val="0"/>
      <w:marTop w:val="0"/>
      <w:marBottom w:val="0"/>
      <w:divBdr>
        <w:top w:val="none" w:sz="0" w:space="0" w:color="auto"/>
        <w:left w:val="none" w:sz="0" w:space="0" w:color="auto"/>
        <w:bottom w:val="none" w:sz="0" w:space="0" w:color="auto"/>
        <w:right w:val="none" w:sz="0" w:space="0" w:color="auto"/>
      </w:divBdr>
    </w:div>
    <w:div w:id="1474442860">
      <w:bodyDiv w:val="1"/>
      <w:marLeft w:val="0"/>
      <w:marRight w:val="0"/>
      <w:marTop w:val="0"/>
      <w:marBottom w:val="0"/>
      <w:divBdr>
        <w:top w:val="none" w:sz="0" w:space="0" w:color="auto"/>
        <w:left w:val="none" w:sz="0" w:space="0" w:color="auto"/>
        <w:bottom w:val="none" w:sz="0" w:space="0" w:color="auto"/>
        <w:right w:val="none" w:sz="0" w:space="0" w:color="auto"/>
      </w:divBdr>
    </w:div>
    <w:div w:id="1624576930">
      <w:bodyDiv w:val="1"/>
      <w:marLeft w:val="0"/>
      <w:marRight w:val="0"/>
      <w:marTop w:val="0"/>
      <w:marBottom w:val="0"/>
      <w:divBdr>
        <w:top w:val="none" w:sz="0" w:space="0" w:color="auto"/>
        <w:left w:val="none" w:sz="0" w:space="0" w:color="auto"/>
        <w:bottom w:val="none" w:sz="0" w:space="0" w:color="auto"/>
        <w:right w:val="none" w:sz="0" w:space="0" w:color="auto"/>
      </w:divBdr>
    </w:div>
    <w:div w:id="1884488462">
      <w:bodyDiv w:val="1"/>
      <w:marLeft w:val="0"/>
      <w:marRight w:val="0"/>
      <w:marTop w:val="0"/>
      <w:marBottom w:val="0"/>
      <w:divBdr>
        <w:top w:val="none" w:sz="0" w:space="0" w:color="auto"/>
        <w:left w:val="none" w:sz="0" w:space="0" w:color="auto"/>
        <w:bottom w:val="none" w:sz="0" w:space="0" w:color="auto"/>
        <w:right w:val="none" w:sz="0" w:space="0" w:color="auto"/>
      </w:divBdr>
    </w:div>
    <w:div w:id="1977568746">
      <w:bodyDiv w:val="1"/>
      <w:marLeft w:val="0"/>
      <w:marRight w:val="0"/>
      <w:marTop w:val="0"/>
      <w:marBottom w:val="0"/>
      <w:divBdr>
        <w:top w:val="none" w:sz="0" w:space="0" w:color="auto"/>
        <w:left w:val="none" w:sz="0" w:space="0" w:color="auto"/>
        <w:bottom w:val="none" w:sz="0" w:space="0" w:color="auto"/>
        <w:right w:val="none" w:sz="0" w:space="0" w:color="auto"/>
      </w:divBdr>
    </w:div>
    <w:div w:id="21091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Vplyvy na rozpočet verejnej správy,</vt:lpstr>
    </vt:vector>
  </TitlesOfParts>
  <Company>MFSR</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esamekova</dc:creator>
  <cp:lastModifiedBy>Bobovník Matej</cp:lastModifiedBy>
  <cp:revision>2</cp:revision>
  <cp:lastPrinted>2013-05-28T08:50:00Z</cp:lastPrinted>
  <dcterms:created xsi:type="dcterms:W3CDTF">2013-06-21T11:41:00Z</dcterms:created>
  <dcterms:modified xsi:type="dcterms:W3CDTF">2013-06-21T11:41:00Z</dcterms:modified>
</cp:coreProperties>
</file>